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6CDE60">
      <w:pPr>
        <w:jc w:val="right"/>
        <w:rPr>
          <w:rFonts w:hint="default" w:ascii="Times New Roman" w:hAnsi="Times New Roman" w:cs="Times New Roman" w:eastAsiaTheme="minorEastAsia"/>
          <w:sz w:val="24"/>
          <w:szCs w:val="32"/>
          <w:lang w:val="en-US" w:eastAsia="zh-CN"/>
        </w:rPr>
      </w:pPr>
      <w:r>
        <w:rPr>
          <w:rFonts w:hint="eastAsia" w:ascii="Times New Roman" w:hAnsi="Times New Roman" w:cs="Times New Roman"/>
          <w:sz w:val="24"/>
          <w:szCs w:val="32"/>
          <w:lang w:val="en-US" w:eastAsia="zh-CN"/>
        </w:rPr>
        <w:t>Date</w:t>
      </w:r>
      <w:r>
        <w:rPr>
          <w:rFonts w:hint="default" w:ascii="Times New Roman" w:hAnsi="Times New Roman" w:cs="Times New Roman"/>
          <w:sz w:val="24"/>
          <w:szCs w:val="32"/>
          <w:lang w:val="en-US" w:eastAsia="zh-CN"/>
        </w:rPr>
        <w:t>: May 27, 2026</w:t>
      </w:r>
    </w:p>
    <w:p w14:paraId="6A85CFD7">
      <w:pPr>
        <w:rPr>
          <w:rFonts w:hint="default" w:ascii="Times New Roman Bold" w:hAnsi="Times New Roman Bold" w:cs="Times New Roman Bold"/>
          <w:b/>
          <w:bCs/>
          <w:sz w:val="24"/>
          <w:szCs w:val="32"/>
        </w:rPr>
      </w:pPr>
      <w:r>
        <w:rPr>
          <w:rFonts w:hint="default" w:ascii="Times New Roman Bold" w:hAnsi="Times New Roman Bold" w:cs="Times New Roman Bold"/>
          <w:b/>
          <w:bCs/>
          <w:sz w:val="24"/>
          <w:szCs w:val="32"/>
        </w:rPr>
        <w:t>Dear Editor,</w:t>
      </w:r>
    </w:p>
    <w:p w14:paraId="1CC470E6">
      <w:pPr>
        <w:rPr>
          <w:rFonts w:hint="default" w:ascii="Times New Roman Bold" w:hAnsi="Times New Roman Bold" w:cs="Times New Roman Bold"/>
          <w:b/>
          <w:bCs/>
          <w:sz w:val="24"/>
          <w:szCs w:val="32"/>
        </w:rPr>
      </w:pPr>
    </w:p>
    <w:p w14:paraId="5D79F49D">
      <w:pPr>
        <w:ind w:firstLine="420" w:firstLineChars="0"/>
        <w:rPr>
          <w:rFonts w:ascii="Times New Roman" w:hAnsi="Times New Roman" w:cs="Times New Roman"/>
          <w:sz w:val="24"/>
          <w:szCs w:val="32"/>
        </w:rPr>
      </w:pPr>
      <w:r>
        <w:rPr>
          <w:rFonts w:ascii="Times New Roman" w:hAnsi="Times New Roman" w:cs="Times New Roman"/>
          <w:sz w:val="24"/>
          <w:szCs w:val="32"/>
        </w:rPr>
        <w:t xml:space="preserve">We are pleased to submit the above original research article </w:t>
      </w:r>
      <w:r>
        <w:rPr>
          <w:rFonts w:hint="eastAsia" w:ascii="Times New Roman" w:hAnsi="Times New Roman" w:cs="Times New Roman"/>
          <w:sz w:val="24"/>
          <w:szCs w:val="32"/>
        </w:rPr>
        <w:t xml:space="preserve">entitled </w:t>
      </w:r>
      <w:r>
        <w:rPr>
          <w:rFonts w:ascii="Times New Roman" w:hAnsi="Times New Roman" w:cs="Times New Roman"/>
          <w:sz w:val="24"/>
          <w:szCs w:val="32"/>
        </w:rPr>
        <w:t xml:space="preserve">Polyphyllin VI Regulates Aging in </w:t>
      </w:r>
      <w:r>
        <w:rPr>
          <w:rFonts w:ascii="Times New Roman" w:hAnsi="Times New Roman" w:cs="Times New Roman"/>
          <w:i/>
          <w:iCs/>
          <w:sz w:val="24"/>
          <w:szCs w:val="32"/>
        </w:rPr>
        <w:t>Caenorhabditis elegans</w:t>
      </w:r>
      <w:r>
        <w:rPr>
          <w:rFonts w:ascii="Times New Roman" w:hAnsi="Times New Roman" w:cs="Times New Roman"/>
          <w:sz w:val="24"/>
          <w:szCs w:val="32"/>
        </w:rPr>
        <w:t xml:space="preserve"> via Redox Homeostasis Remodeling and Reproductive-Somatic Trade-Off Optimization</w:t>
      </w:r>
      <w:r>
        <w:rPr>
          <w:rFonts w:hint="eastAsia" w:ascii="Times New Roman" w:hAnsi="Times New Roman" w:cs="Times New Roman"/>
          <w:sz w:val="24"/>
          <w:szCs w:val="32"/>
        </w:rPr>
        <w:t xml:space="preserve"> </w:t>
      </w:r>
      <w:r>
        <w:rPr>
          <w:rFonts w:ascii="Times New Roman" w:hAnsi="Times New Roman" w:cs="Times New Roman"/>
          <w:sz w:val="24"/>
          <w:szCs w:val="32"/>
        </w:rPr>
        <w:t xml:space="preserve">for </w:t>
      </w:r>
      <w:r>
        <w:rPr>
          <w:rFonts w:hint="eastAsia" w:ascii="Times New Roman" w:hAnsi="Times New Roman" w:cs="Times New Roman"/>
          <w:sz w:val="24"/>
          <w:szCs w:val="32"/>
        </w:rPr>
        <w:t xml:space="preserve">consideration by </w:t>
      </w:r>
      <w:r>
        <w:rPr>
          <w:rFonts w:ascii="Times New Roman" w:hAnsi="Times New Roman" w:cs="Times New Roman"/>
          <w:i/>
          <w:iCs/>
          <w:sz w:val="24"/>
          <w:szCs w:val="32"/>
        </w:rPr>
        <w:t>Journal of Ethnopharmacology</w:t>
      </w:r>
      <w:r>
        <w:rPr>
          <w:rFonts w:ascii="Times New Roman" w:hAnsi="Times New Roman" w:cs="Times New Roman"/>
          <w:sz w:val="24"/>
          <w:szCs w:val="32"/>
        </w:rPr>
        <w:t>. This manuscript has not been published previously, is not under consideration for publication elsewhere in whole or in part, and will not be submitted elsewhere until a final decision is rendered by your journal.</w:t>
      </w:r>
    </w:p>
    <w:p w14:paraId="0EE6F448">
      <w:pPr>
        <w:ind w:firstLine="420" w:firstLineChars="0"/>
        <w:rPr>
          <w:rFonts w:ascii="Times New Roman" w:hAnsi="Times New Roman" w:cs="Times New Roman"/>
          <w:sz w:val="24"/>
          <w:szCs w:val="32"/>
        </w:rPr>
      </w:pPr>
      <w:r>
        <w:rPr>
          <w:rFonts w:ascii="Times New Roman" w:hAnsi="Times New Roman" w:cs="Times New Roman"/>
          <w:i/>
          <w:iCs/>
          <w:sz w:val="24"/>
          <w:szCs w:val="32"/>
        </w:rPr>
        <w:t>Paris polyphylla Sm.</w:t>
      </w:r>
      <w:r>
        <w:rPr>
          <w:rFonts w:ascii="Times New Roman" w:hAnsi="Times New Roman" w:cs="Times New Roman"/>
          <w:sz w:val="24"/>
          <w:szCs w:val="32"/>
        </w:rPr>
        <w:t xml:space="preserve"> is a well-documented traditional Chinese medicinal herb with a long history of clinical use. Polyphyllin VI (PV), a key steroidal saponin isolated from this herb, is known for anti-tumor and anti-inflammatory activities, but its potential in aging regulation has not been systematically explored. Using </w:t>
      </w:r>
      <w:r>
        <w:rPr>
          <w:rFonts w:ascii="Times New Roman" w:hAnsi="Times New Roman" w:cs="Times New Roman"/>
          <w:i/>
          <w:iCs/>
          <w:sz w:val="24"/>
          <w:szCs w:val="32"/>
        </w:rPr>
        <w:t>Caenorhabditis elegans</w:t>
      </w:r>
      <w:r>
        <w:rPr>
          <w:rFonts w:ascii="Times New Roman" w:hAnsi="Times New Roman" w:cs="Times New Roman"/>
          <w:sz w:val="24"/>
          <w:szCs w:val="32"/>
        </w:rPr>
        <w:t xml:space="preserve"> as an in vivo model, we investigated the anti-aging effects and underlying mechanisms of PV, combining phenotypic assays, redox homeostasis analysis, reproductive-somatic trade-off assessment, and transcriptome sequencing.</w:t>
      </w:r>
    </w:p>
    <w:p w14:paraId="4DE5EC23">
      <w:pPr>
        <w:ind w:firstLine="420" w:firstLineChars="0"/>
        <w:rPr>
          <w:rFonts w:ascii="Times New Roman" w:hAnsi="Times New Roman" w:cs="Times New Roman"/>
          <w:sz w:val="24"/>
          <w:szCs w:val="32"/>
        </w:rPr>
      </w:pPr>
      <w:r>
        <w:rPr>
          <w:rFonts w:ascii="Times New Roman" w:hAnsi="Times New Roman" w:cs="Times New Roman"/>
          <w:sz w:val="24"/>
          <w:szCs w:val="32"/>
        </w:rPr>
        <w:t xml:space="preserve">This is significant because our study reveals that polyphyllin VI acts through a unique mechanism of controlled oxidative priming, in which it does not simply scavenge reactive oxygen species (ROS) but moderately induces ROS to trigger mitohormesis and adaptive antioxidant responses, thereby remodeling redox homeostasis and reducing lipofuscin accumulation; it also produces an ideal anti-aging phenotype by delaying the reproductive peak without reducing total fecundity at 25 μM, optimizing resource allocation from reproduction to somatic maintenance, a rare and valuable profile for anti-aging interventions; furthermore, transcriptomic analysis identifies a core molecular network including </w:t>
      </w:r>
      <w:r>
        <w:rPr>
          <w:rFonts w:ascii="Times New Roman" w:hAnsi="Times New Roman" w:cs="Times New Roman"/>
          <w:i/>
          <w:iCs/>
          <w:sz w:val="24"/>
          <w:szCs w:val="32"/>
        </w:rPr>
        <w:t>hlh-14</w:t>
      </w:r>
      <w:r>
        <w:rPr>
          <w:rFonts w:ascii="Times New Roman" w:hAnsi="Times New Roman" w:cs="Times New Roman"/>
          <w:sz w:val="24"/>
          <w:szCs w:val="32"/>
        </w:rPr>
        <w:t xml:space="preserve">, </w:t>
      </w:r>
      <w:r>
        <w:rPr>
          <w:rFonts w:ascii="Times New Roman" w:hAnsi="Times New Roman" w:cs="Times New Roman"/>
          <w:i/>
          <w:iCs/>
          <w:sz w:val="24"/>
          <w:szCs w:val="32"/>
        </w:rPr>
        <w:t>pals-37</w:t>
      </w:r>
      <w:r>
        <w:rPr>
          <w:rFonts w:ascii="Times New Roman" w:hAnsi="Times New Roman" w:cs="Times New Roman"/>
          <w:sz w:val="24"/>
          <w:szCs w:val="32"/>
        </w:rPr>
        <w:t xml:space="preserve">, </w:t>
      </w:r>
      <w:r>
        <w:rPr>
          <w:rFonts w:ascii="Times New Roman" w:hAnsi="Times New Roman" w:cs="Times New Roman"/>
          <w:i/>
          <w:iCs/>
          <w:sz w:val="24"/>
          <w:szCs w:val="32"/>
        </w:rPr>
        <w:t>dot-1.4</w:t>
      </w:r>
      <w:r>
        <w:rPr>
          <w:rFonts w:ascii="Times New Roman" w:hAnsi="Times New Roman" w:cs="Times New Roman"/>
          <w:sz w:val="24"/>
          <w:szCs w:val="32"/>
        </w:rPr>
        <w:t xml:space="preserve">, </w:t>
      </w:r>
      <w:r>
        <w:rPr>
          <w:rFonts w:ascii="Times New Roman" w:hAnsi="Times New Roman" w:cs="Times New Roman"/>
          <w:i/>
          <w:iCs/>
          <w:sz w:val="24"/>
          <w:szCs w:val="32"/>
        </w:rPr>
        <w:t>ref-2</w:t>
      </w:r>
      <w:r>
        <w:rPr>
          <w:rFonts w:ascii="Times New Roman" w:hAnsi="Times New Roman" w:cs="Times New Roman"/>
          <w:sz w:val="24"/>
          <w:szCs w:val="32"/>
        </w:rPr>
        <w:t xml:space="preserve">, and </w:t>
      </w:r>
      <w:r>
        <w:rPr>
          <w:rFonts w:ascii="Times New Roman" w:hAnsi="Times New Roman" w:cs="Times New Roman"/>
          <w:i/>
          <w:iCs/>
          <w:sz w:val="24"/>
          <w:szCs w:val="32"/>
        </w:rPr>
        <w:t>npr-13</w:t>
      </w:r>
      <w:r>
        <w:rPr>
          <w:rFonts w:ascii="Times New Roman" w:hAnsi="Times New Roman" w:cs="Times New Roman"/>
          <w:sz w:val="24"/>
          <w:szCs w:val="32"/>
        </w:rPr>
        <w:t>, providing novel and specific targets for understanding aging regulation by steroidal saponins from traditional medicinal plants.</w:t>
      </w:r>
    </w:p>
    <w:p w14:paraId="0DAB7296">
      <w:pPr>
        <w:ind w:firstLine="420" w:firstLineChars="0"/>
        <w:rPr>
          <w:rFonts w:ascii="Times New Roman" w:hAnsi="Times New Roman" w:cs="Times New Roman"/>
          <w:sz w:val="24"/>
          <w:szCs w:val="32"/>
        </w:rPr>
      </w:pPr>
      <w:r>
        <w:rPr>
          <w:rFonts w:ascii="Times New Roman" w:hAnsi="Times New Roman" w:cs="Times New Roman"/>
          <w:sz w:val="24"/>
          <w:szCs w:val="32"/>
        </w:rPr>
        <w:t xml:space="preserve">We believe that this manuscript is appropriate for </w:t>
      </w:r>
      <w:r>
        <w:rPr>
          <w:rFonts w:ascii="Times New Roman" w:hAnsi="Times New Roman" w:cs="Times New Roman"/>
          <w:i/>
          <w:iCs/>
          <w:sz w:val="24"/>
          <w:szCs w:val="32"/>
        </w:rPr>
        <w:t>Journal of Ethnopharmacology</w:t>
      </w:r>
      <w:r>
        <w:rPr>
          <w:rFonts w:ascii="Times New Roman" w:hAnsi="Times New Roman" w:cs="Times New Roman"/>
          <w:sz w:val="24"/>
          <w:szCs w:val="32"/>
        </w:rPr>
        <w:t xml:space="preserve"> becaus</w:t>
      </w:r>
      <w:bookmarkStart w:id="0" w:name="_GoBack"/>
      <w:bookmarkEnd w:id="0"/>
      <w:r>
        <w:rPr>
          <w:rFonts w:ascii="Times New Roman" w:hAnsi="Times New Roman" w:cs="Times New Roman"/>
          <w:sz w:val="24"/>
          <w:szCs w:val="32"/>
        </w:rPr>
        <w:t>e it investigates the pharmacological mechanisms of a bioactive constituent derived from an ethnomedicinal plant, bridges traditional herbal medicine with aging biology, and offers important mechanistic and translational insights for the research and development of natural anti‑aging products.</w:t>
      </w:r>
    </w:p>
    <w:p w14:paraId="14D15C2E">
      <w:pPr>
        <w:ind w:firstLine="420" w:firstLineChars="0"/>
        <w:rPr>
          <w:rFonts w:ascii="Times New Roman" w:hAnsi="Times New Roman" w:cs="Times New Roman"/>
          <w:sz w:val="24"/>
          <w:szCs w:val="32"/>
        </w:rPr>
      </w:pPr>
      <w:r>
        <w:rPr>
          <w:rFonts w:ascii="Times New Roman" w:hAnsi="Times New Roman" w:cs="Times New Roman"/>
          <w:sz w:val="24"/>
          <w:szCs w:val="32"/>
        </w:rPr>
        <w:t>We are committed to full transparency and will respond promptly to reviewer comments. We hope this work will appeal to your readers and advance knowledge in ethnopharmacology and anti-aging research.</w:t>
      </w:r>
    </w:p>
    <w:p w14:paraId="0DB0ECEE">
      <w:pPr>
        <w:ind w:firstLine="420" w:firstLineChars="0"/>
        <w:rPr>
          <w:rFonts w:ascii="Times New Roman" w:hAnsi="Times New Roman" w:cs="Times New Roman"/>
          <w:sz w:val="24"/>
          <w:szCs w:val="32"/>
        </w:rPr>
      </w:pPr>
      <w:r>
        <w:rPr>
          <w:rFonts w:ascii="Times New Roman" w:hAnsi="Times New Roman" w:cs="Times New Roman"/>
          <w:sz w:val="24"/>
          <w:szCs w:val="32"/>
        </w:rPr>
        <w:t>Thank you for your time and consideration.</w:t>
      </w:r>
    </w:p>
    <w:p w14:paraId="2DFC1467">
      <w:pPr>
        <w:ind w:firstLine="420" w:firstLineChars="0"/>
        <w:rPr>
          <w:rFonts w:ascii="Times New Roman" w:hAnsi="Times New Roman" w:cs="Times New Roman"/>
          <w:sz w:val="24"/>
          <w:szCs w:val="32"/>
        </w:rPr>
      </w:pPr>
      <w:r>
        <w:rPr>
          <w:rFonts w:ascii="Times New Roman" w:hAnsi="Times New Roman" w:cs="Times New Roman"/>
          <w:sz w:val="24"/>
          <w:szCs w:val="32"/>
        </w:rPr>
        <w:t>Sincerely,</w:t>
      </w:r>
    </w:p>
    <w:p w14:paraId="68CDB39C">
      <w:pPr>
        <w:ind w:firstLine="420" w:firstLineChars="0"/>
        <w:rPr>
          <w:rFonts w:ascii="Times New Roman" w:hAnsi="Times New Roman" w:cs="Times New Roman"/>
          <w:sz w:val="24"/>
          <w:szCs w:val="32"/>
        </w:rPr>
      </w:pPr>
    </w:p>
    <w:p w14:paraId="5C128CDA">
      <w:pPr>
        <w:ind w:firstLine="420" w:firstLineChars="0"/>
        <w:rPr>
          <w:rFonts w:ascii="Times New Roman" w:hAnsi="Times New Roman" w:cs="Times New Roman"/>
          <w:sz w:val="24"/>
          <w:szCs w:val="32"/>
        </w:rPr>
      </w:pPr>
      <w:r>
        <w:rPr>
          <w:rFonts w:ascii="Times New Roman" w:hAnsi="Times New Roman" w:cs="Times New Roman"/>
          <w:sz w:val="24"/>
          <w:szCs w:val="32"/>
        </w:rPr>
        <w:t>Yan Pan</w:t>
      </w:r>
      <w:r>
        <w:rPr>
          <w:rFonts w:hint="default" w:ascii="Times New Roman" w:hAnsi="Times New Roman" w:cs="Times New Roman"/>
          <w:sz w:val="24"/>
          <w:szCs w:val="32"/>
          <w:lang w:val="en-US"/>
        </w:rPr>
        <w:t xml:space="preserve">, </w:t>
      </w:r>
      <w:r>
        <w:rPr>
          <w:rFonts w:ascii="Times New Roman" w:hAnsi="Times New Roman" w:cs="Times New Roman"/>
          <w:sz w:val="24"/>
          <w:szCs w:val="32"/>
        </w:rPr>
        <w:t>yanpan@zohomail.com</w:t>
      </w:r>
    </w:p>
    <w:p w14:paraId="28843D7A">
      <w:pPr>
        <w:ind w:firstLine="420" w:firstLineChars="0"/>
        <w:rPr>
          <w:rFonts w:hint="default" w:ascii="Times New Roman" w:hAnsi="Times New Roman" w:cs="Times New Roman"/>
          <w:sz w:val="24"/>
          <w:szCs w:val="32"/>
          <w:lang w:val="en-US"/>
        </w:rPr>
      </w:pPr>
      <w:r>
        <w:rPr>
          <w:rFonts w:ascii="Times New Roman" w:hAnsi="Times New Roman" w:cs="Times New Roman"/>
          <w:sz w:val="24"/>
          <w:szCs w:val="32"/>
        </w:rPr>
        <w:t>Bo Xian</w:t>
      </w:r>
      <w:r>
        <w:rPr>
          <w:rFonts w:hint="default" w:ascii="Times New Roman" w:hAnsi="Times New Roman" w:cs="Times New Roman"/>
          <w:sz w:val="24"/>
          <w:szCs w:val="32"/>
          <w:lang w:val="en-US"/>
        </w:rPr>
        <w:t xml:space="preserve">, </w:t>
      </w:r>
      <w:r>
        <w:rPr>
          <w:rFonts w:ascii="Times New Roman" w:hAnsi="Times New Roman" w:cs="Times New Roman"/>
          <w:sz w:val="24"/>
          <w:szCs w:val="32"/>
        </w:rPr>
        <w:t>xianbo@uestc.edu.cn</w:t>
      </w:r>
    </w:p>
    <w:p w14:paraId="68AB228E">
      <w:pPr>
        <w:ind w:firstLine="420" w:firstLineChars="0"/>
        <w:rPr>
          <w:rFonts w:ascii="Times New Roman" w:hAnsi="Times New Roman" w:cs="Times New Roman"/>
          <w:sz w:val="24"/>
          <w:szCs w:val="32"/>
        </w:rPr>
      </w:pPr>
      <w:r>
        <w:rPr>
          <w:rFonts w:ascii="Times New Roman" w:hAnsi="Times New Roman" w:cs="Times New Roman"/>
          <w:sz w:val="24"/>
          <w:szCs w:val="32"/>
        </w:rPr>
        <w:t>Laboratory of Aging Research, School of Medicine, University of Electronic Science and Technology of China, Chengdu 610054, China</w:t>
      </w:r>
      <w:r>
        <w:rPr>
          <w:rFonts w:hint="default" w:ascii="Times New Roman" w:hAnsi="Times New Roman" w:cs="Times New Roman"/>
          <w:sz w:val="24"/>
          <w:szCs w:val="32"/>
          <w:lang w:val="en-US"/>
        </w:rPr>
        <w:t xml:space="preserve">; </w:t>
      </w:r>
      <w:r>
        <w:rPr>
          <w:rFonts w:ascii="Times New Roman" w:hAnsi="Times New Roman" w:cs="Times New Roman"/>
          <w:sz w:val="24"/>
          <w:szCs w:val="32"/>
        </w:rPr>
        <w:t>TeloAetas Digital Biology Center, Beijing 100086, China</w:t>
      </w:r>
    </w:p>
    <w:p w14:paraId="5698D88A">
      <w:pPr>
        <w:rPr>
          <w:rFonts w:ascii="Times New Roman" w:hAnsi="Times New Roman" w:cs="Times New Roman"/>
          <w:sz w:val="24"/>
          <w:szCs w:val="32"/>
        </w:rPr>
      </w:pPr>
    </w:p>
    <w:sectPr>
      <w:headerReference r:id="rId3"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panose1 w:val="02020803070505020304"/>
    <w:charset w:val="00"/>
    <w:family w:val="auto"/>
    <w:pitch w:val="default"/>
    <w:sig w:usb0="00000000" w:usb1="00000000" w:usb2="00000009" w:usb3="00000000"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165337">
    <w:pPr>
      <w:pStyle w:val="3"/>
      <w:rPr>
        <w:rFonts w:hint="eastAsia" w:ascii="Calibri" w:hAnsi="Calibri" w:cs="Calibri" w:eastAsiaTheme="minorEastAsia"/>
        <w:b w:val="0"/>
        <w:bCs w:val="0"/>
        <w:lang w:eastAsia="zh-CN"/>
      </w:rPr>
    </w:pPr>
    <w:r>
      <w:rPr>
        <w:rFonts w:hint="eastAsia" w:ascii="Calibri" w:hAnsi="Calibri" w:cs="Calibri" w:eastAsiaTheme="minorEastAsia"/>
        <w:b w:val="0"/>
        <w:bCs w:val="0"/>
        <w:lang w:eastAsia="zh-CN"/>
      </w:rPr>
      <w:drawing>
        <wp:anchor distT="0" distB="0" distL="114300" distR="114300" simplePos="0" relativeHeight="251659264" behindDoc="1" locked="0" layoutInCell="1" allowOverlap="1">
          <wp:simplePos x="0" y="0"/>
          <wp:positionH relativeFrom="column">
            <wp:posOffset>1368425</wp:posOffset>
          </wp:positionH>
          <wp:positionV relativeFrom="paragraph">
            <wp:posOffset>-401955</wp:posOffset>
          </wp:positionV>
          <wp:extent cx="3205480" cy="606425"/>
          <wp:effectExtent l="0" t="0" r="20320" b="3175"/>
          <wp:wrapTight wrapText="bothSides">
            <wp:wrapPolygon>
              <wp:start x="0" y="0"/>
              <wp:lineTo x="0" y="20808"/>
              <wp:lineTo x="21395" y="20808"/>
              <wp:lineTo x="21395" y="0"/>
              <wp:lineTo x="0" y="0"/>
            </wp:wrapPolygon>
          </wp:wrapTight>
          <wp:docPr id="1" name="Picture 1" descr="55925e09-917e-4091-86bd-3aaace4fd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55925e09-917e-4091-86bd-3aaace4fd270"/>
                  <pic:cNvPicPr>
                    <a:picLocks noChangeAspect="1"/>
                  </pic:cNvPicPr>
                </pic:nvPicPr>
                <pic:blipFill>
                  <a:blip r:embed="rId1"/>
                  <a:srcRect t="34863" b="36759"/>
                  <a:stretch>
                    <a:fillRect/>
                  </a:stretch>
                </pic:blipFill>
                <pic:spPr>
                  <a:xfrm>
                    <a:off x="0" y="0"/>
                    <a:ext cx="3205480" cy="60642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0A0E"/>
    <w:rsid w:val="000B289E"/>
    <w:rsid w:val="005149DC"/>
    <w:rsid w:val="005D7D1C"/>
    <w:rsid w:val="00744EBF"/>
    <w:rsid w:val="00A60A0E"/>
    <w:rsid w:val="00B1569E"/>
    <w:rsid w:val="00C17756"/>
    <w:rsid w:val="00C62691"/>
    <w:rsid w:val="1D336F1B"/>
    <w:rsid w:val="258F14D8"/>
    <w:rsid w:val="53E82400"/>
    <w:rsid w:val="65AF1261"/>
    <w:rsid w:val="CFFD6A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tabs>
        <w:tab w:val="center" w:pos="4153"/>
        <w:tab w:val="right" w:pos="8306"/>
      </w:tabs>
      <w:snapToGrid w:val="0"/>
      <w:jc w:val="center"/>
    </w:pPr>
    <w:rPr>
      <w:sz w:val="18"/>
      <w:szCs w:val="18"/>
    </w:rPr>
  </w:style>
  <w:style w:type="character" w:customStyle="1" w:styleId="6">
    <w:name w:val="页眉 字符"/>
    <w:basedOn w:val="5"/>
    <w:link w:val="3"/>
    <w:qFormat/>
    <w:uiPriority w:val="0"/>
    <w:rPr>
      <w:kern w:val="2"/>
      <w:sz w:val="18"/>
      <w:szCs w:val="18"/>
    </w:rPr>
  </w:style>
  <w:style w:type="character" w:customStyle="1" w:styleId="7">
    <w:name w:val="页脚 字符"/>
    <w:basedOn w:val="5"/>
    <w:link w:val="2"/>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381</Words>
  <Characters>2447</Characters>
  <Lines>53</Lines>
  <Paragraphs>36</Paragraphs>
  <TotalTime>14</TotalTime>
  <ScaleCrop>false</ScaleCrop>
  <LinksUpToDate>false</LinksUpToDate>
  <CharactersWithSpaces>2816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2026-05-27T14:10:00Z</dcterms:created>
  <dc:creator>hp</dc:creator>
  <cp:lastModifiedBy>一杯浊酒笑风尘</cp:lastModifiedBy>
  <dcterms:modified xsi:type="dcterms:W3CDTF">2026-06-06T16:58:01Z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eyJoZGlkIjoiYzBhNGIyYmVmMTJkNTI1OTk0ZTY5N2I2MjM2ODI4OTIiLCJ1c2VySWQiOiIxNTMyNjM2MTU4In0=</vt:lpwstr>
  </property>
  <property fmtid="{D5CDD505-2E9C-101B-9397-08002B2CF9AE}" pid="4" name="ICV">
    <vt:lpwstr>975D20EE2D4548E6B20A7985BDC39EBF_13</vt:lpwstr>
  </property>
</Properties>
</file>