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F1A9" w14:textId="77777777" w:rsidR="00564E5C" w:rsidRPr="00564E5C" w:rsidRDefault="00564E5C" w:rsidP="00564E5C">
      <w:pPr>
        <w:widowControl/>
        <w:rPr>
          <w:rFonts w:ascii="宋体" w:eastAsia="宋体" w:hAnsi="宋体" w:cs="宋体"/>
          <w:color w:val="000000"/>
          <w:kern w:val="0"/>
          <w:sz w:val="22"/>
        </w:rPr>
      </w:pPr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{"excel":[{"name":"sheet2","freeze":"A1","styles":[{"align":"center"}],"merges":["A1:U1"],"rows":{"0":{"cells":{"0":{"text":"结构强度仿真数据库","merge":[0,20],"style":0},"1":{"style":0},"2":{"style":0},"3":{"style":0},"4":{"style":0},"5":{"style":0},"6":{"style":0},"7":{"style":0},"8":{"style":0},"9":{"style":0},"10":{"style":0},"11":{"style":0},"12":{"style":0},"13":{"style":0},"14":{"style":0},"15":{"style":0},"16":{"style":0},"17":{"style":0},"18":{"style":0},"19":{"style":0},"20":{"style":0}}},"1":{"cells":{"0":{"text":"序号"},"1":{"text":"仿真车型"},"2":{"text":"仿真部位"},"3":{"text":"仿真类型"},"4":{"text":"工况编号"},"5":{"text":"工况描述"},"6":{"text":"载荷应用"},"7":{"text":"载荷应用-纵向"},"8":{"text":"载荷应用-横向"},"9":{"text":"载荷应用-垂向"},"10":{"text":"制动梁号"},"11":{"text":"挠度载荷 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Fn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（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kN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)"},"12":{"text":"永久变形载荷 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Fyj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（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kN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）"},"13":{"text":"安全系数载荷 Fa（q 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kN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）"},"14":{"text":"循环次数"},"15":{"text":"材料等级"},"16":{"text":"许用值"},"17":{"text":"标准号"},"18":{"text":"备注"},"19":{"text":"引用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表对象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"},"20":{"text":"引用文档"}}},"2":{"cells":{"0":{"text":"1"},"1":{"text":"动车组"},"2":{"text":"车体"},"3":{"text":"静强度"},"4":{"text":"LC01"},"5":{"text":"车体钢结构垂向载荷工况"},"6":{"text":"仅车体自重载荷"},"7":{"text":""},"8":{"text":""},"9":{"text":""},"10":{"text":""},"11":{"text":""},"12":{"text":""},"13":{"text":""},"14":{"text":""},"15":{"text":""},"16":{"text":""},"17":{"text":""},"18":{"text":"同时考虑车体刚度"},"19":{"text":"表 B.1 动车组车体静强度仿真分析主要工况"},"20":{"text":"课题1-轨道车辆结构强度仿真分析规范：第1部分：机车与客运车辆车体.pdf"}}},"3":{"cells":{"0":{"text":"2"},"1":{"text":"动车组"},"2":{"text":"车体"},"3":{"text":"静强度"},"4":{"text":"LC02"},"5":{"text":"车辆整备状态垂向载荷工况"},"6":{"text":"车辆整备载荷（M1）"},"7":{"text":""},"8":{"text":""},"9":{"text":""},"10":{"text":""},"11":{"text":""},"12":{"text":""},"13":{"text":""},"14":{"text":""},"15":{"text":""},"16":{"text":""},"17":{"text":""},"18":{"text":"同时考虑车体刚度"},"19":{"text":"表 B.1 动车组车体静强度仿真分析主要工况"},"20":{"text":"课题1-轨道车辆结构强度仿真分析规范：第1部分：机车与客运车辆车体.pdf"}}},"4":{"cells":{"0":{"text":"3"},"1":{"text":"动车组"},"2":{"text":"车体"},"3":{"text":"静强度"},"4":{"text":"LC03"},"5":{"text":"车辆超员状态垂向载荷工况"},"6":{"text":"1.车辆整备载荷（M1）；\n2.车辆超员载荷（M4）。"},"7":{"text":""},"8":{"text":""},"9":{"text":""},"10":{"text":""},"11":{"text":""},"12":{"text":""},"13":{"text":""},"14":{"text":""},"15":{"text":""},"16":{"text":""},"17":{"text":""},"18":{"text":"当车辆设计不允许超员时，应4 按照定员载荷M3 进行加载"},"19":{"text":"表 B.1 动车组车体静强度仿真分析主要工况"},"20":{"text":"课题1-轨道车辆结构强度仿真分析规范：第1部分：机车与客运车辆车体.pdf"}}},"5":{"cells":{"0":{"text":"4"},"1":{"text":"动车组"},"2":{"text":"车体"},"3":{"text":"静强度"},"4":{"text":"LC04"},"5":{"text":"车辆最大垂向载荷工况"},"6":{"text":"1.3 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lastRenderedPageBreak/>
        <w:t>倍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（M1+M4）"},"7":{"text":""},"8":{"text":""},"9":{"text":""},"10":{"text":""},"11":{"text":""},"12":{"text":""},"13":{"text":""},"14":{"text":""},"15":{"text":""},"16":{"text":""},"17":{"text":""},"18":{"text":"当车辆设计不允许超员时，应4 按照定员载荷M3 进行加载"},"19":{"text":"表 B.1 动车组车体静强度仿真分析主要工况"},"20":{"text":"课题1-轨道车辆结构强度仿真分析规范：第1部分：机车与客运车辆车体.pdf"}}},"6":{"cells":{"0":{"text":"5"},"1":{"text":"动车组"},"2":{"text":"车体"},"3":{"text":"静强度"},"4":{"text":"LC05"},"5":{"text":"车钩拉伸载荷工况"},"6":{"text":"1.车辆整备载荷（M1）；\n2.车钩拉伸载荷。"},"7":{"text":""},"8":{"text":""},"9":{"text":""},"10":{"text":""},"11":{"text":""},"12":{"text":""},"13":{"text":""},"14":{"text":""},"15":{"text":""},"16":{"text":""},"17":{"text":""},"18":{"text":""},"19":{"text":"表 B.1 动车组车体静强度仿真分析主要工况"},"20":{"text":"课题1-轨道车辆结构强度仿真分析规范：第1部分：机车与客运车辆车体.pdf"}}},"7":{"cells":{"0":{"text":"102"},"1":{"text":"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城铁车辆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"},"2":{"text":"车体"},"3":{"text":"疲劳极限"},"4":{"text":"LCF_B1"},"5":{"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text":"B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 通过道岔"},"6":{"text":""},"7":{"text":""},"8":{"text":"0.15"},"9":{"text":"1+0.15"},"10":{"text":""},"11":{"text":""},"12":{"text":""},"13":{"text":""},"14":{"text":"循环次数根据选用的标准确定"},"15":{"text":""},"16":{"text":""},"17":{"text":""},"18":{"text":"侧风载荷根据标准要求确定。"},"19":{"text":"表 B.7 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城铁车辆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车体疲劳仿真分析主要工况（参考 VDV152 标准）"},"20":{"text":"课题1-轨道车辆结构强度仿真分析规范：第1部分：机车与客运车辆车体.pdf"}}},"8":{"cells":{"0":{"text":"103"},"1":{"text":"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城铁车辆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"},"2":{"text":"车体"},"3":{"text":"疲劳极限"},"4":{"text":"LCF_B2"},"5":{"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text":"B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 通过道岔"},"6":{"text":""},"7":{"text":""},"8":{"text":"0.15"},"9":{"text":"1-0.15"},"10":{"text":""},"11":{"text":""},"12":{"text":""},"13":{"text":""},"14":{"text":"循环次数根据选用的标准确定"},"15":{"text":""},"16":{"text":""},"17":{"text":""},"18":{"text":"侧风载荷根据标准要求确定。"},"19":{"text":"表 B.7 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城铁车辆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车体疲劳仿真分析主要工况（参考 VDV152 标准）"},"20":{"text":"课题1-轨道车辆结构强度仿真分析规范：第1部分：机车与客运车辆车体.pdf"}}},"9":{"cells":{"0":{"text":"104"},"1":{"text":"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城铁车辆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"},"2":{"text":"车体"},"3":{"text":"疲劳极限"},"4":{"text":"LCF_B3"},"5":{"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text":"B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 通过道岔"},"6":{"text":""},"7":{"text":""},"8":{"text":"-0.15"},"9":{"text":"1+0.15"},"10":{"text":""},"11":{"text":""},"12":{"text":""},"13":{"text":""},"14":{"text":"循环次数根据选用的标准确定"},"15":{"text":""},"16":{"text":""},"17":{"text":""},"18":{"text":"侧风载荷根据标准要求确定。"},"19":{"text":"表 B.7 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城铁车辆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车体疲劳仿真分析主要工况（参考 VDV152 标准）"},"20":{"text":"课题1-轨道车辆结构强度仿真分析规范：第</w:t>
      </w:r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lastRenderedPageBreak/>
        <w:t>1部分：机车与客运车辆车体.pdf"}}},"10":{"cells":{"0":{"text":"105"},"1":{"text":"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城铁车辆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"},"2":{"text":"车体"},"3":{"text":"疲劳极限"},"4":{"text":"LCF_B4"},"5":{"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text":"B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 通过道岔"},"6":{"text":""},"7":{"text":""},"8":{"text":"-0.15"},"9":{"text":"1-0.15"},"10":{"text":""},"11":{"text":""},"12":{"text":""},"13":{"text":""},"14":{"text":"循环次数根据选用的标准确定"},"15":{"text":""},"16":{"text":""},"17":{"text":""},"18":{"text":"侧风载荷根据标准要求确定。"},"19":{"text":"表 B.7 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城铁车辆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车体疲劳仿真分析主要工况（参考 VDV152 标准）"},"20":{"text":"课题1-轨道车辆结构强度仿真分析规范：第1部分：机车与客运车辆车体.pdf"}}},"11":{"cells":{"0":{"text":"206"},"1":{"text":"货运车辆"},"2":{"text":"摇枕"},"3":{"text":"静强度"},"4":{"text":"1"},"5":{"text":""},"6":{"text":"垂向载荷 P + 横向载荷 0.25P"},"7":{"text":""},"8":{"text":"0.25P"},"9":{"text":"P"},"10":{"text":""},"11":{"text":""},"12":{"text":""},"13":{"text":""},"14":{"text":""},"15":{"text":"B 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级钢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"},"16":{"text":"117MPa"},"17":{"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text":"AAR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 M-202"},"18":{"text":"注：1、静强度考核参照 AAR M-202-97 进行，仅作为参考；\n2、各静力学工况载荷值按 AAR M-202-2018 表 4.2 载荷取值；\n3、疲劳载荷 B1、B2、R 按 AAR M-202-2018 表 5.2 载荷取值；\n4、永久变形工况及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心盘垂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向最小极限载荷工况非强度计算必要项，可根据用户要求选择计算。"},"19":{"text":"表 B.2 AAR M-202 标准摇枕考核工况与评价"},"20":{"text":"课题1-轨道车辆结构强度仿真分析规范：第 4 部分：货运车辆转向架.pdf"}}},"12":{"cells":{"0":{"text":"207"},"1":{"text":"货运车辆"},"2":{"text":"摇枕"},"3":{"text":"静强度"},"4":{"text":"1"},"5":{"text":""},"6":{"text":"垂向载荷 P + 横向载荷 0.25P"},"7":{"text":""},"8":{"text":"0.25P"},"9":{"text":"P"},"10":{"text":""},"11":{"text":""},"12":{"text":""},"13":{"text":""},"14":{"text":""},"15":{"text":"B+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级钢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"},"16":{"text":"151MPa"},"17":{"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text":"AAR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 M-202"},"18":{"text":"注：1、静强度考核参照 AAR M-202-97 进行，仅作为参考；\n2、各静力学工况载荷值按 AAR M-202-2018 表 4.2 载荷取值；\n3、疲劳载荷 B1、B2、R 按 AAR M-202-2018 表 5.2 载荷取值；\n4、永久变形工况及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心盘垂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向最小极限载荷工况非强度计算必要项，可根据用户要求选择计算。"},"19":{"text":"表 B.2 AAR M-202 标准摇枕考核工况与评价"},"20":{"text":"课题1-轨道车辆结构强度仿真分析规范：第 4 部分：货运车辆转向架.pdf"}}},"13":{"cells":{"0":{"text":"208"},"1":{"text":"货运车辆"},"2":{"text":"摇枕"},"3":{"text":"静强度"},"4":{"text":"1"},"5":{"text":""},"6":{"text":"垂向载荷 P + 横向载荷 0.25P"},"7":{"text":""},"8":{"text":"0.25P"},"9":{"text":"P"},"10":{"text":""},"11":{"text":""},"12":{"text":""},"13":{"text":""},"14":{"text":""},"15":{"text":"C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级钢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"},"16":{"text":"181MPa"},"17":{"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text":"AAR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 M-202"},"18":{"text":"注：1、静强度考核参照 AAR M-202-97 进行，仅作为参考；\n2、各静力学工况载荷值按 AAR M-202-2018 表 4.2 载荷取值；\n3、疲劳载荷 B1、B2、R 按 AAR M-202-2018 表 5.2 载荷取值；\n4、永久变形工况及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心盘垂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向最小极限载荷工</w:t>
      </w:r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lastRenderedPageBreak/>
        <w:t xml:space="preserve">况非强度计算必要项，可根据用户要求选择计算。"},"19":{"text":"表 B.2 AAR M-202 标准摇枕考核工况与评价"},"20":{"text":"课题1-轨道车辆结构强度仿真分析规范：第 4 部分：货运车辆转向架.pdf"}}},"14":{"cells":{"0":{"text":"209"},"1":{"text":"货运车辆"},"2":{"text":"摇枕"},"3":{"text":"横向载荷下的弹性变形"},"4":{"text":"2"},"5":{"text":""},"6":{"text":"0.95P"},"7":{"text":""},"8":{"text":""},"9":{"text":""},"10":{"text":""},"11":{"text":""},"12":{"text":""},"13":{"text":""},"14":{"text":""},"15":{"text":"B 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级钢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"},"16":{"text":"1.91mm"},"17":{"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text":"AAR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 M-202"},"18":{"text":"注：1、静强度考核参照 AAR M-202-97 进行，仅作为参考；\n2、各静力学工况载荷值按 AAR M-202-2018 表 4.2 载荷取值；\n3、疲劳载荷 B1、B2、R 按 AAR M-202-2018 表 5.2 载荷取值；\n4、永久变形工况及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心盘垂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向最小极限载荷工况非强度计算必要项，可根据用户要求选择计算。"},"19":{"text":"表 B.2 AAR M-202 标准摇枕考核工况与评价"},"20":{"text":"课题1-轨道车辆结构强度仿真分析规范：第 4 部分：货运车辆转向架.pdf"}}},"15":{"cells":{"0":{"text":"210"},"1":{"text":"货运车辆"},"2":{"text":"摇枕"},"3":{"text":"横向载荷下的弹性变形"},"4":{"text":"2"},"5":{"text":""},"6":{"text":"0.95P"},"7":{"text":""},"8":{"text":""},"9":{"text":""},"10":{"text":""},"11":{"text":""},"12":{"text":""},"13":{"text":""},"14":{"text":""},"15":{"text":"B+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级钢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"},"16":{"text":"2.54mm"},"17":{"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text":"AAR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 xml:space="preserve"> M-202"},"18":{"text":"注：1、静强度考核参照 AAR M-202-97 进行，仅作为参考；\n2、各静力学工况载荷值按 AAR M-202-2018 表 4.2 载荷取值；\n3、疲劳载荷 B1、B2、R 按 AAR M-202-2018 表 5.2 载荷取值；\n4、永久变形工况及</w:t>
      </w:r>
      <w:proofErr w:type="gram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心盘垂</w:t>
      </w:r>
      <w:proofErr w:type="gram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向最小极限载荷工况非强度计算必要项，可根据用户要求选择计算。"},"19":{"text":"表 B.2 AAR M-202 标准摇枕考核工况与评价"},"20":{"text":"课题1-轨道车辆结构强度仿真分析规范：第 4 部分：货运车辆转向架.pdf"}}}},"cols":{},"validations":[],"</w:t>
      </w:r>
      <w:proofErr w:type="spellStart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autofilter</w:t>
      </w:r>
      <w:proofErr w:type="spellEnd"/>
      <w:r w:rsidRPr="00564E5C">
        <w:rPr>
          <w:rFonts w:ascii="宋体" w:eastAsia="宋体" w:hAnsi="宋体" w:cs="宋体" w:hint="eastAsia"/>
          <w:color w:val="000000"/>
          <w:kern w:val="0"/>
          <w:sz w:val="22"/>
        </w:rPr>
        <w:t>":{}}]}</w:t>
      </w:r>
    </w:p>
    <w:p w14:paraId="5621C58F" w14:textId="77777777" w:rsidR="00E94DD2" w:rsidRPr="00564E5C" w:rsidRDefault="00E94DD2" w:rsidP="00564E5C">
      <w:pPr>
        <w:rPr>
          <w:rFonts w:hint="eastAsia"/>
        </w:rPr>
      </w:pPr>
    </w:p>
    <w:sectPr w:rsidR="00E94DD2" w:rsidRPr="00564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08"/>
    <w:rsid w:val="002E07B9"/>
    <w:rsid w:val="00401481"/>
    <w:rsid w:val="00564E5C"/>
    <w:rsid w:val="008544B0"/>
    <w:rsid w:val="00882AC2"/>
    <w:rsid w:val="008A493F"/>
    <w:rsid w:val="00A41A08"/>
    <w:rsid w:val="00E94DD2"/>
    <w:rsid w:val="00FA7C33"/>
    <w:rsid w:val="00FF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400F9-4ED0-4370-A0A4-6D6A741C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1A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A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A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A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A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A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A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A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1A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1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1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1A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1A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1A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1A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1A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1A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1A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A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1A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A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1A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A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A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1A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1285</Words>
  <Characters>7327</Characters>
  <Application>Microsoft Office Word</Application>
  <DocSecurity>0</DocSecurity>
  <Lines>61</Lines>
  <Paragraphs>17</Paragraphs>
  <ScaleCrop>false</ScaleCrop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Lijie Feng</dc:creator>
  <cp:keywords/>
  <dc:description/>
  <cp:lastModifiedBy>Lijie Feng</cp:lastModifiedBy>
  <cp:revision>3</cp:revision>
  <dcterms:created xsi:type="dcterms:W3CDTF">2025-04-14T02:54:00Z</dcterms:created>
  <dcterms:modified xsi:type="dcterms:W3CDTF">2025-04-14T03:02:00Z</dcterms:modified>
</cp:coreProperties>
</file>