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left"/>
      </w:pPr>
      <w:r>
        <w:rPr>
          <w:rFonts w:ascii="Arial" w:hAnsi="Arial"/>
          <w:b/>
          <w:color w:val="000000"/>
          <w:sz w:val="50"/>
        </w:rPr>
        <w:t>SAP BIB Extension Library</w:t>
        <w:br/>
        <w:t>Change Summary</w:t>
      </w:r>
    </w:p>
    <w:p>
      <w:pPr>
        <w:pStyle w:val="Subtitle"/>
      </w:pPr>
      <w:r>
        <w:rPr>
          <w:rFonts w:ascii="Arial" w:hAnsi="Arial"/>
          <w:color w:val="667085"/>
          <w:sz w:val="24"/>
        </w:rPr>
        <w:t>Employee Central to SAP HCM Integration</w:t>
      </w:r>
    </w:p>
    <w:p>
      <w:pPr>
        <w:spacing w:before="480" w:after="120"/>
      </w:pPr>
      <w:r>
        <w:rPr>
          <w:rFonts w:ascii="Arial" w:hAnsi="Arial"/>
          <w:b/>
          <w:color w:val="2F5597"/>
          <w:sz w:val="17"/>
        </w:rPr>
        <w:t>TECHNICAL CHANGE SUMMARY</w:t>
      </w:r>
    </w:p>
    <w:tbl>
      <w:tblPr>
        <w:tblW w:type="auto" w:w="0"/>
        <w:jc w:val="left"/>
        <w:tblLayout w:type="fixed"/>
        <w:tblLook w:firstColumn="1" w:firstRow="1" w:lastColumn="0" w:lastRow="0" w:noHBand="0" w:noVBand="1" w:val="04A0"/>
      </w:tblPr>
      <w:tblGrid>
        <w:gridCol w:w="4997"/>
        <w:gridCol w:w="4997"/>
      </w:tblGrid>
      <w:tr>
        <w:trPr>
          <w:cantSplit/>
        </w:trPr>
        <w:tc>
          <w:tcPr>
            <w:tcW w:type="dxa" w:w="19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1F8"/>
          </w:tcPr>
          <w:p>
            <w:pPr>
              <w:spacing w:after="0" w:line="259" w:lineRule="auto"/>
              <w:jc w:val="left"/>
            </w:pPr>
            <w:r/>
            <w:r>
              <w:rPr>
                <w:rFonts w:ascii="Arial" w:hAnsi="Arial"/>
                <w:b/>
                <w:color w:val="17365D"/>
                <w:sz w:val="18"/>
              </w:rPr>
              <w:t>Purpose</w:t>
            </w:r>
          </w:p>
        </w:tc>
        <w:tc>
          <w:tcPr>
            <w:tcW w:type="dxa" w:w="75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Summarize implemented BIB extensions, configuration decisions, evidence, and remaining validation</w:t>
            </w:r>
          </w:p>
        </w:tc>
      </w:tr>
      <w:tr>
        <w:trPr>
          <w:cantSplit/>
        </w:trPr>
        <w:tc>
          <w:tcPr>
            <w:tcW w:type="dxa" w:w="19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1F8"/>
          </w:tcPr>
          <w:p>
            <w:pPr>
              <w:spacing w:after="0" w:line="259" w:lineRule="auto"/>
              <w:jc w:val="left"/>
            </w:pPr>
            <w:r/>
            <w:r>
              <w:rPr>
                <w:rFonts w:ascii="Arial" w:hAnsi="Arial"/>
                <w:b/>
                <w:color w:val="17365D"/>
                <w:sz w:val="18"/>
              </w:rPr>
              <w:t>Code baseline</w:t>
            </w:r>
          </w:p>
        </w:tc>
        <w:tc>
          <w:tcPr>
            <w:tcW w:type="dxa" w:w="75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Local main and local origin main reference at 8c09321</w:t>
            </w:r>
          </w:p>
        </w:tc>
      </w:tr>
      <w:tr>
        <w:trPr>
          <w:cantSplit/>
        </w:trPr>
        <w:tc>
          <w:tcPr>
            <w:tcW w:type="dxa" w:w="19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1F8"/>
          </w:tcPr>
          <w:p>
            <w:pPr>
              <w:spacing w:after="0" w:line="259" w:lineRule="auto"/>
              <w:jc w:val="left"/>
            </w:pPr>
            <w:r/>
            <w:r>
              <w:rPr>
                <w:rFonts w:ascii="Arial" w:hAnsi="Arial"/>
                <w:b/>
                <w:color w:val="17365D"/>
                <w:sz w:val="18"/>
              </w:rPr>
              <w:t>Reporting date</w:t>
            </w:r>
          </w:p>
        </w:tc>
        <w:tc>
          <w:tcPr>
            <w:tcW w:type="dxa" w:w="75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9 September 2026</w:t>
            </w:r>
          </w:p>
        </w:tc>
      </w:tr>
      <w:tr>
        <w:trPr>
          <w:cantSplit/>
        </w:trPr>
        <w:tc>
          <w:tcPr>
            <w:tcW w:type="dxa" w:w="194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AF1F8"/>
          </w:tcPr>
          <w:p>
            <w:pPr>
              <w:spacing w:after="0" w:line="259" w:lineRule="auto"/>
              <w:jc w:val="left"/>
            </w:pPr>
            <w:r/>
            <w:r>
              <w:rPr>
                <w:rFonts w:ascii="Arial" w:hAnsi="Arial"/>
                <w:b/>
                <w:color w:val="17365D"/>
                <w:sz w:val="18"/>
              </w:rPr>
              <w:t>Audience</w:t>
            </w:r>
          </w:p>
        </w:tc>
        <w:tc>
          <w:tcPr>
            <w:tcW w:type="dxa" w:w="75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SAP integration developers, functional analysts, and technical reviewers</w:t>
            </w:r>
          </w:p>
        </w:tc>
      </w:tr>
    </w:tbl>
    <w:p>
      <w:pPr>
        <w:spacing w:before="440" w:after="0"/>
      </w:pPr>
      <w:r>
        <w:rPr>
          <w:rFonts w:ascii="Arial" w:hAnsi="Arial"/>
          <w:b/>
          <w:color w:val="000000"/>
          <w:sz w:val="21"/>
        </w:rPr>
        <w:t>Current conclusion</w:t>
      </w:r>
    </w:p>
    <w:p>
      <w:pPr>
        <w:spacing w:after="0" w:line="269" w:lineRule="auto"/>
      </w:pPr>
      <w:r>
        <w:rPr>
          <w:rFonts w:ascii="Arial" w:hAnsi="Arial"/>
          <w:color w:val="000000"/>
          <w:sz w:val="20"/>
        </w:rPr>
        <w:t>The library now contains employee-scoped payload retrieval and custom processing for several infotypes. The implementation is not fully production-verified: IT0014 is incomplete, the main dispatcher currently has IT0014 and IT0015 commented out, and several new payload getters are not wired to an infotype transformation.</w:t>
      </w:r>
    </w:p>
    <w:p>
      <w:pPr>
        <w:sectPr>
          <w:pgSz w:w="12240" w:h="15840"/>
          <w:pgMar w:top="1037" w:right="1123" w:bottom="979" w:left="1123" w:header="461" w:footer="504" w:gutter="0"/>
          <w:cols w:space="720"/>
          <w:docGrid w:linePitch="360"/>
        </w:sectPr>
      </w:pPr>
    </w:p>
    <w:p>
      <w:pPr>
        <w:keepNext/>
        <w:spacing w:after="100"/>
      </w:pPr>
      <w:r>
        <w:rPr>
          <w:rFonts w:ascii="Arial" w:hAnsi="Arial"/>
          <w:b/>
          <w:color w:val="2F5597"/>
          <w:sz w:val="16"/>
        </w:rPr>
        <w:t>DOCUMENT OVERVIEW</w:t>
      </w:r>
    </w:p>
    <w:p>
      <w:pPr>
        <w:pStyle w:val="Heading1"/>
        <w:keepNext/>
      </w:pPr>
      <w:r>
        <w:t>Executive Summary</w:t>
      </w:r>
    </w:p>
    <w:p>
      <w:pPr>
        <w:spacing w:after="120" w:line="269" w:lineRule="auto"/>
      </w:pPr>
      <w:r>
        <w:rPr>
          <w:rFonts w:ascii="Arial" w:hAnsi="Arial"/>
          <w:color w:val="000000"/>
          <w:sz w:val="20"/>
        </w:rPr>
        <w:t>The changes concentrate on three concerns: selecting only the requested employee's payload nodes, translating selected payloads into SAP infotype records, and routing the BAdI call by infotype. The employee filter follows the payload parent-child hierarchy. In this codebase, the word current usually means employee-scoped; it does not by itself mean the latest effective-dated row.</w:t>
      </w:r>
    </w:p>
    <w:p>
      <w:pPr>
        <w:pStyle w:val="Heading2"/>
        <w:keepNext/>
      </w:pPr>
      <w:r>
        <w:t>Implementation at a Glance</w:t>
      </w:r>
    </w:p>
    <w:p>
      <w:pPr>
        <w:spacing w:after="160"/>
      </w:pPr>
      <w:r>
        <w:rPr>
          <w:rFonts w:ascii="Arial" w:hAnsi="Arial"/>
          <w:b/>
          <w:color w:val="2F6B4F"/>
          <w:sz w:val="17"/>
        </w:rPr>
        <w:t xml:space="preserve">Implemented    </w:t>
      </w:r>
      <w:r>
        <w:rPr>
          <w:rFonts w:ascii="Arial" w:hAnsi="Arial"/>
          <w:b/>
          <w:color w:val="8A5A00"/>
          <w:sz w:val="17"/>
        </w:rPr>
        <w:t xml:space="preserve">Partial    </w:t>
      </w:r>
      <w:r>
        <w:rPr>
          <w:rFonts w:ascii="Arial" w:hAnsi="Arial"/>
          <w:b/>
          <w:color w:val="9C2F2F"/>
          <w:sz w:val="17"/>
        </w:rPr>
        <w:t xml:space="preserve">Disabled    </w:t>
      </w:r>
      <w:r>
        <w:rPr>
          <w:rFonts w:ascii="Arial" w:hAnsi="Arial"/>
          <w:b/>
          <w:color w:val="667085"/>
          <w:sz w:val="17"/>
        </w:rPr>
        <w:t>Open validation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Area</w:t>
            </w:r>
          </w:p>
        </w:tc>
        <w:tc>
          <w:tcPr>
            <w:tcW w:type="dxa" w:w="16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Current status</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What the code does</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Important boundary</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Employee-scoped getters</w:t>
            </w:r>
          </w:p>
        </w:tc>
        <w:tc>
          <w:tcPr>
            <w:tcW w:type="dxa" w:w="16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Implemented</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Selects WS child nodes belonging to the input personnel number</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One legacy helper still uses key-map resolution</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IT0015 Additional Payments</w:t>
            </w:r>
          </w:p>
        </w:tc>
        <w:tc>
          <w:tcPr>
            <w:tcW w:type="dxa" w:w="16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Disabled in dispatcher</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Builds one P0015 record per selected WS13 row</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Method exists and historical test evidence reported three records written</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IT0008 Basic Pay</w:t>
            </w:r>
          </w:p>
        </w:tc>
        <w:tc>
          <w:tcPr>
            <w:tcW w:type="dxa" w:w="16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Implemented</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Applies pay-scale-area logic, required wage types, and currency amount handling</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Business whitelist and live SAP behavior remain to be confirmed</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IT0014 Recurring Payments</w:t>
            </w:r>
          </w:p>
        </w:tc>
        <w:tc>
          <w:tcPr>
            <w:tcW w:type="dxa" w:w="16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Partial and disabled</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Retrieves employee-scoped deduction parent and item payloads</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Does not yet construct or replace P0014 records</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Custom event and savings plan</w:t>
            </w:r>
          </w:p>
        </w:tc>
        <w:tc>
          <w:tcPr>
            <w:tcW w:type="dxa" w:w="16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Getter only</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Selects employee-owned custom event and savings plan nodes</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No conversion or dispatcher wiring</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End to end runtime</w:t>
            </w:r>
          </w:p>
        </w:tc>
        <w:tc>
          <w:tcPr>
            <w:tcW w:type="dxa" w:w="16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Open validation</w:t>
            </w:r>
          </w:p>
        </w:tc>
        <w:tc>
          <w:tcPr>
            <w:tcW w:type="dxa" w:w="36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Static code and repository history support the described behavior</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SAP activation, CPI deployment, and regression execution are not established</w:t>
            </w:r>
          </w:p>
        </w:tc>
      </w:tr>
    </w:tbl>
    <w:p>
      <w:pPr>
        <w:spacing w:after="20"/>
      </w:pPr>
    </w:p>
    <w:p>
      <w:pPr>
        <w:pStyle w:val="Heading2"/>
        <w:keepNext/>
      </w:pPr>
      <w:r>
        <w:t>What Changed</w:t>
      </w:r>
    </w:p>
    <w:p>
      <w:pPr>
        <w:pStyle w:val="ListBullet"/>
        <w:spacing w:after="70" w:line="259" w:lineRule="auto"/>
        <w:ind w:left="288" w:hanging="173"/>
      </w:pPr>
      <w:r>
        <w:rPr>
          <w:rFonts w:ascii="Arial" w:hAnsi="Arial"/>
          <w:color w:val="000000"/>
          <w:sz w:val="20"/>
        </w:rPr>
        <w:t>Added reusable payload getters for WS11, WS13, WS14, recurring deductions, custom events, and savings plans.</w:t>
      </w:r>
    </w:p>
    <w:p>
      <w:pPr>
        <w:pStyle w:val="ListBullet"/>
        <w:spacing w:after="70" w:line="259" w:lineRule="auto"/>
        <w:ind w:left="288" w:hanging="173"/>
      </w:pPr>
      <w:r>
        <w:rPr>
          <w:rFonts w:ascii="Arial" w:hAnsi="Arial"/>
          <w:color w:val="000000"/>
          <w:sz w:val="20"/>
        </w:rPr>
        <w:t>Updated multiple infotype processors to request employee-scoped WS3 and child data and to receive PERNR through the dispatcher.</w:t>
      </w:r>
    </w:p>
    <w:p>
      <w:pPr>
        <w:pStyle w:val="ListBullet"/>
        <w:spacing w:after="70" w:line="259" w:lineRule="auto"/>
        <w:ind w:left="288" w:hanging="173"/>
      </w:pPr>
      <w:r>
        <w:rPr>
          <w:rFonts w:ascii="Arial" w:hAnsi="Arial"/>
          <w:color w:val="000000"/>
          <w:sz w:val="20"/>
        </w:rPr>
        <w:t>Implemented direct P0015 construction and extended IT0008 processing for pay scale area 11.</w:t>
      </w:r>
    </w:p>
    <w:p>
      <w:pPr>
        <w:pStyle w:val="ListBullet"/>
        <w:spacing w:after="70" w:line="259" w:lineRule="auto"/>
        <w:ind w:left="288" w:hanging="173"/>
      </w:pPr>
      <w:r>
        <w:rPr>
          <w:rFonts w:ascii="Arial" w:hAnsi="Arial"/>
          <w:color w:val="000000"/>
          <w:sz w:val="20"/>
        </w:rPr>
        <w:t>Documented the boundary between ABAP behavior, BIB mapping, SAP configuration, and diagnostic evidence.</w:t>
      </w:r>
    </w:p>
    <w:p>
      <w:pPr>
        <w:pStyle w:val="Heading2"/>
        <w:keepNext/>
      </w:pPr>
      <w:r>
        <w:t>Immediate Review Priorities</w:t>
      </w:r>
    </w:p>
    <w:p>
      <w:pPr>
        <w:spacing w:after="120" w:line="269" w:lineRule="auto"/>
      </w:pPr>
      <w:r>
        <w:rPr>
          <w:rFonts w:ascii="Arial" w:hAnsi="Arial"/>
          <w:color w:val="000000"/>
          <w:sz w:val="20"/>
        </w:rPr>
        <w:t>Before production use, the team should decide whether IT0014 and IT0015 must be enabled in the dispatcher, complete the IT0014 record construction, validate the payload hierarchy in SAP, and run representative regression cases for TRFAR 11 and non-11 IT0008 records.</w:t>
      </w:r>
    </w:p>
    <w:p>
      <w:pPr>
        <w:keepNext/>
        <w:spacing w:after="100"/>
      </w:pPr>
      <w:r>
        <w:rPr>
          <w:rFonts w:ascii="Arial" w:hAnsi="Arial"/>
          <w:b/>
          <w:color w:val="2F5597"/>
          <w:sz w:val="16"/>
        </w:rPr>
        <w:t>PART ONE</w:t>
      </w:r>
    </w:p>
    <w:p>
      <w:pPr>
        <w:pStyle w:val="Heading1"/>
        <w:keepNext/>
      </w:pPr>
      <w:r>
        <w:t>Payload Architecture and Employee Scoping</w:t>
      </w:r>
    </w:p>
    <w:p>
      <w:pPr>
        <w:spacing w:after="120" w:line="269" w:lineRule="auto"/>
      </w:pPr>
      <w:r>
        <w:rPr>
          <w:rFonts w:ascii="Arial" w:hAnsi="Arial"/>
          <w:color w:val="000000"/>
          <w:sz w:val="20"/>
        </w:rPr>
        <w:t>The new getters narrow a shared Employee Central payload to the employee supplied in PERNR. They first locate the matching WS3 record and then select the requested child nodes through parent_node_number. This prevents an infotype processor from consuming another employee's child payload when the payload contains more than one person.</w:t>
      </w:r>
    </w:p>
    <w:p>
      <w:pPr>
        <w:pStyle w:val="Heading2"/>
        <w:keepNext/>
      </w:pPr>
      <w:r>
        <w:t>Selection Flow</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800"/>
            <w:shd w:fill="EAF1F8"/>
            <w:tcMar>
              <w:top w:w="150" w:type="dxa"/>
              <w:start w:w="120" w:type="dxa"/>
              <w:bottom w:w="150" w:type="dxa"/>
              <w:end w:w="120" w:type="dxa"/>
            </w:tcMar>
            <w:tcBorders>
              <w:top w:val="single" w:sz="6" w:color="B8C7D9"/>
              <w:left w:val="single" w:sz="6" w:color="B8C7D9"/>
              <w:bottom w:val="single" w:sz="6" w:color="B8C7D9"/>
              <w:right w:val="single" w:sz="6" w:color="B8C7D9"/>
              <w:insideH w:val="single" w:sz="6" w:color="B8C7D9"/>
              <w:insideV w:val="single" w:sz="6" w:color="B8C7D9"/>
            </w:tcBorders>
            <w:vAlign w:val="center"/>
          </w:tcPr>
          <w:p>
            <w:pPr>
              <w:jc w:val="center"/>
            </w:pPr>
            <w:r/>
            <w:r>
              <w:rPr>
                <w:rFonts w:ascii="Arial" w:hAnsi="Arial"/>
                <w:b/>
                <w:color w:val="2F5597"/>
                <w:sz w:val="16"/>
              </w:rPr>
              <w:t>1</w:t>
              <w:br/>
            </w:r>
            <w:r>
              <w:rPr>
                <w:rFonts w:ascii="Arial" w:hAnsi="Arial"/>
                <w:b/>
                <w:color w:val="000000"/>
                <w:sz w:val="18"/>
              </w:rPr>
              <w:t>Input PERNR</w:t>
            </w:r>
          </w:p>
        </w:tc>
        <w:tc>
          <w:tcPr>
            <w:tcW w:type="dxa" w:w="432"/>
            <w:shd w:fill="FFFFFF"/>
            <w:tcMar>
              <w:top w:w="150" w:type="dxa"/>
              <w:start w:w="120" w:type="dxa"/>
              <w:bottom w:w="150" w:type="dxa"/>
              <w:end w:w="120" w:type="dxa"/>
            </w:tcMar>
            <w:tcBorders>
              <w:top w:val="single" w:sz="0" w:color="FFFFFF"/>
              <w:left w:val="single" w:sz="0" w:color="FFFFFF"/>
              <w:bottom w:val="single" w:sz="0" w:color="FFFFFF"/>
              <w:right w:val="single" w:sz="0" w:color="FFFFFF"/>
              <w:insideH w:val="single" w:sz="0" w:color="FFFFFF"/>
              <w:insideV w:val="single" w:sz="0" w:color="FFFFFF"/>
            </w:tcBorders>
            <w:vAlign w:val="center"/>
          </w:tcPr>
          <w:p>
            <w:pPr>
              <w:jc w:val="center"/>
            </w:pPr>
            <w:r/>
            <w:r>
              <w:rPr>
                <w:rFonts w:ascii="Arial" w:hAnsi="Arial"/>
                <w:b w:val="0"/>
                <w:color w:val="667085"/>
                <w:sz w:val="18"/>
              </w:rPr>
              <w:t>&gt;</w:t>
            </w:r>
          </w:p>
        </w:tc>
        <w:tc>
          <w:tcPr>
            <w:tcW w:type="dxa" w:w="2520"/>
            <w:shd w:fill="EAF1F8"/>
            <w:tcMar>
              <w:top w:w="150" w:type="dxa"/>
              <w:start w:w="120" w:type="dxa"/>
              <w:bottom w:w="150" w:type="dxa"/>
              <w:end w:w="120" w:type="dxa"/>
            </w:tcMar>
            <w:tcBorders>
              <w:top w:val="single" w:sz="6" w:color="B8C7D9"/>
              <w:left w:val="single" w:sz="6" w:color="B8C7D9"/>
              <w:bottom w:val="single" w:sz="6" w:color="B8C7D9"/>
              <w:right w:val="single" w:sz="6" w:color="B8C7D9"/>
              <w:insideH w:val="single" w:sz="6" w:color="B8C7D9"/>
              <w:insideV w:val="single" w:sz="6" w:color="B8C7D9"/>
            </w:tcBorders>
            <w:vAlign w:val="center"/>
          </w:tcPr>
          <w:p>
            <w:pPr>
              <w:jc w:val="center"/>
            </w:pPr>
            <w:r/>
            <w:r>
              <w:rPr>
                <w:rFonts w:ascii="Arial" w:hAnsi="Arial"/>
                <w:b/>
                <w:color w:val="2F5597"/>
                <w:sz w:val="16"/>
              </w:rPr>
              <w:t>2</w:t>
              <w:br/>
            </w:r>
            <w:r>
              <w:rPr>
                <w:rFonts w:ascii="Arial" w:hAnsi="Arial"/>
                <w:b/>
                <w:color w:val="000000"/>
                <w:sz w:val="18"/>
              </w:rPr>
              <w:t>Matching WS3 node</w:t>
            </w:r>
          </w:p>
        </w:tc>
        <w:tc>
          <w:tcPr>
            <w:tcW w:type="dxa" w:w="432"/>
            <w:shd w:fill="FFFFFF"/>
            <w:tcMar>
              <w:top w:w="150" w:type="dxa"/>
              <w:start w:w="120" w:type="dxa"/>
              <w:bottom w:w="150" w:type="dxa"/>
              <w:end w:w="120" w:type="dxa"/>
            </w:tcMar>
            <w:tcBorders>
              <w:top w:val="single" w:sz="0" w:color="FFFFFF"/>
              <w:left w:val="single" w:sz="0" w:color="FFFFFF"/>
              <w:bottom w:val="single" w:sz="0" w:color="FFFFFF"/>
              <w:right w:val="single" w:sz="0" w:color="FFFFFF"/>
              <w:insideH w:val="single" w:sz="0" w:color="FFFFFF"/>
              <w:insideV w:val="single" w:sz="0" w:color="FFFFFF"/>
            </w:tcBorders>
            <w:vAlign w:val="center"/>
          </w:tcPr>
          <w:p>
            <w:pPr>
              <w:jc w:val="center"/>
            </w:pPr>
            <w:r/>
            <w:r>
              <w:rPr>
                <w:rFonts w:ascii="Arial" w:hAnsi="Arial"/>
                <w:b w:val="0"/>
                <w:color w:val="667085"/>
                <w:sz w:val="18"/>
              </w:rPr>
              <w:t>&gt;</w:t>
            </w:r>
          </w:p>
        </w:tc>
        <w:tc>
          <w:tcPr>
            <w:tcW w:type="dxa" w:w="3960"/>
            <w:shd w:fill="EAF1F8"/>
            <w:tcMar>
              <w:top w:w="150" w:type="dxa"/>
              <w:start w:w="120" w:type="dxa"/>
              <w:bottom w:w="150" w:type="dxa"/>
              <w:end w:w="120" w:type="dxa"/>
            </w:tcMar>
            <w:tcBorders>
              <w:top w:val="single" w:sz="6" w:color="B8C7D9"/>
              <w:left w:val="single" w:sz="6" w:color="B8C7D9"/>
              <w:bottom w:val="single" w:sz="6" w:color="B8C7D9"/>
              <w:right w:val="single" w:sz="6" w:color="B8C7D9"/>
              <w:insideH w:val="single" w:sz="6" w:color="B8C7D9"/>
              <w:insideV w:val="single" w:sz="6" w:color="B8C7D9"/>
            </w:tcBorders>
            <w:vAlign w:val="center"/>
          </w:tcPr>
          <w:p>
            <w:pPr>
              <w:jc w:val="center"/>
            </w:pPr>
            <w:r/>
            <w:r>
              <w:rPr>
                <w:rFonts w:ascii="Arial" w:hAnsi="Arial"/>
                <w:b/>
                <w:color w:val="2F5597"/>
                <w:sz w:val="16"/>
              </w:rPr>
              <w:t>3</w:t>
              <w:br/>
            </w:r>
            <w:r>
              <w:rPr>
                <w:rFonts w:ascii="Arial" w:hAnsi="Arial"/>
                <w:b/>
                <w:color w:val="000000"/>
                <w:sz w:val="18"/>
              </w:rPr>
              <w:t>Child nodes with matching parent</w:t>
            </w:r>
          </w:p>
        </w:tc>
      </w:tr>
    </w:tbl>
    <w:p>
      <w:pPr>
        <w:spacing w:after="20"/>
      </w:pPr>
    </w:p>
    <w:p>
      <w:pPr>
        <w:pStyle w:val="Heading2"/>
        <w:keepNext/>
      </w:pPr>
      <w:r>
        <w:t>Getter Inventory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Getter</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Payload scope</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Employee resolution</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Current use</w:t>
            </w:r>
          </w:p>
        </w:tc>
      </w:tr>
      <w:tr>
        <w:trPr>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GET_CURRENT_WS4_WS3</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WS3 and WS4</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PERNR may be resolved through ECPAO_EE_KMAP</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IT0000, 0001, 0007, 0008, 0017, 0019, 0033, 0105, 0171</w:t>
            </w:r>
          </w:p>
        </w:tc>
      </w:tr>
      <w:tr>
        <w:trPr>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GET_CURRENT_WS11</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WS11 child of WS3</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Direct WS3 userId to PERNR match</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IT0008</w:t>
            </w:r>
          </w:p>
        </w:tc>
      </w:tr>
      <w:tr>
        <w:trPr>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GET_CURRENT_WS13</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WS13 child of WS3</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Direct WS3 userId to PERNR match</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IT0015 method</w:t>
            </w:r>
          </w:p>
        </w:tc>
      </w:tr>
      <w:tr>
        <w:trPr>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GET_WS13</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Entire WS13 payload</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No employee or date filter</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No current call site</w:t>
            </w:r>
          </w:p>
        </w:tc>
      </w:tr>
      <w:tr>
        <w:trPr>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GET_CURRENT_WS14</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WS14 child of WS3</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Direct WS3 userId to PERNR match</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IT0009</w:t>
            </w:r>
          </w:p>
        </w:tc>
      </w:tr>
      <w:tr>
        <w:trPr>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GET_CURRENT_DEDUCTION</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9_WS_REC and 9_WS_RECDE hierarchy</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Direct WS3 userId to PERNR match</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IT0014 method</w:t>
            </w:r>
          </w:p>
        </w:tc>
      </w:tr>
      <w:tr>
        <w:trPr>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GET_CURRENT_</w:t>
              <w:br/>
              <w:t>CUSTOM_EVENT</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9_EVT_REC child of WS3</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Direct WS3 userId to PERNR match</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6"/>
              </w:rPr>
              <w:t>No current call site</w:t>
            </w:r>
          </w:p>
        </w:tc>
      </w:tr>
      <w:tr>
        <w:trPr>
          <w:cantSplit/>
        </w:trPr>
        <w:tc>
          <w:tcPr>
            <w:tcW w:type="dxa" w:w="266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GET_CURRENT_</w:t>
              <w:br/>
              <w:t>SAVING_PLAN</w:t>
            </w:r>
          </w:p>
        </w:tc>
        <w:tc>
          <w:tcPr>
            <w:tcW w:type="dxa" w:w="187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9_SAV_PLAN child of WS3</w:t>
            </w:r>
          </w:p>
        </w:tc>
        <w:tc>
          <w:tcPr>
            <w:tcW w:type="dxa" w:w="273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Direct WS3 userId to PERNR match</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6"/>
              </w:rPr>
              <w:t>No current call site</w:t>
            </w:r>
          </w:p>
        </w:tc>
      </w:tr>
    </w:tbl>
    <w:p>
      <w:pPr>
        <w:spacing w:after="20"/>
      </w:pPr>
    </w:p>
    <w:p>
      <w:pPr>
        <w:pStyle w:val="Heading2"/>
        <w:keepNext/>
      </w:pPr>
      <w:r>
        <w:t>Design Boundaries</w:t>
      </w:r>
    </w:p>
    <w:p>
      <w:pPr>
        <w:pStyle w:val="ListBullet"/>
        <w:spacing w:after="70" w:line="259" w:lineRule="auto"/>
        <w:ind w:left="288" w:hanging="173"/>
      </w:pPr>
      <w:r>
        <w:rPr>
          <w:rFonts w:ascii="Arial" w:hAnsi="Arial"/>
          <w:color w:val="000000"/>
          <w:sz w:val="20"/>
        </w:rPr>
        <w:t>Employee scoping depends on the node hierarchy contained in the runtime payload. It is not a date-ranking algorithm.</w:t>
      </w:r>
    </w:p>
    <w:p>
      <w:pPr>
        <w:pStyle w:val="ListBullet"/>
        <w:spacing w:after="70" w:line="259" w:lineRule="auto"/>
        <w:ind w:left="288" w:hanging="173"/>
      </w:pPr>
      <w:r>
        <w:rPr>
          <w:rFonts w:ascii="Arial" w:hAnsi="Arial"/>
          <w:color w:val="000000"/>
          <w:sz w:val="20"/>
        </w:rPr>
        <w:t>GET_CURRENT_WS4_WS3 differs from the newer helpers because it can resolve the input through ECPAO_EE_KMAP before matching WS3.</w:t>
      </w:r>
    </w:p>
    <w:p>
      <w:pPr>
        <w:pStyle w:val="ListBullet"/>
        <w:spacing w:after="70" w:line="259" w:lineRule="auto"/>
        <w:ind w:left="288" w:hanging="173"/>
      </w:pPr>
      <w:r>
        <w:rPr>
          <w:rFonts w:ascii="Arial" w:hAnsi="Arial"/>
          <w:color w:val="000000"/>
          <w:sz w:val="20"/>
        </w:rPr>
        <w:t>The WS14 implementation assumes that WS14 is directly attached to WS3. That topology still requires debugger confirmation in the target SAP system.</w:t>
      </w:r>
    </w:p>
    <w:p>
      <w:pPr>
        <w:keepNext/>
        <w:spacing w:after="100"/>
      </w:pPr>
      <w:r>
        <w:rPr>
          <w:rFonts w:ascii="Arial" w:hAnsi="Arial"/>
          <w:b/>
          <w:color w:val="2F5597"/>
          <w:sz w:val="16"/>
        </w:rPr>
        <w:t>PART TWO</w:t>
      </w:r>
    </w:p>
    <w:p>
      <w:pPr>
        <w:pStyle w:val="Heading1"/>
        <w:keepNext/>
      </w:pPr>
      <w:r>
        <w:t>Infotype Processing Changes</w:t>
      </w:r>
    </w:p>
    <w:p>
      <w:pPr>
        <w:pStyle w:val="Heading2"/>
        <w:keepNext/>
      </w:pPr>
      <w:r>
        <w:t>IT0015 Additional Payments</w:t>
      </w:r>
    </w:p>
    <w:p>
      <w:pPr>
        <w:spacing w:after="120" w:line="269" w:lineRule="auto"/>
      </w:pPr>
      <w:r>
        <w:rPr>
          <w:rFonts w:ascii="Arial" w:hAnsi="Arial"/>
          <w:color w:val="000000"/>
          <w:sz w:val="20"/>
        </w:rPr>
        <w:t>PROCESS_INFOTYPE_0015 now calls GET_CURRENT_WS13, sorts the selected rows by begin date, and creates a fresh P0015 record for each payload row. The method replaces PNNNN_TAB with the constructed result set.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WS13 source</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P0015 target</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Transformation</w:t>
            </w:r>
          </w:p>
        </w:tc>
      </w:tr>
      <w:tr>
        <w:trPr>
          <w:cantSplit/>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Payload dates</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BEGDA and ENDDA</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Copied from the WS13 payload row</w:t>
            </w:r>
          </w:p>
        </w:tc>
      </w:tr>
      <w:tr>
        <w:trPr>
          <w:cantSplit/>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payComponentCode</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LGART</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Split at underscore; first segment is used</w:t>
            </w:r>
          </w:p>
        </w:tc>
      </w:tr>
      <w:tr>
        <w:trPr>
          <w:cantSplit/>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value</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BETRG</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Copied as the amount</w:t>
            </w:r>
          </w:p>
        </w:tc>
      </w:tr>
      <w:tr>
        <w:trPr>
          <w:cantSplit/>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currencyCode</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WAERS</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Copied when supplied; CAD is the initial default</w:t>
            </w:r>
          </w:p>
        </w:tc>
      </w:tr>
      <w:tr>
        <w:trPr>
          <w:cantSplit/>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customString1</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ZUORD</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Copied to assignment number</w:t>
            </w:r>
          </w:p>
        </w:tc>
      </w:tr>
      <w:tr>
        <w:trPr>
          <w:cantSplit/>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Derived</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SUBTY</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Set equal to LGART</w:t>
            </w:r>
          </w:p>
        </w:tc>
      </w:tr>
      <w:tr>
        <w:trPr>
          <w:cantSplit/>
        </w:trPr>
        <w:tc>
          <w:tcPr>
            <w:tcW w:type="dxa" w:w="237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Method parameter</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PERNR</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Copied from PERNR</w:t>
            </w:r>
          </w:p>
        </w:tc>
      </w:tr>
    </w:tbl>
    <w:p>
      <w:pPr>
        <w:spacing w:after="20"/>
      </w:pPr>
    </w:p>
    <w:p>
      <w:pPr>
        <w:spacing w:after="120" w:line="269" w:lineRule="auto"/>
      </w:pPr>
      <w:r>
        <w:rPr>
          <w:rFonts w:ascii="Arial" w:hAnsi="Arial"/>
          <w:color w:val="000000"/>
          <w:sz w:val="20"/>
        </w:rPr>
        <w:t>A historical functional check reported that three IT0015 records were written. That result is useful evidence for the transformation method, but the main dispatcher currently comments out the IT0015 branch. The method therefore does not run through the checked-in dispatcher unless the branch is restored or invoked elsewhere.</w:t>
      </w:r>
    </w:p>
    <w:p>
      <w:pPr>
        <w:pStyle w:val="Heading2"/>
        <w:keepNext/>
      </w:pPr>
      <w:r>
        <w:t>IT0008 Basic Pay</w:t>
      </w:r>
    </w:p>
    <w:p>
      <w:pPr>
        <w:spacing w:after="120" w:line="269" w:lineRule="auto"/>
      </w:pPr>
      <w:r>
        <w:rPr>
          <w:rFonts w:ascii="Arial" w:hAnsi="Arial"/>
          <w:color w:val="000000"/>
          <w:sz w:val="20"/>
        </w:rPr>
        <w:t>PROCESS_INFOTYPE_0008 adds employee-scoped WS11 and WS4 retrieval, updates PREAS and employment percentage from the selected payloads, and separates the pay scale area 11 path from the earlier non-11 salary handling.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Condition</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Implemented behavior</w:t>
            </w:r>
          </w:p>
        </w:tc>
        <w:tc>
          <w:tcPr>
            <w:tcW w:type="dxa" w:w="28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Review note</w:t>
            </w:r>
          </w:p>
        </w:tc>
      </w:tr>
      <w:tr>
        <w:trPr>
          <w:cantSplit/>
        </w:trP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TRFAR equals 11 before the main loop</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Delete rows whose LGA01 is not 17xx, 18xx, or 1004</w:t>
            </w:r>
          </w:p>
        </w:tc>
        <w:tc>
          <w:tcPr>
            <w:tcW w:type="dxa" w:w="28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The deletion gate examines LGA01 only</w:t>
            </w:r>
          </w:p>
        </w:tc>
      </w:tr>
      <w:tr>
        <w:trPr>
          <w:cantSplit/>
        </w:trP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TRFAR equals 11 in the main loop</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Clear TRFST and set CPIND to T</w:t>
            </w:r>
          </w:p>
        </w:tc>
        <w:tc>
          <w:tcPr>
            <w:tcW w:type="dxa" w:w="28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Confirm expected downstream defaults</w:t>
            </w:r>
          </w:p>
        </w:tc>
      </w:tr>
      <w:tr>
        <w:trPr>
          <w:cantSplit/>
        </w:trP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Required wage types</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Scan LGA01 through LGA40 for 1745 and 1805</w:t>
            </w:r>
          </w:p>
        </w:tc>
        <w:tc>
          <w:tcPr>
            <w:tcW w:type="dxa" w:w="28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Existing entries are preserved</w:t>
            </w:r>
          </w:p>
        </w:tc>
      </w:tr>
      <w:tr>
        <w:trPr>
          <w:cantSplit/>
        </w:trP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Required wage type missing</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Insert into the first empty LGA slot and clear the matching BET slot</w:t>
            </w:r>
          </w:p>
        </w:tc>
        <w:tc>
          <w:tcPr>
            <w:tcW w:type="dxa" w:w="28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Confirm behavior when no empty slot exists</w:t>
            </w:r>
          </w:p>
        </w:tc>
      </w:tr>
      <w:tr>
        <w:trPr>
          <w:cantSplit/>
        </w:trP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TRFAR is not 11 and LGA01 is 9993</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Convert LGA01 to 1003 and apply annualization logic</w:t>
            </w:r>
          </w:p>
        </w:tc>
        <w:tc>
          <w:tcPr>
            <w:tcW w:type="dxa" w:w="28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Earlier behavior is retained</w:t>
            </w:r>
          </w:p>
        </w:tc>
      </w:tr>
      <w:tr>
        <w:trPr>
          <w:cantSplit/>
        </w:trPr>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WAERS equals CADHR</w:t>
            </w:r>
          </w:p>
        </w:tc>
        <w:tc>
          <w:tcPr>
            <w:tcW w:type="dxa" w:w="4824"/>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Multiply BET01 by 100</w:t>
            </w:r>
          </w:p>
        </w:tc>
        <w:tc>
          <w:tcPr>
            <w:tcW w:type="dxa" w:w="28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Condition applies after the branch logic</w:t>
            </w:r>
          </w:p>
        </w:tc>
      </w:tr>
    </w:tbl>
    <w:p>
      <w:pPr>
        <w:spacing w:after="20"/>
      </w:pPr>
    </w:p>
    <w:p>
      <w:pPr>
        <w:spacing w:after="120" w:line="269" w:lineRule="auto"/>
      </w:pPr>
      <w:r>
        <w:rPr>
          <w:rFonts w:ascii="Arial" w:hAnsi="Arial"/>
          <w:color w:val="000000"/>
          <w:sz w:val="20"/>
        </w:rPr>
        <w:t>The required-wage-type scan checks all 40 wage type slots, while the initial deletion rule evaluates LGA01. The configured business whitelist and the expected interaction with existing records should be verified in SAP.</w:t>
      </w:r>
    </w:p>
    <w:p>
      <w:pPr>
        <w:pStyle w:val="Heading2"/>
        <w:keepNext/>
      </w:pPr>
      <w:r>
        <w:t>IT0014 Recurring Payments and Deductions</w:t>
      </w:r>
    </w:p>
    <w:p>
      <w:pPr>
        <w:spacing w:after="120" w:line="269" w:lineRule="auto"/>
      </w:pPr>
      <w:r>
        <w:rPr>
          <w:rFonts w:ascii="Arial" w:hAnsi="Arial"/>
          <w:color w:val="000000"/>
          <w:sz w:val="20"/>
        </w:rPr>
        <w:t>GET_CURRENT_DEDUCTION follows WS3 to 9_WS_REC and then to 9_WS_RECDE, returning the selected parent and item payload rows. PROCESS_INFOTYPE_0014 calls that getter but stops after retrieval. It does not map fields into P0014 and does not replace PNNNN_TAB. The dispatcher also comments out the IT0014 branch.</w:t>
      </w:r>
    </w:p>
    <w:p>
      <w:pPr>
        <w:pStyle w:val="Heading2"/>
        <w:keepNext/>
      </w:pPr>
      <w:r>
        <w:t>Custom Event and Savings Plan</w:t>
      </w:r>
    </w:p>
    <w:p>
      <w:pPr>
        <w:spacing w:after="120" w:line="269" w:lineRule="auto"/>
      </w:pPr>
      <w:r>
        <w:rPr>
          <w:rFonts w:ascii="Arial" w:hAnsi="Arial"/>
          <w:color w:val="000000"/>
          <w:sz w:val="20"/>
        </w:rPr>
        <w:t>GET_CURRENT_CUSTOM_EVENT and GET_CURRENT_SAVING_PLAN implement employee selection through WS3 and the child node relationship. No checked-in processor converts those payloads into IT9000 or IT0169 records, and neither getter has a current call site.</w:t>
      </w:r>
    </w:p>
    <w:p>
      <w:pPr>
        <w:keepNext/>
        <w:spacing w:after="100"/>
      </w:pPr>
      <w:r>
        <w:rPr>
          <w:rFonts w:ascii="Arial" w:hAnsi="Arial"/>
          <w:b/>
          <w:color w:val="2F5597"/>
          <w:sz w:val="16"/>
        </w:rPr>
        <w:t>PART THREE</w:t>
      </w:r>
    </w:p>
    <w:p>
      <w:pPr>
        <w:pStyle w:val="Heading1"/>
        <w:keepNext/>
      </w:pPr>
      <w:r>
        <w:t>Dispatcher and Broader Infotype Coverage</w:t>
      </w:r>
    </w:p>
    <w:p>
      <w:pPr>
        <w:spacing w:after="120" w:line="269" w:lineRule="auto"/>
      </w:pPr>
      <w:r>
        <w:rPr>
          <w:rFonts w:ascii="Arial" w:hAnsi="Arial"/>
          <w:color w:val="000000"/>
          <w:sz w:val="20"/>
        </w:rPr>
        <w:t>PROCESS_INFOTYPE_MAIN routes the BAdI call by infotype and now passes PERNR to the active processors. The active branches cover the infotypes shown below. IT0014 and IT0015 remain in the file as commented blocks, and no reason for that deactivation was established in the reviewed change history.</w:t>
      </w:r>
    </w:p>
    <w:p>
      <w:pPr>
        <w:pStyle w:val="Heading2"/>
        <w:keepNext/>
      </w:pPr>
      <w:r>
        <w:t>Dispatcher Status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Status</w:t>
            </w:r>
          </w:p>
        </w:tc>
        <w:tc>
          <w:tcPr>
            <w:tcW w:type="dxa" w:w="316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Infotypes</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Current implication</w:t>
            </w:r>
          </w:p>
        </w:tc>
      </w:tr>
      <w:tr>
        <w:trPr>
          <w:cantSplit/>
        </w:trP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Active branch</w:t>
            </w:r>
          </w:p>
        </w:tc>
        <w:tc>
          <w:tcPr>
            <w:tcW w:type="dxa" w:w="316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0000, 0001, 0002, 0006, 0007, 0008, 0009</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Dispatcher calls the corresponding processor with PERNR and payload</w:t>
            </w:r>
          </w:p>
        </w:tc>
      </w:tr>
      <w:tr>
        <w:trPr>
          <w:cantSplit/>
        </w:trP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Active branch</w:t>
            </w:r>
          </w:p>
        </w:tc>
        <w:tc>
          <w:tcPr>
            <w:tcW w:type="dxa" w:w="316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0017, 0019, 0033, 0041, 0105, 0171</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8"/>
              </w:rPr>
              <w:t>Dispatcher calls the corresponding processor with PERNR and payload</w:t>
            </w:r>
          </w:p>
        </w:tc>
      </w:tr>
      <w:tr>
        <w:trPr>
          <w:cantSplit/>
        </w:trPr>
        <w:tc>
          <w:tcPr>
            <w:tcW w:type="dxa" w:w="17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Commented branch</w:t>
            </w:r>
          </w:p>
        </w:tc>
        <w:tc>
          <w:tcPr>
            <w:tcW w:type="dxa" w:w="316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0014, 0015</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8"/>
              </w:rPr>
              <w:t>No call occurs through the checked-in main dispatcher</w:t>
            </w:r>
          </w:p>
        </w:tc>
      </w:tr>
    </w:tbl>
    <w:p>
      <w:pPr>
        <w:spacing w:after="20"/>
      </w:pPr>
    </w:p>
    <w:p>
      <w:pPr>
        <w:pStyle w:val="Heading2"/>
        <w:keepNext/>
      </w:pPr>
      <w:r>
        <w:t>Employee Scoped Updates by Infotype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Infotype</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Payload change</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Implementation note</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0000</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Uses current WS4 and WS3</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Employee-scoped helper introduced into the processor</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0001</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Uses current WS4 and WS3</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Employee-scoped helper introduced into the processor</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0007</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Uses current WS4 and WS3</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Processor added and later aligned with current payload selection</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0008</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Uses current WS11 and WS4</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Also contains the pay scale area 11 processing described above</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0009</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Uses current WS14</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WS14 direct-parent assumption remains to be checked at runtime</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0017 0019 0171</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Uses current WS4 and WS3</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Processors added and later aligned with current payload selection</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0105</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Current WS3 branch; WS7 remains direct</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Mandatory WS4 parameter was subsequently added to the call</w:t>
            </w:r>
          </w:p>
        </w:tc>
      </w:tr>
      <w:tr>
        <w:trPr>
          <w:cantSplit/>
        </w:trPr>
        <w:tc>
          <w:tcPr>
            <w:tcW w:type="dxa" w:w="180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0002 0006 0033 0041</w:t>
            </w:r>
          </w:p>
        </w:tc>
        <w:tc>
          <w:tcPr>
            <w:tcW w:type="dxa" w:w="30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No additional scoping conclusion in this summary</w:t>
            </w:r>
          </w:p>
        </w:tc>
        <w:tc>
          <w:tcPr>
            <w:tcW w:type="dxa" w:w="489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Processors remain active in the dispatcher</w:t>
            </w:r>
          </w:p>
        </w:tc>
      </w:tr>
    </w:tbl>
    <w:p>
      <w:pPr>
        <w:spacing w:after="20"/>
      </w:pPr>
    </w:p>
    <w:p>
      <w:pPr>
        <w:pStyle w:val="Heading2"/>
        <w:keepNext/>
      </w:pPr>
      <w:r>
        <w:t>Unchanged Scope Decisions</w:t>
      </w:r>
    </w:p>
    <w:p>
      <w:pPr>
        <w:pStyle w:val="ListBullet"/>
        <w:spacing w:after="70" w:line="259" w:lineRule="auto"/>
        <w:ind w:left="288" w:hanging="173"/>
      </w:pPr>
      <w:r>
        <w:rPr>
          <w:rFonts w:ascii="Arial" w:hAnsi="Arial"/>
          <w:color w:val="000000"/>
          <w:sz w:val="20"/>
        </w:rPr>
        <w:t>WS2 and WS7 remain independent payload areas and were not changed to use the WS3 employee-scoping pattern.</w:t>
      </w:r>
    </w:p>
    <w:p>
      <w:pPr>
        <w:pStyle w:val="ListBullet"/>
        <w:spacing w:after="70" w:line="259" w:lineRule="auto"/>
        <w:ind w:left="288" w:hanging="173"/>
      </w:pPr>
      <w:r>
        <w:rPr>
          <w:rFonts w:ascii="Arial" w:hAnsi="Arial"/>
          <w:color w:val="000000"/>
          <w:sz w:val="20"/>
        </w:rPr>
        <w:t>The newer WS11, WS13, WS14, deduction, custom-event, and savings-plan helpers intentionally do not use ECPAO_EE_KMAP.</w:t>
      </w:r>
    </w:p>
    <w:p>
      <w:pPr>
        <w:pStyle w:val="ListBullet"/>
        <w:spacing w:after="70" w:line="259" w:lineRule="auto"/>
        <w:ind w:left="288" w:hanging="173"/>
      </w:pPr>
      <w:r>
        <w:rPr>
          <w:rFonts w:ascii="Arial" w:hAnsi="Arial"/>
          <w:color w:val="000000"/>
          <w:sz w:val="20"/>
        </w:rPr>
        <w:t>The retained GET_WS13 helper remains a simple full-payload loader, although IT0015 now uses GET_CURRENT_WS13.</w:t>
      </w:r>
    </w:p>
    <w:p>
      <w:pPr>
        <w:keepNext/>
        <w:spacing w:after="100"/>
      </w:pPr>
      <w:r>
        <w:rPr>
          <w:rFonts w:ascii="Arial" w:hAnsi="Arial"/>
          <w:b/>
          <w:color w:val="2F5597"/>
          <w:sz w:val="16"/>
        </w:rPr>
        <w:t>PART FOUR</w:t>
      </w:r>
    </w:p>
    <w:p>
      <w:pPr>
        <w:pStyle w:val="Heading1"/>
        <w:keepNext/>
      </w:pPr>
      <w:r>
        <w:t>Configuration Mapping and Evidence Boundaries</w:t>
      </w:r>
    </w:p>
    <w:p>
      <w:pPr>
        <w:spacing w:after="120" w:line="269" w:lineRule="auto"/>
      </w:pPr>
      <w:r>
        <w:rPr>
          <w:rFonts w:ascii="Arial" w:hAnsi="Arial"/>
          <w:color w:val="000000"/>
          <w:sz w:val="20"/>
        </w:rPr>
        <w:t>Several conclusions from the work concern SAP or BIB configuration rather than ABAP behavior. Keeping these separate avoids treating a code change as proof that a mapping is active or that a tenant-specific configuration is correct.</w:t>
      </w:r>
    </w:p>
    <w:p>
      <w:pPr>
        <w:pStyle w:val="Heading2"/>
        <w:keepNext/>
      </w:pPr>
      <w:r>
        <w:t>Wage Type Processing Decisions</w:t>
      </w:r>
    </w:p>
    <w:p>
      <w:pPr>
        <w:pStyle w:val="ListBullet"/>
        <w:spacing w:after="70" w:line="259" w:lineRule="auto"/>
        <w:ind w:left="288" w:hanging="173"/>
      </w:pPr>
      <w:r>
        <w:rPr>
          <w:rFonts w:ascii="Arial" w:hAnsi="Arial"/>
          <w:color w:val="000000"/>
          <w:sz w:val="20"/>
        </w:rPr>
        <w:t>Wage type 9001 is associated with IT0008 processing.</w:t>
      </w:r>
    </w:p>
    <w:p>
      <w:pPr>
        <w:pStyle w:val="ListBullet"/>
        <w:spacing w:after="70" w:line="259" w:lineRule="auto"/>
        <w:ind w:left="288" w:hanging="173"/>
      </w:pPr>
      <w:r>
        <w:rPr>
          <w:rFonts w:ascii="Arial" w:hAnsi="Arial"/>
          <w:color w:val="000000"/>
          <w:sz w:val="20"/>
        </w:rPr>
        <w:t>Each actual 14xx wage type should be maintained individually for IT0014; 14xx is not treated as an IMG wildcard or range.</w:t>
      </w:r>
    </w:p>
    <w:p>
      <w:pPr>
        <w:pStyle w:val="ListBullet"/>
        <w:spacing w:after="70" w:line="259" w:lineRule="auto"/>
        <w:ind w:left="288" w:hanging="173"/>
      </w:pPr>
      <w:r>
        <w:rPr>
          <w:rFonts w:ascii="Arial" w:hAnsi="Arial"/>
          <w:color w:val="000000"/>
          <w:sz w:val="20"/>
        </w:rPr>
        <w:t>HRSFEC_WAGE_TYPES is maintained by country or region and actual wage type. Dynamic prefix routing would require separate enhancement confirmation.</w:t>
      </w:r>
    </w:p>
    <w:p>
      <w:pPr>
        <w:pStyle w:val="Heading2"/>
        <w:keepNext/>
      </w:pPr>
      <w:r>
        <w:t>IT0014 Standard Mapping Decision</w:t>
      </w:r>
    </w:p>
    <w:p>
      <w:pPr>
        <w:spacing w:after="120" w:line="269" w:lineRule="auto"/>
      </w:pPr>
      <w:r>
        <w:rPr>
          <w:rFonts w:ascii="Arial" w:hAnsi="Arial"/>
          <w:color w:val="000000"/>
          <w:sz w:val="20"/>
        </w:rPr>
        <w:t>The standard WS12 mapping was intentionally kept inactive. The narrow mapping recommendation retains only the business fields below and leaves effective dates and SAP system fields to the appropriate framework behavior.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Mapping item</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Decision</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Reason or boundary</w:t>
            </w:r>
          </w:p>
        </w:tc>
      </w:tr>
      <w:tr>
        <w:trPr>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payComponent to LGART</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Retain</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Required wage type mapping</w:t>
            </w:r>
          </w:p>
        </w:tc>
      </w:tr>
      <w:tr>
        <w:trPr>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paycompvalue to BETRG</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Retain</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Required amount mapping</w:t>
            </w:r>
          </w:p>
        </w:tc>
      </w:tr>
      <w:tr>
        <w:trPr>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currencyCode to WAERS</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Retain</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Required currency mapping</w:t>
            </w:r>
          </w:p>
        </w:tc>
      </w:tr>
      <w:tr>
        <w:trPr>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startDate and endDate</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Do not add manually</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Effective-dated template is expected to supply dates</w:t>
            </w:r>
          </w:p>
        </w:tc>
      </w:tr>
      <w:tr>
        <w:trPr>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SUBTY</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Do not add manually</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Subtype behavior must match the selected framework and wage type design</w:t>
            </w:r>
          </w:p>
        </w:tc>
      </w:tr>
      <w:tr>
        <w:trPr>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PERNR SEQNR MANDT</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Do not map</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SAP system-managed fields</w:t>
            </w:r>
          </w:p>
        </w:tc>
      </w:tr>
      <w:tr>
        <w:trPr>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frequency to MODEL</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Do not assume</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 database value alone is not evidence for this mapping</w:t>
            </w:r>
          </w:p>
        </w:tc>
      </w:tr>
      <w:tr>
        <w:trPr>
          <w:cantSplit/>
        </w:trPr>
        <w:tc>
          <w:tcPr>
            <w:tcW w:type="dxa" w:w="244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frequency to ZEINZ or ZANZL</w:t>
            </w:r>
          </w:p>
        </w:tc>
        <w:tc>
          <w:tcPr>
            <w:tcW w:type="dxa" w:w="208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Open</w:t>
            </w:r>
          </w:p>
        </w:tc>
        <w:tc>
          <w:tcPr>
            <w:tcW w:type="dxa" w:w="5256"/>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Confirm against actual SAP configuration</w:t>
            </w:r>
          </w:p>
        </w:tc>
      </w:tr>
    </w:tbl>
    <w:p>
      <w:pPr>
        <w:spacing w:after="20"/>
      </w:pPr>
    </w:p>
    <w:p>
      <w:pPr>
        <w:pStyle w:val="Heading2"/>
        <w:keepNext/>
      </w:pPr>
      <w:r>
        <w:t>Evidence That Does Not Activate Runtime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Evidence type</w:t>
            </w:r>
          </w:p>
        </w:tc>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What it establishes</w:t>
            </w:r>
          </w:p>
        </w:tc>
        <w:tc>
          <w:tcPr>
            <w:tcW w:type="dxa" w:w="40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What it does not establish</w:t>
            </w:r>
          </w:p>
        </w:tc>
      </w:tr>
      <w:tr>
        <w:trPr>
          <w:cantSplit/>
        </w:trP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Repository code and commit history</w:t>
            </w:r>
          </w:p>
        </w:tc>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Implemented logic and change sequence</w:t>
            </w:r>
          </w:p>
        </w:tc>
        <w:tc>
          <w:tcPr>
            <w:tcW w:type="dxa" w:w="40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SAP syntax activation or deployed runtime behavior</w:t>
            </w:r>
          </w:p>
        </w:tc>
      </w:tr>
      <w:tr>
        <w:trPr>
          <w:cantSplit/>
        </w:trP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XML and payload samples</w:t>
            </w:r>
          </w:p>
        </w:tc>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Observed node names and example hierarchy</w:t>
            </w:r>
          </w:p>
        </w:tc>
        <w:tc>
          <w:tcPr>
            <w:tcW w:type="dxa" w:w="40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Every tenant payload shape or production result</w:t>
            </w:r>
          </w:p>
        </w:tc>
      </w:tr>
      <w:tr>
        <w:trPr>
          <w:cantSplit/>
        </w:trP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Mapping workbook and configuration notes</w:t>
            </w:r>
          </w:p>
        </w:tc>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Intended field and wage type decisions</w:t>
            </w:r>
          </w:p>
        </w:tc>
        <w:tc>
          <w:tcPr>
            <w:tcW w:type="dxa" w:w="40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Active target-system configuration</w:t>
            </w:r>
          </w:p>
        </w:tc>
      </w:tr>
      <w:tr>
        <w:trPr>
          <w:cantSplit/>
        </w:trP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Historical functional observation</w:t>
            </w:r>
          </w:p>
        </w:tc>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Three IT0015 records were reported as written</w:t>
            </w:r>
          </w:p>
        </w:tc>
        <w:tc>
          <w:tcPr>
            <w:tcW w:type="dxa" w:w="40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Current dispatcher activation or full regression coverage</w:t>
            </w:r>
          </w:p>
        </w:tc>
      </w:tr>
      <w:tr>
        <w:trPr>
          <w:cantSplit/>
        </w:trPr>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ABAP static inspection</w:t>
            </w:r>
          </w:p>
        </w:tc>
        <w:tc>
          <w:tcPr>
            <w:tcW w:type="dxa" w:w="3528"/>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Control flow, assignments, and call sites</w:t>
            </w:r>
          </w:p>
        </w:tc>
        <w:tc>
          <w:tcPr>
            <w:tcW w:type="dxa" w:w="40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Successful execution in the target SAP system</w:t>
            </w:r>
          </w:p>
        </w:tc>
      </w:tr>
    </w:tbl>
    <w:p>
      <w:pPr>
        <w:spacing w:after="20"/>
      </w:pPr>
    </w:p>
    <w:p>
      <w:pPr>
        <w:keepNext/>
        <w:spacing w:after="100"/>
      </w:pPr>
      <w:r>
        <w:rPr>
          <w:rFonts w:ascii="Arial" w:hAnsi="Arial"/>
          <w:b/>
          <w:color w:val="2F5597"/>
          <w:sz w:val="16"/>
        </w:rPr>
        <w:t>PART FIVE</w:t>
      </w:r>
    </w:p>
    <w:p>
      <w:pPr>
        <w:pStyle w:val="Heading1"/>
        <w:keepNext/>
      </w:pPr>
      <w:r>
        <w:t>Current Status and Validation Register</w:t>
      </w:r>
    </w:p>
    <w:p>
      <w:pPr>
        <w:spacing w:after="120" w:line="269" w:lineRule="auto"/>
      </w:pPr>
      <w:r>
        <w:rPr>
          <w:rFonts w:ascii="Arial" w:hAnsi="Arial"/>
          <w:color w:val="000000"/>
          <w:sz w:val="20"/>
        </w:rPr>
        <w:t>The table below converts the remaining uncertainty into executable checks. A production-readiness statement should wait until the applicable rows are complete and the dispatcher state is an explicit decision.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Priority</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Validation item</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Smallest useful check</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Acceptance evidence</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Arial" w:hAnsi="Arial"/>
                <w:b w:val="0"/>
                <w:color w:val="000000"/>
                <w:sz w:val="17"/>
              </w:rPr>
              <w:t>1</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IT0014 and IT0015 dispatcher decision</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Confirm whether both branches should be active in the current release</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Approved decision and checked-in dispatcher state match</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center"/>
            </w:pPr>
            <w:r/>
            <w:r>
              <w:rPr>
                <w:rFonts w:ascii="Arial" w:hAnsi="Arial"/>
                <w:b w:val="0"/>
                <w:color w:val="000000"/>
                <w:sz w:val="17"/>
              </w:rPr>
              <w:t>1</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IT0014 transformation</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Map one representative deduction parent and item to P0014</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Expected LGART, BETRG, WAERS, dates, subtype, and PERNR in PNNNN_TAB</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Arial" w:hAnsi="Arial"/>
                <w:b w:val="0"/>
                <w:color w:val="000000"/>
                <w:sz w:val="17"/>
              </w:rPr>
              <w:t>1</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SAP syntax and activation</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Activate all changed BAdI methods in the target system</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No syntax or activation errors</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center"/>
            </w:pPr>
            <w:r/>
            <w:r>
              <w:rPr>
                <w:rFonts w:ascii="Arial" w:hAnsi="Arial"/>
                <w:b w:val="0"/>
                <w:color w:val="000000"/>
                <w:sz w:val="17"/>
              </w:rPr>
              <w:t>2</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Employee isolation</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Run a payload containing at least two employees</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Every getter returns child nodes only for the requested PERNR</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Arial" w:hAnsi="Arial"/>
                <w:b w:val="0"/>
                <w:color w:val="000000"/>
                <w:sz w:val="17"/>
              </w:rPr>
              <w:t>2</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WS14 hierarchy</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Inspect node numbers in the debugger for one IT0009 case</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WS14 parent_node_number matches the selected WS3 node</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center"/>
            </w:pPr>
            <w:r/>
            <w:r>
              <w:rPr>
                <w:rFonts w:ascii="Arial" w:hAnsi="Arial"/>
                <w:b w:val="0"/>
                <w:color w:val="000000"/>
                <w:sz w:val="17"/>
              </w:rPr>
              <w:t>2</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TRFAR 11 regression</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Test existing, missing, and no-empty-slot wage type cases</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Filtering and 1745 or 1805 insertion match the approved rules</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Arial" w:hAnsi="Arial"/>
                <w:b w:val="0"/>
                <w:color w:val="000000"/>
                <w:sz w:val="17"/>
              </w:rPr>
              <w:t>2</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Non-11 IT0008 regression</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Test the existing 9993 path and a normal record</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Earlier conversion and annualization behavior remain unchanged</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center"/>
            </w:pPr>
            <w:r/>
            <w:r>
              <w:rPr>
                <w:rFonts w:ascii="Arial" w:hAnsi="Arial"/>
                <w:b w:val="0"/>
                <w:color w:val="000000"/>
                <w:sz w:val="17"/>
              </w:rPr>
              <w:t>3</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Currency amount behavior</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Test CADHR and non-CADHR records</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BET01 scaling occurs only under the approved condition</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Arial" w:hAnsi="Arial"/>
                <w:b w:val="0"/>
                <w:color w:val="000000"/>
                <w:sz w:val="17"/>
              </w:rPr>
              <w:t>3</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Configuration alignment</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Compare active SAP and BIB configuration with the approved mapping</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Wage type and field mappings match the documented decisions</w:t>
            </w:r>
          </w:p>
        </w:tc>
      </w:tr>
      <w:tr>
        <w:trPr>
          <w:cantSplit/>
        </w:trPr>
        <w:tc>
          <w:tcPr>
            <w:tcW w:type="dxa" w:w="79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center"/>
            </w:pPr>
            <w:r/>
            <w:r>
              <w:rPr>
                <w:rFonts w:ascii="Arial" w:hAnsi="Arial"/>
                <w:b w:val="0"/>
                <w:color w:val="000000"/>
                <w:sz w:val="17"/>
              </w:rPr>
              <w:t>3</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End to end replication</w:t>
            </w:r>
          </w:p>
        </w:tc>
        <w:tc>
          <w:tcPr>
            <w:tcW w:type="dxa" w:w="396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Run representative employee replication through CPI and SAP</w:t>
            </w:r>
          </w:p>
        </w:tc>
        <w:tc>
          <w:tcPr>
            <w:tcW w:type="dxa" w:w="252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Expected infotype records plus reproducible logs and viewer evidence</w:t>
            </w:r>
          </w:p>
        </w:tc>
      </w:tr>
    </w:tbl>
    <w:p>
      <w:pPr>
        <w:spacing w:after="20"/>
      </w:pPr>
    </w:p>
    <w:p>
      <w:pPr>
        <w:pStyle w:val="Heading2"/>
        <w:keepNext/>
      </w:pPr>
      <w:r>
        <w:t>Residual Risks</w:t>
      </w:r>
    </w:p>
    <w:p>
      <w:pPr>
        <w:pStyle w:val="ListBullet"/>
        <w:spacing w:after="70" w:line="259" w:lineRule="auto"/>
        <w:ind w:left="288" w:hanging="173"/>
      </w:pPr>
      <w:r>
        <w:rPr>
          <w:rFonts w:ascii="Arial" w:hAnsi="Arial"/>
          <w:color w:val="000000"/>
          <w:sz w:val="20"/>
        </w:rPr>
        <w:t>A method can be present and statically correct while remaining unreachable from the main dispatcher.</w:t>
      </w:r>
    </w:p>
    <w:p>
      <w:pPr>
        <w:pStyle w:val="ListBullet"/>
        <w:spacing w:after="70" w:line="259" w:lineRule="auto"/>
        <w:ind w:left="288" w:hanging="173"/>
      </w:pPr>
      <w:r>
        <w:rPr>
          <w:rFonts w:ascii="Arial" w:hAnsi="Arial"/>
          <w:color w:val="000000"/>
          <w:sz w:val="20"/>
        </w:rPr>
        <w:t>The payload hierarchy is tenant-sensitive; an assumed parent-child link can select no data even when the field names are correct.</w:t>
      </w:r>
    </w:p>
    <w:p>
      <w:pPr>
        <w:pStyle w:val="ListBullet"/>
        <w:spacing w:after="70" w:line="259" w:lineRule="auto"/>
        <w:ind w:left="288" w:hanging="173"/>
      </w:pPr>
      <w:r>
        <w:rPr>
          <w:rFonts w:ascii="Arial" w:hAnsi="Arial"/>
          <w:color w:val="000000"/>
          <w:sz w:val="20"/>
        </w:rPr>
        <w:t>IT0008 deletion is gated by LGA01 while required wage type detection scans all 40 slots. Tests must cover records with qualifying entries outside the first slot.</w:t>
      </w:r>
    </w:p>
    <w:p>
      <w:pPr>
        <w:pStyle w:val="ListBullet"/>
        <w:spacing w:after="70" w:line="259" w:lineRule="auto"/>
        <w:ind w:left="288" w:hanging="173"/>
      </w:pPr>
      <w:r>
        <w:rPr>
          <w:rFonts w:ascii="Arial" w:hAnsi="Arial"/>
          <w:color w:val="000000"/>
          <w:sz w:val="20"/>
        </w:rPr>
        <w:t>Configuration, activation, CPI deployment, and runtime processing are separate gates. Passing one does not prove the others.</w:t>
      </w:r>
    </w:p>
    <w:p>
      <w:pPr>
        <w:keepNext/>
        <w:spacing w:after="100"/>
      </w:pPr>
      <w:r>
        <w:rPr>
          <w:rFonts w:ascii="Arial" w:hAnsi="Arial"/>
          <w:b/>
          <w:color w:val="2F5597"/>
          <w:sz w:val="16"/>
        </w:rPr>
        <w:t>REFERENCE</w:t>
      </w:r>
    </w:p>
    <w:p>
      <w:pPr>
        <w:pStyle w:val="Heading1"/>
        <w:keepNext/>
      </w:pPr>
      <w:r>
        <w:t>Appendix of Key Repository Changes</w:t>
      </w:r>
    </w:p>
    <w:p>
      <w:pPr>
        <w:spacing w:after="120" w:line="269" w:lineRule="auto"/>
      </w:pPr>
      <w:r>
        <w:rPr>
          <w:rFonts w:ascii="Arial" w:hAnsi="Arial"/>
          <w:color w:val="000000"/>
          <w:sz w:val="20"/>
        </w:rPr>
        <w:t>The commit list below identifies the main implementation steps used to reconstruct the change history. It is a technical index rather than a release certification.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Commit</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Area</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17365D"/>
          </w:tcPr>
          <w:p>
            <w:pPr>
              <w:spacing w:after="0" w:line="259" w:lineRule="auto"/>
              <w:jc w:val="left"/>
            </w:pPr>
            <w:r/>
            <w:r>
              <w:rPr>
                <w:rFonts w:ascii="Arial" w:hAnsi="Arial"/>
                <w:b/>
                <w:color w:val="FFFFFF"/>
                <w:sz w:val="18"/>
              </w:rPr>
              <w:t>Change</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3a3ba63</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Payload selection</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Added GET_CURRENT_WS4_WS3</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c655b7a</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IT0015</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Added the unfiltered GET_WS13 helper</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7ed452f</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IT0015</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Constructed P0015 records from WS13</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95cfc37</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IT0015</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Used the method PERNR directly</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4a14636</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IT0015</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Removed the incorrect MANDT assignment</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d0fb46f</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Payload selection</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Added GET_CURRENT_WS11 and GET_CURRENT_WS13 and connected them</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359b19a</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IT0008</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Implemented TRFAR 11 filtering and amount logic</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9e4fd6d</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IT0008</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Ensured required wage types 1745 and 1805</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4804362</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IT0014</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Added deduction getter and IT0014 processor skeleton</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55aee67</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Custom event</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Added GET_CURRENT_CUSTOM_EVENT</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d6c6be0</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Savings plan</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Added GET_CURRENT_SAVING_PLAN</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8d705d4</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Payload selection</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Added GET_CURRENT_WS14 and updated IT0007 and IT0009</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2c1edfb</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Dispatcher</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Added PROCESS_INFOTYPE_MAIN</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ac1cecd</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Dispatcher</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Connected IT0014</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5888ce9</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Dispatcher</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Arial" w:hAnsi="Arial"/>
                <w:b w:val="0"/>
                <w:color w:val="000000"/>
                <w:sz w:val="17"/>
              </w:rPr>
              <w:t>Passed PERNR to multiple processors</w:t>
            </w:r>
          </w:p>
        </w:tc>
      </w:tr>
      <w:tr>
        <w:trPr>
          <w:cantSplit/>
        </w:trPr>
        <w:tc>
          <w:tcPr>
            <w:tcW w:type="dxa" w:w="144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71d63f3</w:t>
            </w:r>
          </w:p>
        </w:tc>
        <w:tc>
          <w:tcPr>
            <w:tcW w:type="dxa" w:w="2232"/>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Dispatcher</w:t>
            </w:r>
          </w:p>
        </w:tc>
        <w:tc>
          <w:tcPr>
            <w:tcW w:type="dxa" w:w="6480"/>
            <w:vAlign w:val="center"/>
            <w:tcMar>
              <w:top w:w="110" w:type="dxa"/>
              <w:start w:w="120" w:type="dxa"/>
              <w:bottom w:w="11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5F7"/>
          </w:tcPr>
          <w:p>
            <w:pPr>
              <w:spacing w:after="0" w:line="259" w:lineRule="auto"/>
              <w:jc w:val="left"/>
            </w:pPr>
            <w:r/>
            <w:r>
              <w:rPr>
                <w:rFonts w:ascii="Arial" w:hAnsi="Arial"/>
                <w:b w:val="0"/>
                <w:color w:val="000000"/>
                <w:sz w:val="17"/>
              </w:rPr>
              <w:t>Commented out IT0014 and IT0015 branches</w:t>
            </w:r>
          </w:p>
        </w:tc>
      </w:tr>
    </w:tbl>
    <w:p>
      <w:pPr>
        <w:spacing w:after="20"/>
      </w:pPr>
    </w:p>
    <w:p>
      <w:pPr>
        <w:pStyle w:val="Heading2"/>
        <w:keepNext/>
      </w:pPr>
      <w:r>
        <w:t>Files Reviewed</w:t>
      </w:r>
    </w:p>
    <w:p>
      <w:pPr>
        <w:spacing w:after="120" w:line="269" w:lineRule="auto"/>
      </w:pPr>
      <w:r>
        <w:rPr>
          <w:rFonts w:ascii="Arial" w:hAnsi="Arial"/>
          <w:color w:val="000000"/>
          <w:sz w:val="20"/>
        </w:rPr>
        <w:t>The review used the checked-in getter methods, infotype processors, main dispatcher, repository history, local mapping material, and prior diagnostic evidence. Employee payload values and identifiers are intentionally excluded.</w:t>
      </w:r>
    </w:p>
    <w:sectPr w:rsidR="00FC693F" w:rsidRPr="0006063C" w:rsidSect="00034616">
      <w:headerReference w:type="default" r:id="rId9"/>
      <w:footerReference w:type="default" r:id="rId10"/>
      <w:headerReference w:type="even" r:id="rId11"/>
      <w:footerReference w:type="even" r:id="rId12"/>
      <w:pgSz w:w="12240" w:h="15840"/>
      <w:pgMar w:top="1037" w:right="1123" w:bottom="979" w:left="112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59" w:lineRule="auto"/>
      <w:jc w:val="left"/>
    </w:pPr>
    <w:r>
      <w:rPr>
        <w:rFonts w:ascii="Arial" w:hAnsi="Arial"/>
        <w:b w:val="0"/>
        <w:color w:val="667085"/>
        <w:sz w:val="16"/>
      </w:rPr>
      <w:t>SAP BIB Extension Library Change Summary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59" w:lineRule="auto"/>
      <w:jc w:val="left"/>
    </w:pPr>
    <w:r>
      <w:rPr>
        <w:rFonts w:ascii="Arial" w:hAnsi="Arial"/>
        <w:b w:val="0"/>
        <w:color w:val="667085"/>
        <w:sz w:val="16"/>
      </w:rPr>
      <w:t>SAP BIB Extension Library Change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64" w:lineRule="auto"/>
    </w:pPr>
    <w:rPr>
      <w:rFonts w:asciiTheme="majorHAnsi" w:eastAsiaTheme="majorEastAsia" w:hAnsiTheme="majorHAnsi" w:cstheme="majorBidi" w:ascii="Arial" w:hAnsi="Arial"/>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BIB Extension Library Change Summary</dc:title>
  <dc:subject>Employee Central to SAP HCM integration changes</dc:subject>
  <dc:creator/>
  <cp:keywords/>
  <dc:description/>
  <cp:lastModifiedBy/>
  <cp:revision>1</cp:revision>
  <dcterms:created xsi:type="dcterms:W3CDTF">2013-12-23T23:15:00Z</dcterms:created>
  <dcterms:modified xsi:type="dcterms:W3CDTF">2013-12-23T23:15:00Z</dcterms:modified>
  <cp:category/>
</cp:coreProperties>
</file>