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60"/>
      </w:pPr>
      <w:r>
        <w:rPr>
          <w:rFonts w:ascii="Aptos" w:hAnsi="Aptos" w:eastAsia="Aptos"/>
          <w:b/>
          <w:color w:val="2E74B5"/>
          <w:sz w:val="20"/>
        </w:rPr>
        <w:t>BANK OF CANADA</w:t>
      </w:r>
    </w:p>
    <w:p>
      <w:pPr>
        <w:spacing w:after="100"/>
      </w:pPr>
      <w:r>
        <w:rPr>
          <w:rFonts w:ascii="Aptos" w:hAnsi="Aptos" w:eastAsia="Aptos"/>
          <w:b/>
          <w:color w:val="0B2545"/>
          <w:sz w:val="60"/>
        </w:rPr>
        <w:t>Pensioner Replication</w:t>
      </w:r>
    </w:p>
    <w:p>
      <w:pPr>
        <w:spacing w:after="160"/>
        <w:pBdr>
          <w:bottom w:val="single" w:sz="14" w:space="1" w:color="2E74B5"/>
        </w:pBdr>
      </w:pPr>
      <w:r>
        <w:rPr>
          <w:rFonts w:ascii="Aptos" w:hAnsi="Aptos" w:eastAsia="Aptos"/>
          <w:color w:val="1F4D78"/>
          <w:sz w:val="40"/>
        </w:rPr>
        <w:t>Integration Strategy</w:t>
      </w:r>
    </w:p>
    <w:p>
      <w:pPr>
        <w:spacing w:before="320" w:after="680"/>
      </w:pPr>
      <w:r>
        <w:rPr>
          <w:rFonts w:ascii="Aptos" w:hAnsi="Aptos" w:eastAsia="Aptos"/>
          <w:color w:val="667085"/>
          <w:sz w:val="23"/>
        </w:rPr>
        <w:t>Phase 2  |  Extension of the Active Employee Replication Solution</w:t>
      </w:r>
    </w:p>
    <w:p>
      <w:pPr>
        <w:spacing w:after="100"/>
      </w:pPr>
      <w:r>
        <w:rPr>
          <w:rFonts w:ascii="Aptos" w:hAnsi="Aptos" w:eastAsia="Aptos"/>
          <w:b/>
          <w:color w:val="667085"/>
          <w:sz w:val="17"/>
        </w:rPr>
        <w:t>Document status</w:t>
        <w:br/>
      </w:r>
      <w:r>
        <w:rPr>
          <w:rFonts w:ascii="Aptos" w:hAnsi="Aptos" w:eastAsia="Aptos"/>
          <w:color w:val="111827"/>
          <w:sz w:val="22"/>
        </w:rPr>
        <w:t>Draft</w:t>
      </w:r>
    </w:p>
    <w:p>
      <w:pPr>
        <w:spacing w:after="100"/>
      </w:pPr>
      <w:r>
        <w:rPr>
          <w:rFonts w:ascii="Aptos" w:hAnsi="Aptos" w:eastAsia="Aptos"/>
          <w:b/>
          <w:color w:val="667085"/>
          <w:sz w:val="17"/>
        </w:rPr>
        <w:t>Version</w:t>
        <w:br/>
      </w:r>
      <w:r>
        <w:rPr>
          <w:rFonts w:ascii="Aptos" w:hAnsi="Aptos" w:eastAsia="Aptos"/>
          <w:color w:val="111827"/>
          <w:sz w:val="22"/>
        </w:rPr>
        <w:t>0.7</w:t>
      </w:r>
    </w:p>
    <w:p>
      <w:pPr>
        <w:spacing w:after="100"/>
      </w:pPr>
      <w:r>
        <w:rPr>
          <w:rFonts w:ascii="Aptos" w:hAnsi="Aptos" w:eastAsia="Aptos"/>
          <w:b/>
          <w:color w:val="667085"/>
          <w:sz w:val="17"/>
        </w:rPr>
        <w:t>Date</w:t>
        <w:br/>
      </w:r>
      <w:r>
        <w:rPr>
          <w:rFonts w:ascii="Aptos" w:hAnsi="Aptos" w:eastAsia="Aptos"/>
          <w:color w:val="111827"/>
          <w:sz w:val="22"/>
        </w:rPr>
        <w:t>August 2026</w:t>
      </w:r>
    </w:p>
    <w:p>
      <w:pPr>
        <w:spacing w:after="100"/>
      </w:pPr>
      <w:r>
        <w:rPr>
          <w:rFonts w:ascii="Aptos" w:hAnsi="Aptos" w:eastAsia="Aptos"/>
          <w:b/>
          <w:color w:val="667085"/>
          <w:sz w:val="17"/>
        </w:rPr>
        <w:t>Target go-live</w:t>
        <w:br/>
      </w:r>
      <w:r>
        <w:rPr>
          <w:rFonts w:ascii="Aptos" w:hAnsi="Aptos" w:eastAsia="Aptos"/>
          <w:color w:val="111827"/>
          <w:sz w:val="22"/>
        </w:rPr>
        <w:t>November 2026 – final date TBD</w:t>
      </w:r>
    </w:p>
    <w:p>
      <w:r>
        <w:br w:type="page"/>
      </w:r>
    </w:p>
    <w:p>
      <w:pPr>
        <w:pStyle w:val="FrontMatterHeading"/>
      </w:pPr>
      <w:r>
        <w:t>Table of Contents</w:t>
      </w:r>
    </w:p>
    <w:p>
      <w:pPr>
        <w:tabs>
          <w:tab w:pos="9130" w:val="right" w:leader="dot"/>
        </w:tabs>
        <w:spacing w:before="0" w:after="40" w:line="240" w:lineRule="auto"/>
      </w:pPr>
      <w:r>
        <w:fldChar w:fldCharType="begin"/>
        <w:instrText xml:space="preserve"> TOC \t "Part Title,1,Heading 1,2" \h \z </w:instrText>
        <w:fldChar w:fldCharType="separate"/>
      </w:r>
      <w:r>
        <w:rPr>
          <w:rFonts w:ascii="Aptos" w:hAnsi="Aptos" w:eastAsia="Aptos"/>
          <w:b/>
          <w:color w:val="2E74B5"/>
          <w:sz w:val="17"/>
        </w:rPr>
        <w:t>Part I – Strategy Overview</w:t>
      </w:r>
      <w:r>
        <w:rPr>
          <w:rFonts w:ascii="Aptos" w:hAnsi="Aptos" w:eastAsia="Aptos"/>
          <w:color w:val="667085"/>
          <w:sz w:val="17"/>
        </w:rPr>
        <w:tab/>
      </w:r>
      <w:r>
        <w:rPr>
          <w:rFonts w:ascii="Aptos" w:hAnsi="Aptos" w:eastAsia="Aptos"/>
          <w:b/>
          <w:color w:val="667085"/>
          <w:sz w:val="17"/>
        </w:rPr>
        <w:t>4</w:t>
      </w:r>
    </w:p>
    <w:p>
      <w:pPr>
        <w:tabs>
          <w:tab w:pos="9130" w:val="right" w:leader="dot"/>
        </w:tabs>
        <w:spacing w:before="0" w:after="40" w:line="240" w:lineRule="auto"/>
        <w:ind w:left="259"/>
      </w:pPr>
      <w:r>
        <w:rPr>
          <w:rFonts w:ascii="Aptos" w:hAnsi="Aptos" w:eastAsia="Aptos"/>
          <w:b w:val="0"/>
          <w:color w:val="111827"/>
          <w:sz w:val="17"/>
        </w:rPr>
        <w:t>1. Executive Summary</w:t>
      </w:r>
      <w:r>
        <w:rPr>
          <w:rFonts w:ascii="Aptos" w:hAnsi="Aptos" w:eastAsia="Aptos"/>
          <w:color w:val="667085"/>
          <w:sz w:val="17"/>
        </w:rPr>
        <w:tab/>
      </w:r>
      <w:r>
        <w:rPr>
          <w:rFonts w:ascii="Aptos" w:hAnsi="Aptos" w:eastAsia="Aptos"/>
          <w:b w:val="0"/>
          <w:color w:val="667085"/>
          <w:sz w:val="17"/>
        </w:rPr>
        <w:t>5</w:t>
      </w:r>
    </w:p>
    <w:p>
      <w:pPr>
        <w:tabs>
          <w:tab w:pos="9130" w:val="right" w:leader="dot"/>
        </w:tabs>
        <w:spacing w:before="0" w:after="40" w:line="240" w:lineRule="auto"/>
        <w:ind w:left="259"/>
      </w:pPr>
      <w:r>
        <w:rPr>
          <w:rFonts w:ascii="Aptos" w:hAnsi="Aptos" w:eastAsia="Aptos"/>
          <w:b w:val="0"/>
          <w:color w:val="111827"/>
          <w:sz w:val="17"/>
        </w:rPr>
        <w:t>2. Background and Business Context</w:t>
      </w:r>
      <w:r>
        <w:rPr>
          <w:rFonts w:ascii="Aptos" w:hAnsi="Aptos" w:eastAsia="Aptos"/>
          <w:color w:val="667085"/>
          <w:sz w:val="17"/>
        </w:rPr>
        <w:tab/>
      </w:r>
      <w:r>
        <w:rPr>
          <w:rFonts w:ascii="Aptos" w:hAnsi="Aptos" w:eastAsia="Aptos"/>
          <w:b w:val="0"/>
          <w:color w:val="667085"/>
          <w:sz w:val="17"/>
        </w:rPr>
        <w:t>5</w:t>
      </w:r>
    </w:p>
    <w:p>
      <w:pPr>
        <w:tabs>
          <w:tab w:pos="9130" w:val="right" w:leader="dot"/>
        </w:tabs>
        <w:spacing w:before="0" w:after="40" w:line="240" w:lineRule="auto"/>
        <w:ind w:left="259"/>
      </w:pPr>
      <w:r>
        <w:rPr>
          <w:rFonts w:ascii="Aptos" w:hAnsi="Aptos" w:eastAsia="Aptos"/>
          <w:b w:val="0"/>
          <w:color w:val="111827"/>
          <w:sz w:val="17"/>
        </w:rPr>
        <w:t>3. Objectives</w:t>
      </w:r>
      <w:r>
        <w:rPr>
          <w:rFonts w:ascii="Aptos" w:hAnsi="Aptos" w:eastAsia="Aptos"/>
          <w:color w:val="667085"/>
          <w:sz w:val="17"/>
        </w:rPr>
        <w:tab/>
      </w:r>
      <w:r>
        <w:rPr>
          <w:rFonts w:ascii="Aptos" w:hAnsi="Aptos" w:eastAsia="Aptos"/>
          <w:b w:val="0"/>
          <w:color w:val="667085"/>
          <w:sz w:val="17"/>
        </w:rPr>
        <w:t>5</w:t>
      </w:r>
    </w:p>
    <w:p>
      <w:pPr>
        <w:tabs>
          <w:tab w:pos="9130" w:val="right" w:leader="dot"/>
        </w:tabs>
        <w:spacing w:before="0" w:after="40" w:line="240" w:lineRule="auto"/>
        <w:ind w:left="259"/>
      </w:pPr>
      <w:r>
        <w:rPr>
          <w:rFonts w:ascii="Aptos" w:hAnsi="Aptos" w:eastAsia="Aptos"/>
          <w:b w:val="0"/>
          <w:color w:val="111827"/>
          <w:sz w:val="17"/>
        </w:rPr>
        <w:t>4. Scope</w:t>
      </w:r>
      <w:r>
        <w:rPr>
          <w:rFonts w:ascii="Aptos" w:hAnsi="Aptos" w:eastAsia="Aptos"/>
          <w:color w:val="667085"/>
          <w:sz w:val="17"/>
        </w:rPr>
        <w:tab/>
      </w:r>
      <w:r>
        <w:rPr>
          <w:rFonts w:ascii="Aptos" w:hAnsi="Aptos" w:eastAsia="Aptos"/>
          <w:b w:val="0"/>
          <w:color w:val="667085"/>
          <w:sz w:val="17"/>
        </w:rPr>
        <w:t>6</w:t>
      </w:r>
    </w:p>
    <w:p>
      <w:pPr>
        <w:tabs>
          <w:tab w:pos="9130" w:val="right" w:leader="dot"/>
        </w:tabs>
        <w:spacing w:before="0" w:after="40" w:line="240" w:lineRule="auto"/>
        <w:ind w:left="259"/>
      </w:pPr>
      <w:r>
        <w:rPr>
          <w:rFonts w:ascii="Aptos" w:hAnsi="Aptos" w:eastAsia="Aptos"/>
          <w:b w:val="0"/>
          <w:color w:val="111827"/>
          <w:sz w:val="17"/>
        </w:rPr>
        <w:t>5. Business Scenarios</w:t>
      </w:r>
      <w:r>
        <w:rPr>
          <w:rFonts w:ascii="Aptos" w:hAnsi="Aptos" w:eastAsia="Aptos"/>
          <w:color w:val="667085"/>
          <w:sz w:val="17"/>
        </w:rPr>
        <w:tab/>
      </w:r>
      <w:r>
        <w:rPr>
          <w:rFonts w:ascii="Aptos" w:hAnsi="Aptos" w:eastAsia="Aptos"/>
          <w:b w:val="0"/>
          <w:color w:val="667085"/>
          <w:sz w:val="17"/>
        </w:rPr>
        <w:t>7</w:t>
      </w:r>
    </w:p>
    <w:p>
      <w:pPr>
        <w:tabs>
          <w:tab w:pos="9130" w:val="right" w:leader="dot"/>
        </w:tabs>
        <w:spacing w:before="0" w:after="40" w:line="240" w:lineRule="auto"/>
      </w:pPr>
      <w:r>
        <w:rPr>
          <w:rFonts w:ascii="Aptos" w:hAnsi="Aptos" w:eastAsia="Aptos"/>
          <w:b/>
          <w:color w:val="2E74B5"/>
          <w:sz w:val="17"/>
        </w:rPr>
        <w:t>Part II – Solution Design</w:t>
      </w:r>
      <w:r>
        <w:rPr>
          <w:rFonts w:ascii="Aptos" w:hAnsi="Aptos" w:eastAsia="Aptos"/>
          <w:color w:val="667085"/>
          <w:sz w:val="17"/>
        </w:rPr>
        <w:tab/>
      </w:r>
      <w:r>
        <w:rPr>
          <w:rFonts w:ascii="Aptos" w:hAnsi="Aptos" w:eastAsia="Aptos"/>
          <w:b/>
          <w:color w:val="667085"/>
          <w:sz w:val="17"/>
        </w:rPr>
        <w:t>8</w:t>
      </w:r>
    </w:p>
    <w:p>
      <w:pPr>
        <w:tabs>
          <w:tab w:pos="9130" w:val="right" w:leader="dot"/>
        </w:tabs>
        <w:spacing w:before="0" w:after="40" w:line="240" w:lineRule="auto"/>
        <w:ind w:left="259"/>
      </w:pPr>
      <w:r>
        <w:rPr>
          <w:rFonts w:ascii="Aptos" w:hAnsi="Aptos" w:eastAsia="Aptos"/>
          <w:b w:val="0"/>
          <w:color w:val="111827"/>
          <w:sz w:val="17"/>
        </w:rPr>
        <w:t>6. Integration Architecture</w:t>
      </w:r>
      <w:r>
        <w:rPr>
          <w:rFonts w:ascii="Aptos" w:hAnsi="Aptos" w:eastAsia="Aptos"/>
          <w:color w:val="667085"/>
          <w:sz w:val="17"/>
        </w:rPr>
        <w:tab/>
      </w:r>
      <w:r>
        <w:rPr>
          <w:rFonts w:ascii="Aptos" w:hAnsi="Aptos" w:eastAsia="Aptos"/>
          <w:b w:val="0"/>
          <w:color w:val="667085"/>
          <w:sz w:val="17"/>
        </w:rPr>
        <w:t>9</w:t>
      </w:r>
    </w:p>
    <w:p>
      <w:pPr>
        <w:tabs>
          <w:tab w:pos="9130" w:val="right" w:leader="dot"/>
        </w:tabs>
        <w:spacing w:before="0" w:after="40" w:line="240" w:lineRule="auto"/>
        <w:ind w:left="259"/>
      </w:pPr>
      <w:r>
        <w:rPr>
          <w:rFonts w:ascii="Aptos" w:hAnsi="Aptos" w:eastAsia="Aptos"/>
          <w:b w:val="0"/>
          <w:color w:val="111827"/>
          <w:sz w:val="17"/>
        </w:rPr>
        <w:t>7. Template Group Strategy</w:t>
      </w:r>
      <w:r>
        <w:rPr>
          <w:rFonts w:ascii="Aptos" w:hAnsi="Aptos" w:eastAsia="Aptos"/>
          <w:color w:val="667085"/>
          <w:sz w:val="17"/>
        </w:rPr>
        <w:tab/>
      </w:r>
      <w:r>
        <w:rPr>
          <w:rFonts w:ascii="Aptos" w:hAnsi="Aptos" w:eastAsia="Aptos"/>
          <w:b w:val="0"/>
          <w:color w:val="667085"/>
          <w:sz w:val="17"/>
        </w:rPr>
        <w:t>9</w:t>
      </w:r>
    </w:p>
    <w:p>
      <w:pPr>
        <w:tabs>
          <w:tab w:pos="9130" w:val="right" w:leader="dot"/>
        </w:tabs>
        <w:spacing w:before="0" w:after="40" w:line="240" w:lineRule="auto"/>
        <w:ind w:left="259"/>
      </w:pPr>
      <w:r>
        <w:rPr>
          <w:rFonts w:ascii="Aptos" w:hAnsi="Aptos" w:eastAsia="Aptos"/>
          <w:b w:val="0"/>
          <w:color w:val="111827"/>
          <w:sz w:val="17"/>
        </w:rPr>
        <w:t>8. Pensioner Infotype Scope</w:t>
      </w:r>
      <w:r>
        <w:rPr>
          <w:rFonts w:ascii="Aptos" w:hAnsi="Aptos" w:eastAsia="Aptos"/>
          <w:color w:val="667085"/>
          <w:sz w:val="17"/>
        </w:rPr>
        <w:tab/>
      </w:r>
      <w:r>
        <w:rPr>
          <w:rFonts w:ascii="Aptos" w:hAnsi="Aptos" w:eastAsia="Aptos"/>
          <w:b w:val="0"/>
          <w:color w:val="667085"/>
          <w:sz w:val="17"/>
        </w:rPr>
        <w:t>10</w:t>
      </w:r>
    </w:p>
    <w:p>
      <w:pPr>
        <w:tabs>
          <w:tab w:pos="9130" w:val="right" w:leader="dot"/>
        </w:tabs>
        <w:spacing w:before="0" w:after="40" w:line="240" w:lineRule="auto"/>
        <w:ind w:left="259"/>
      </w:pPr>
      <w:r>
        <w:rPr>
          <w:rFonts w:ascii="Aptos" w:hAnsi="Aptos" w:eastAsia="Aptos"/>
          <w:b w:val="0"/>
          <w:color w:val="111827"/>
          <w:sz w:val="17"/>
        </w:rPr>
        <w:t>9. Additional Phase 2 Enhancements</w:t>
      </w:r>
      <w:r>
        <w:rPr>
          <w:rFonts w:ascii="Aptos" w:hAnsi="Aptos" w:eastAsia="Aptos"/>
          <w:color w:val="667085"/>
          <w:sz w:val="17"/>
        </w:rPr>
        <w:tab/>
      </w:r>
      <w:r>
        <w:rPr>
          <w:rFonts w:ascii="Aptos" w:hAnsi="Aptos" w:eastAsia="Aptos"/>
          <w:b w:val="0"/>
          <w:color w:val="667085"/>
          <w:sz w:val="17"/>
        </w:rPr>
        <w:t>10</w:t>
      </w:r>
    </w:p>
    <w:p>
      <w:pPr>
        <w:tabs>
          <w:tab w:pos="9130" w:val="right" w:leader="dot"/>
        </w:tabs>
        <w:spacing w:before="0" w:after="40" w:line="240" w:lineRule="auto"/>
        <w:ind w:left="259"/>
      </w:pPr>
      <w:r>
        <w:rPr>
          <w:rFonts w:ascii="Aptos" w:hAnsi="Aptos" w:eastAsia="Aptos"/>
          <w:b w:val="0"/>
          <w:color w:val="111827"/>
          <w:sz w:val="17"/>
        </w:rPr>
        <w:t>10. Multi-Employment Strategy</w:t>
      </w:r>
      <w:r>
        <w:rPr>
          <w:rFonts w:ascii="Aptos" w:hAnsi="Aptos" w:eastAsia="Aptos"/>
          <w:color w:val="667085"/>
          <w:sz w:val="17"/>
        </w:rPr>
        <w:tab/>
      </w:r>
      <w:r>
        <w:rPr>
          <w:rFonts w:ascii="Aptos" w:hAnsi="Aptos" w:eastAsia="Aptos"/>
          <w:b w:val="0"/>
          <w:color w:val="667085"/>
          <w:sz w:val="17"/>
        </w:rPr>
        <w:t>10</w:t>
      </w:r>
    </w:p>
    <w:p>
      <w:pPr>
        <w:tabs>
          <w:tab w:pos="9130" w:val="right" w:leader="dot"/>
        </w:tabs>
        <w:spacing w:before="0" w:after="40" w:line="240" w:lineRule="auto"/>
        <w:ind w:left="259"/>
      </w:pPr>
      <w:r>
        <w:rPr>
          <w:rFonts w:ascii="Aptos" w:hAnsi="Aptos" w:eastAsia="Aptos"/>
          <w:b w:val="0"/>
          <w:color w:val="111827"/>
          <w:sz w:val="17"/>
        </w:rPr>
        <w:t>11. Plan B – Contingency Design</w:t>
      </w:r>
      <w:r>
        <w:rPr>
          <w:rFonts w:ascii="Aptos" w:hAnsi="Aptos" w:eastAsia="Aptos"/>
          <w:color w:val="667085"/>
          <w:sz w:val="17"/>
        </w:rPr>
        <w:tab/>
      </w:r>
      <w:r>
        <w:rPr>
          <w:rFonts w:ascii="Aptos" w:hAnsi="Aptos" w:eastAsia="Aptos"/>
          <w:b w:val="0"/>
          <w:color w:val="667085"/>
          <w:sz w:val="17"/>
        </w:rPr>
        <w:t>11</w:t>
      </w:r>
    </w:p>
    <w:p>
      <w:pPr>
        <w:tabs>
          <w:tab w:pos="9130" w:val="right" w:leader="dot"/>
        </w:tabs>
        <w:spacing w:before="0" w:after="40" w:line="240" w:lineRule="auto"/>
        <w:ind w:left="259"/>
      </w:pPr>
      <w:r>
        <w:rPr>
          <w:rFonts w:ascii="Aptos" w:hAnsi="Aptos" w:eastAsia="Aptos"/>
          <w:b w:val="0"/>
          <w:color w:val="111827"/>
          <w:sz w:val="17"/>
        </w:rPr>
        <w:t>12. Plan B National ID Dependency</w:t>
      </w:r>
      <w:r>
        <w:rPr>
          <w:rFonts w:ascii="Aptos" w:hAnsi="Aptos" w:eastAsia="Aptos"/>
          <w:color w:val="667085"/>
          <w:sz w:val="17"/>
        </w:rPr>
        <w:tab/>
      </w:r>
      <w:r>
        <w:rPr>
          <w:rFonts w:ascii="Aptos" w:hAnsi="Aptos" w:eastAsia="Aptos"/>
          <w:b w:val="0"/>
          <w:color w:val="667085"/>
          <w:sz w:val="17"/>
        </w:rPr>
        <w:t>11</w:t>
      </w:r>
    </w:p>
    <w:p>
      <w:pPr>
        <w:tabs>
          <w:tab w:pos="9130" w:val="right" w:leader="dot"/>
        </w:tabs>
        <w:spacing w:before="0" w:after="40" w:line="240" w:lineRule="auto"/>
        <w:ind w:left="259"/>
      </w:pPr>
      <w:r>
        <w:rPr>
          <w:rFonts w:ascii="Aptos" w:hAnsi="Aptos" w:eastAsia="Aptos"/>
          <w:b w:val="0"/>
          <w:color w:val="111827"/>
          <w:sz w:val="17"/>
        </w:rPr>
        <w:t>13. BAdI Impact</w:t>
      </w:r>
      <w:r>
        <w:rPr>
          <w:rFonts w:ascii="Aptos" w:hAnsi="Aptos" w:eastAsia="Aptos"/>
          <w:color w:val="667085"/>
          <w:sz w:val="17"/>
        </w:rPr>
        <w:tab/>
      </w:r>
      <w:r>
        <w:rPr>
          <w:rFonts w:ascii="Aptos" w:hAnsi="Aptos" w:eastAsia="Aptos"/>
          <w:b w:val="0"/>
          <w:color w:val="667085"/>
          <w:sz w:val="17"/>
        </w:rPr>
        <w:t>11</w:t>
      </w:r>
    </w:p>
    <w:p>
      <w:pPr>
        <w:tabs>
          <w:tab w:pos="9130" w:val="right" w:leader="dot"/>
        </w:tabs>
        <w:spacing w:before="0" w:after="40" w:line="240" w:lineRule="auto"/>
      </w:pPr>
      <w:r>
        <w:rPr>
          <w:rFonts w:ascii="Aptos" w:hAnsi="Aptos" w:eastAsia="Aptos"/>
          <w:b/>
          <w:color w:val="2E74B5"/>
          <w:sz w:val="17"/>
        </w:rPr>
        <w:t>Part III – Operations and Data Transition</w:t>
      </w:r>
      <w:r>
        <w:rPr>
          <w:rFonts w:ascii="Aptos" w:hAnsi="Aptos" w:eastAsia="Aptos"/>
          <w:color w:val="667085"/>
          <w:sz w:val="17"/>
        </w:rPr>
        <w:tab/>
      </w:r>
      <w:r>
        <w:rPr>
          <w:rFonts w:ascii="Aptos" w:hAnsi="Aptos" w:eastAsia="Aptos"/>
          <w:b/>
          <w:color w:val="667085"/>
          <w:sz w:val="17"/>
        </w:rPr>
        <w:t>12</w:t>
      </w:r>
    </w:p>
    <w:p>
      <w:pPr>
        <w:tabs>
          <w:tab w:pos="9130" w:val="right" w:leader="dot"/>
        </w:tabs>
        <w:spacing w:before="0" w:after="40" w:line="240" w:lineRule="auto"/>
        <w:ind w:left="259"/>
      </w:pPr>
      <w:r>
        <w:rPr>
          <w:rFonts w:ascii="Aptos" w:hAnsi="Aptos" w:eastAsia="Aptos"/>
          <w:b w:val="0"/>
          <w:color w:val="111827"/>
          <w:sz w:val="17"/>
        </w:rPr>
        <w:t>14. Replication Scheduling</w:t>
      </w:r>
      <w:r>
        <w:rPr>
          <w:rFonts w:ascii="Aptos" w:hAnsi="Aptos" w:eastAsia="Aptos"/>
          <w:color w:val="667085"/>
          <w:sz w:val="17"/>
        </w:rPr>
        <w:tab/>
      </w:r>
      <w:r>
        <w:rPr>
          <w:rFonts w:ascii="Aptos" w:hAnsi="Aptos" w:eastAsia="Aptos"/>
          <w:b w:val="0"/>
          <w:color w:val="667085"/>
          <w:sz w:val="17"/>
        </w:rPr>
        <w:t>13</w:t>
      </w:r>
    </w:p>
    <w:p>
      <w:pPr>
        <w:tabs>
          <w:tab w:pos="9130" w:val="right" w:leader="dot"/>
        </w:tabs>
        <w:spacing w:before="0" w:after="40" w:line="240" w:lineRule="auto"/>
        <w:ind w:left="259"/>
      </w:pPr>
      <w:r>
        <w:rPr>
          <w:rFonts w:ascii="Aptos" w:hAnsi="Aptos" w:eastAsia="Aptos"/>
          <w:b w:val="0"/>
          <w:color w:val="111827"/>
          <w:sz w:val="17"/>
        </w:rPr>
        <w:t>15. Monitoring and Error Handling</w:t>
      </w:r>
      <w:r>
        <w:rPr>
          <w:rFonts w:ascii="Aptos" w:hAnsi="Aptos" w:eastAsia="Aptos"/>
          <w:color w:val="667085"/>
          <w:sz w:val="17"/>
        </w:rPr>
        <w:tab/>
      </w:r>
      <w:r>
        <w:rPr>
          <w:rFonts w:ascii="Aptos" w:hAnsi="Aptos" w:eastAsia="Aptos"/>
          <w:b w:val="0"/>
          <w:color w:val="667085"/>
          <w:sz w:val="17"/>
        </w:rPr>
        <w:t>13</w:t>
      </w:r>
    </w:p>
    <w:p>
      <w:pPr>
        <w:tabs>
          <w:tab w:pos="9130" w:val="right" w:leader="dot"/>
        </w:tabs>
        <w:spacing w:before="0" w:after="40" w:line="240" w:lineRule="auto"/>
        <w:ind w:left="259"/>
      </w:pPr>
      <w:r>
        <w:rPr>
          <w:rFonts w:ascii="Aptos" w:hAnsi="Aptos" w:eastAsia="Aptos"/>
          <w:b w:val="0"/>
          <w:color w:val="111827"/>
          <w:sz w:val="17"/>
        </w:rPr>
        <w:t>16. Full Transmission Start Date Strategy</w:t>
      </w:r>
      <w:r>
        <w:rPr>
          <w:rFonts w:ascii="Aptos" w:hAnsi="Aptos" w:eastAsia="Aptos"/>
          <w:color w:val="667085"/>
          <w:sz w:val="17"/>
        </w:rPr>
        <w:tab/>
      </w:r>
      <w:r>
        <w:rPr>
          <w:rFonts w:ascii="Aptos" w:hAnsi="Aptos" w:eastAsia="Aptos"/>
          <w:b w:val="0"/>
          <w:color w:val="667085"/>
          <w:sz w:val="17"/>
        </w:rPr>
        <w:t>13</w:t>
      </w:r>
    </w:p>
    <w:p>
      <w:pPr>
        <w:tabs>
          <w:tab w:pos="9130" w:val="right" w:leader="dot"/>
        </w:tabs>
        <w:spacing w:before="0" w:after="40" w:line="240" w:lineRule="auto"/>
        <w:ind w:left="259"/>
      </w:pPr>
      <w:r>
        <w:rPr>
          <w:rFonts w:ascii="Aptos" w:hAnsi="Aptos" w:eastAsia="Aptos"/>
          <w:b w:val="0"/>
          <w:color w:val="111827"/>
          <w:sz w:val="17"/>
        </w:rPr>
        <w:t>17. Existing Pensioner Conversion Strategy</w:t>
      </w:r>
      <w:r>
        <w:rPr>
          <w:rFonts w:ascii="Aptos" w:hAnsi="Aptos" w:eastAsia="Aptos"/>
          <w:color w:val="667085"/>
          <w:sz w:val="17"/>
        </w:rPr>
        <w:tab/>
      </w:r>
      <w:r>
        <w:rPr>
          <w:rFonts w:ascii="Aptos" w:hAnsi="Aptos" w:eastAsia="Aptos"/>
          <w:b w:val="0"/>
          <w:color w:val="667085"/>
          <w:sz w:val="17"/>
        </w:rPr>
        <w:t>13</w:t>
      </w:r>
    </w:p>
    <w:p>
      <w:pPr>
        <w:tabs>
          <w:tab w:pos="9130" w:val="right" w:leader="dot"/>
        </w:tabs>
        <w:spacing w:before="0" w:after="40" w:line="240" w:lineRule="auto"/>
      </w:pPr>
      <w:r>
        <w:rPr>
          <w:rFonts w:ascii="Aptos" w:hAnsi="Aptos" w:eastAsia="Aptos"/>
          <w:b/>
          <w:color w:val="2E74B5"/>
          <w:sz w:val="17"/>
        </w:rPr>
        <w:t>Part IV – Testing, Cutover and Production Control</w:t>
      </w:r>
      <w:r>
        <w:rPr>
          <w:rFonts w:ascii="Aptos" w:hAnsi="Aptos" w:eastAsia="Aptos"/>
          <w:color w:val="667085"/>
          <w:sz w:val="17"/>
        </w:rPr>
        <w:tab/>
      </w:r>
      <w:r>
        <w:rPr>
          <w:rFonts w:ascii="Aptos" w:hAnsi="Aptos" w:eastAsia="Aptos"/>
          <w:b/>
          <w:color w:val="667085"/>
          <w:sz w:val="17"/>
        </w:rPr>
        <w:t>14</w:t>
      </w:r>
    </w:p>
    <w:p>
      <w:pPr>
        <w:tabs>
          <w:tab w:pos="9130" w:val="right" w:leader="dot"/>
        </w:tabs>
        <w:spacing w:before="0" w:after="40" w:line="240" w:lineRule="auto"/>
        <w:ind w:left="259"/>
      </w:pPr>
      <w:r>
        <w:rPr>
          <w:rFonts w:ascii="Aptos" w:hAnsi="Aptos" w:eastAsia="Aptos"/>
          <w:b w:val="0"/>
          <w:color w:val="111827"/>
          <w:sz w:val="17"/>
        </w:rPr>
        <w:t>18. Testing Strategy</w:t>
      </w:r>
      <w:r>
        <w:rPr>
          <w:rFonts w:ascii="Aptos" w:hAnsi="Aptos" w:eastAsia="Aptos"/>
          <w:color w:val="667085"/>
          <w:sz w:val="17"/>
        </w:rPr>
        <w:tab/>
      </w:r>
      <w:r>
        <w:rPr>
          <w:rFonts w:ascii="Aptos" w:hAnsi="Aptos" w:eastAsia="Aptos"/>
          <w:b w:val="0"/>
          <w:color w:val="667085"/>
          <w:sz w:val="17"/>
        </w:rPr>
        <w:t>15</w:t>
      </w:r>
    </w:p>
    <w:p>
      <w:pPr>
        <w:tabs>
          <w:tab w:pos="9130" w:val="right" w:leader="dot"/>
        </w:tabs>
        <w:spacing w:before="0" w:after="40" w:line="240" w:lineRule="auto"/>
        <w:ind w:left="259"/>
      </w:pPr>
      <w:r>
        <w:rPr>
          <w:rFonts w:ascii="Aptos" w:hAnsi="Aptos" w:eastAsia="Aptos"/>
          <w:b w:val="0"/>
          <w:color w:val="111827"/>
          <w:sz w:val="17"/>
        </w:rPr>
        <w:t>19. Plan A / Plan B Decision Gate</w:t>
      </w:r>
      <w:r>
        <w:rPr>
          <w:rFonts w:ascii="Aptos" w:hAnsi="Aptos" w:eastAsia="Aptos"/>
          <w:color w:val="667085"/>
          <w:sz w:val="17"/>
        </w:rPr>
        <w:tab/>
      </w:r>
      <w:r>
        <w:rPr>
          <w:rFonts w:ascii="Aptos" w:hAnsi="Aptos" w:eastAsia="Aptos"/>
          <w:b w:val="0"/>
          <w:color w:val="667085"/>
          <w:sz w:val="17"/>
        </w:rPr>
        <w:t>15</w:t>
      </w:r>
    </w:p>
    <w:p>
      <w:pPr>
        <w:tabs>
          <w:tab w:pos="9130" w:val="right" w:leader="dot"/>
        </w:tabs>
        <w:spacing w:before="0" w:after="40" w:line="240" w:lineRule="auto"/>
        <w:ind w:left="259"/>
      </w:pPr>
      <w:r>
        <w:rPr>
          <w:rFonts w:ascii="Aptos" w:hAnsi="Aptos" w:eastAsia="Aptos"/>
          <w:b w:val="0"/>
          <w:color w:val="111827"/>
          <w:sz w:val="17"/>
        </w:rPr>
        <w:t>20. Cutover Strategy</w:t>
      </w:r>
      <w:r>
        <w:rPr>
          <w:rFonts w:ascii="Aptos" w:hAnsi="Aptos" w:eastAsia="Aptos"/>
          <w:color w:val="667085"/>
          <w:sz w:val="17"/>
        </w:rPr>
        <w:tab/>
      </w:r>
      <w:r>
        <w:rPr>
          <w:rFonts w:ascii="Aptos" w:hAnsi="Aptos" w:eastAsia="Aptos"/>
          <w:b w:val="0"/>
          <w:color w:val="667085"/>
          <w:sz w:val="17"/>
        </w:rPr>
        <w:t>16</w:t>
      </w:r>
    </w:p>
    <w:p>
      <w:pPr>
        <w:tabs>
          <w:tab w:pos="9130" w:val="right" w:leader="dot"/>
        </w:tabs>
        <w:spacing w:before="0" w:after="40" w:line="240" w:lineRule="auto"/>
        <w:ind w:left="259"/>
      </w:pPr>
      <w:r>
        <w:rPr>
          <w:rFonts w:ascii="Aptos" w:hAnsi="Aptos" w:eastAsia="Aptos"/>
          <w:b w:val="0"/>
          <w:color w:val="111827"/>
          <w:sz w:val="17"/>
        </w:rPr>
        <w:t>21. Rollback and Production Control</w:t>
      </w:r>
      <w:r>
        <w:rPr>
          <w:rFonts w:ascii="Aptos" w:hAnsi="Aptos" w:eastAsia="Aptos"/>
          <w:color w:val="667085"/>
          <w:sz w:val="17"/>
        </w:rPr>
        <w:tab/>
      </w:r>
      <w:r>
        <w:rPr>
          <w:rFonts w:ascii="Aptos" w:hAnsi="Aptos" w:eastAsia="Aptos"/>
          <w:b w:val="0"/>
          <w:color w:val="667085"/>
          <w:sz w:val="17"/>
        </w:rPr>
        <w:t>16</w:t>
      </w:r>
    </w:p>
    <w:p>
      <w:pPr>
        <w:tabs>
          <w:tab w:pos="9130" w:val="right" w:leader="dot"/>
        </w:tabs>
        <w:spacing w:before="0" w:after="40" w:line="240" w:lineRule="auto"/>
        <w:ind w:left="259"/>
      </w:pPr>
      <w:r>
        <w:rPr>
          <w:rFonts w:ascii="Aptos" w:hAnsi="Aptos" w:eastAsia="Aptos"/>
          <w:b w:val="0"/>
          <w:color w:val="111827"/>
          <w:sz w:val="17"/>
        </w:rPr>
        <w:t>22. Hypercare</w:t>
      </w:r>
      <w:r>
        <w:rPr>
          <w:rFonts w:ascii="Aptos" w:hAnsi="Aptos" w:eastAsia="Aptos"/>
          <w:color w:val="667085"/>
          <w:sz w:val="17"/>
        </w:rPr>
        <w:tab/>
      </w:r>
      <w:r>
        <w:rPr>
          <w:rFonts w:ascii="Aptos" w:hAnsi="Aptos" w:eastAsia="Aptos"/>
          <w:b w:val="0"/>
          <w:color w:val="667085"/>
          <w:sz w:val="17"/>
        </w:rPr>
        <w:t>16</w:t>
      </w:r>
    </w:p>
    <w:p>
      <w:pPr>
        <w:tabs>
          <w:tab w:pos="9130" w:val="right" w:leader="dot"/>
        </w:tabs>
        <w:spacing w:before="0" w:after="40" w:line="240" w:lineRule="auto"/>
      </w:pPr>
      <w:r>
        <w:rPr>
          <w:rFonts w:ascii="Aptos" w:hAnsi="Aptos" w:eastAsia="Aptos"/>
          <w:b/>
          <w:color w:val="2E74B5"/>
          <w:sz w:val="17"/>
        </w:rPr>
        <w:t>Part V – Governance and Delivery</w:t>
      </w:r>
      <w:r>
        <w:rPr>
          <w:rFonts w:ascii="Aptos" w:hAnsi="Aptos" w:eastAsia="Aptos"/>
          <w:color w:val="667085"/>
          <w:sz w:val="17"/>
        </w:rPr>
        <w:tab/>
      </w:r>
      <w:r>
        <w:rPr>
          <w:rFonts w:ascii="Aptos" w:hAnsi="Aptos" w:eastAsia="Aptos"/>
          <w:b/>
          <w:color w:val="667085"/>
          <w:sz w:val="17"/>
        </w:rPr>
        <w:t>17</w:t>
      </w:r>
    </w:p>
    <w:p>
      <w:pPr>
        <w:tabs>
          <w:tab w:pos="9130" w:val="right" w:leader="dot"/>
        </w:tabs>
        <w:spacing w:before="0" w:after="40" w:line="240" w:lineRule="auto"/>
        <w:ind w:left="259"/>
      </w:pPr>
      <w:r>
        <w:rPr>
          <w:rFonts w:ascii="Aptos" w:hAnsi="Aptos" w:eastAsia="Aptos"/>
          <w:b w:val="0"/>
          <w:color w:val="111827"/>
          <w:sz w:val="17"/>
        </w:rPr>
        <w:t>23. BOC Inputs and Dependencies</w:t>
      </w:r>
      <w:r>
        <w:rPr>
          <w:rFonts w:ascii="Aptos" w:hAnsi="Aptos" w:eastAsia="Aptos"/>
          <w:color w:val="667085"/>
          <w:sz w:val="17"/>
        </w:rPr>
        <w:tab/>
      </w:r>
      <w:r>
        <w:rPr>
          <w:rFonts w:ascii="Aptos" w:hAnsi="Aptos" w:eastAsia="Aptos"/>
          <w:b w:val="0"/>
          <w:color w:val="667085"/>
          <w:sz w:val="17"/>
        </w:rPr>
        <w:t>18</w:t>
      </w:r>
    </w:p>
    <w:p>
      <w:pPr>
        <w:tabs>
          <w:tab w:pos="9130" w:val="right" w:leader="dot"/>
        </w:tabs>
        <w:spacing w:before="0" w:after="40" w:line="240" w:lineRule="auto"/>
        <w:ind w:left="259"/>
      </w:pPr>
      <w:r>
        <w:rPr>
          <w:rFonts w:ascii="Aptos" w:hAnsi="Aptos" w:eastAsia="Aptos"/>
          <w:b w:val="0"/>
          <w:color w:val="111827"/>
          <w:sz w:val="17"/>
        </w:rPr>
        <w:t>24. Key Design Principles</w:t>
      </w:r>
      <w:r>
        <w:rPr>
          <w:rFonts w:ascii="Aptos" w:hAnsi="Aptos" w:eastAsia="Aptos"/>
          <w:color w:val="667085"/>
          <w:sz w:val="17"/>
        </w:rPr>
        <w:tab/>
      </w:r>
      <w:r>
        <w:rPr>
          <w:rFonts w:ascii="Aptos" w:hAnsi="Aptos" w:eastAsia="Aptos"/>
          <w:b w:val="0"/>
          <w:color w:val="667085"/>
          <w:sz w:val="17"/>
        </w:rPr>
        <w:t>18</w:t>
      </w:r>
    </w:p>
    <w:p>
      <w:pPr>
        <w:tabs>
          <w:tab w:pos="9130" w:val="right" w:leader="dot"/>
        </w:tabs>
        <w:spacing w:before="0" w:after="40" w:line="240" w:lineRule="auto"/>
        <w:ind w:left="259"/>
      </w:pPr>
      <w:r>
        <w:rPr>
          <w:rFonts w:ascii="Aptos" w:hAnsi="Aptos" w:eastAsia="Aptos"/>
          <w:b w:val="0"/>
          <w:color w:val="111827"/>
          <w:sz w:val="17"/>
        </w:rPr>
        <w:t>25. Success Criteria</w:t>
      </w:r>
      <w:r>
        <w:rPr>
          <w:rFonts w:ascii="Aptos" w:hAnsi="Aptos" w:eastAsia="Aptos"/>
          <w:color w:val="667085"/>
          <w:sz w:val="17"/>
        </w:rPr>
        <w:tab/>
      </w:r>
      <w:r>
        <w:rPr>
          <w:rFonts w:ascii="Aptos" w:hAnsi="Aptos" w:eastAsia="Aptos"/>
          <w:b w:val="0"/>
          <w:color w:val="667085"/>
          <w:sz w:val="17"/>
        </w:rPr>
        <w:t>19</w:t>
      </w:r>
    </w:p>
    <w:p>
      <w:pPr>
        <w:tabs>
          <w:tab w:pos="9130" w:val="right" w:leader="dot"/>
        </w:tabs>
        <w:spacing w:before="0" w:after="40" w:line="240" w:lineRule="auto"/>
        <w:ind w:left="259"/>
      </w:pPr>
      <w:r>
        <w:rPr>
          <w:rFonts w:ascii="Aptos" w:hAnsi="Aptos" w:eastAsia="Aptos"/>
          <w:b w:val="0"/>
          <w:color w:val="111827"/>
          <w:sz w:val="17"/>
        </w:rPr>
        <w:t>26. Key Risks</w:t>
      </w:r>
      <w:r>
        <w:rPr>
          <w:rFonts w:ascii="Aptos" w:hAnsi="Aptos" w:eastAsia="Aptos"/>
          <w:color w:val="667085"/>
          <w:sz w:val="17"/>
        </w:rPr>
        <w:tab/>
      </w:r>
      <w:r>
        <w:rPr>
          <w:rFonts w:ascii="Aptos" w:hAnsi="Aptos" w:eastAsia="Aptos"/>
          <w:b w:val="0"/>
          <w:color w:val="667085"/>
          <w:sz w:val="17"/>
        </w:rPr>
        <w:t>19</w:t>
      </w:r>
    </w:p>
    <w:p>
      <w:pPr>
        <w:tabs>
          <w:tab w:pos="9130" w:val="right" w:leader="dot"/>
        </w:tabs>
        <w:spacing w:before="0" w:after="40" w:line="240" w:lineRule="auto"/>
        <w:ind w:left="259"/>
      </w:pPr>
      <w:r>
        <w:rPr>
          <w:rFonts w:ascii="Aptos" w:hAnsi="Aptos" w:eastAsia="Aptos"/>
          <w:b w:val="0"/>
          <w:color w:val="111827"/>
          <w:sz w:val="17"/>
        </w:rPr>
        <w:t>27. Open Items and Decisions Required</w:t>
      </w:r>
      <w:r>
        <w:rPr>
          <w:rFonts w:ascii="Aptos" w:hAnsi="Aptos" w:eastAsia="Aptos"/>
          <w:color w:val="667085"/>
          <w:sz w:val="17"/>
        </w:rPr>
        <w:tab/>
      </w:r>
      <w:r>
        <w:rPr>
          <w:rFonts w:ascii="Aptos" w:hAnsi="Aptos" w:eastAsia="Aptos"/>
          <w:b w:val="0"/>
          <w:color w:val="667085"/>
          <w:sz w:val="17"/>
        </w:rPr>
        <w:t>20</w:t>
      </w:r>
    </w:p>
    <w:p>
      <w:pPr>
        <w:tabs>
          <w:tab w:pos="9130" w:val="right" w:leader="dot"/>
        </w:tabs>
        <w:spacing w:before="0" w:after="40" w:line="240" w:lineRule="auto"/>
        <w:ind w:left="259"/>
      </w:pPr>
      <w:r>
        <w:rPr>
          <w:rFonts w:ascii="Aptos" w:hAnsi="Aptos" w:eastAsia="Aptos"/>
          <w:b w:val="0"/>
          <w:color w:val="111827"/>
          <w:sz w:val="17"/>
        </w:rPr>
        <w:t>28. High-Level Timeline</w:t>
      </w:r>
      <w:r>
        <w:rPr>
          <w:rFonts w:ascii="Aptos" w:hAnsi="Aptos" w:eastAsia="Aptos"/>
          <w:color w:val="667085"/>
          <w:sz w:val="17"/>
        </w:rPr>
        <w:tab/>
      </w:r>
      <w:r>
        <w:rPr>
          <w:rFonts w:ascii="Aptos" w:hAnsi="Aptos" w:eastAsia="Aptos"/>
          <w:b w:val="0"/>
          <w:color w:val="667085"/>
          <w:sz w:val="17"/>
        </w:rPr>
        <w:t>20</w:t>
      </w:r>
    </w:p>
    <w:p>
      <w:pPr>
        <w:tabs>
          <w:tab w:pos="9130" w:val="right" w:leader="dot"/>
        </w:tabs>
        <w:spacing w:before="0" w:after="40" w:line="240" w:lineRule="auto"/>
        <w:ind w:left="259"/>
      </w:pPr>
      <w:r>
        <w:rPr>
          <w:rFonts w:ascii="Aptos" w:hAnsi="Aptos" w:eastAsia="Aptos"/>
          <w:b w:val="0"/>
          <w:color w:val="111827"/>
          <w:sz w:val="17"/>
        </w:rPr>
        <w:t>29. Next Steps</w:t>
      </w:r>
      <w:r>
        <w:rPr>
          <w:rFonts w:ascii="Aptos" w:hAnsi="Aptos" w:eastAsia="Aptos"/>
          <w:color w:val="667085"/>
          <w:sz w:val="17"/>
        </w:rPr>
        <w:tab/>
      </w:r>
      <w:r>
        <w:rPr>
          <w:rFonts w:ascii="Aptos" w:hAnsi="Aptos" w:eastAsia="Aptos"/>
          <w:b w:val="0"/>
          <w:color w:val="667085"/>
          <w:sz w:val="17"/>
        </w:rPr>
        <w:t>21</w:t>
      </w:r>
      <w:r>
        <w:fldChar w:fldCharType="end"/>
      </w:r>
    </w:p>
    <w:p>
      <w:r>
        <w:br w:type="page"/>
      </w:r>
    </w:p>
    <w:p>
      <w:pPr>
        <w:pStyle w:val="FrontMatterHeading"/>
      </w:pPr>
      <w:r>
        <w:t>Document Overview</w:t>
      </w:r>
    </w:p>
    <w:p>
      <w:r>
        <w:rPr>
          <w:rFonts w:ascii="Aptos" w:hAnsi="Aptos" w:eastAsia="Aptos"/>
        </w:rPr>
        <w:t>This version incorporates the confirmed Phase 2 strategy content and separates confirmed design from the remaining decisions. Outstanding inputs are consolidated in Section 27 rather than repeated throughout the document.</w:t>
      </w:r>
    </w:p>
    <w:tbl>
      <w:tblPr>
        <w:tblW w:type="dxa" w:w="9360"/>
        <w:jc w:val="left"/>
        <w:tblLayout w:type="fixed"/>
        <w:tblLook w:firstColumn="1" w:firstRow="1" w:lastColumn="0" w:lastRow="0" w:noHBand="0" w:noVBand="1" w:val="04A0"/>
        <w:tblInd w:type="dxa" w:w="1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150"/>
        <w:gridCol w:w="7210"/>
      </w:tblGrid>
      <w:tr>
        <w:trPr>
          <w:tblHeader w:val="true"/>
          <w:cantSplit w:val="true"/>
        </w:trPr>
        <w:tc>
          <w:tcPr>
            <w:tcW w:type="dxa" w:w="215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Item</w:t>
            </w:r>
          </w:p>
        </w:tc>
        <w:tc>
          <w:tcPr>
            <w:tcW w:type="dxa" w:w="721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Current position</w:t>
            </w:r>
          </w:p>
        </w:tc>
      </w:tr>
      <w:tr>
        <w:trPr>
          <w:cantSplit w:val="true"/>
        </w:trPr>
        <w:tc>
          <w:tcPr>
            <w:tcW w:type="dxa" w:w="21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Project phase</w:t>
            </w:r>
          </w:p>
        </w:tc>
        <w:tc>
          <w:tcPr>
            <w:tcW w:type="dxa" w:w="72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Phase 2 – Pensioner Replication</w:t>
            </w:r>
          </w:p>
        </w:tc>
      </w:tr>
      <w:tr>
        <w:trPr>
          <w:cantSplit w:val="true"/>
        </w:trPr>
        <w:tc>
          <w:tcPr>
            <w:tcW w:type="dxa" w:w="21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Phase 1 baseline</w:t>
            </w:r>
          </w:p>
        </w:tc>
        <w:tc>
          <w:tcPr>
            <w:tcW w:type="dxa" w:w="72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Active Employee Replication; production since the end of 2024</w:t>
            </w:r>
          </w:p>
        </w:tc>
      </w:tr>
      <w:tr>
        <w:trPr>
          <w:cantSplit w:val="true"/>
        </w:trPr>
        <w:tc>
          <w:tcPr>
            <w:tcW w:type="dxa" w:w="21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Target go-live</w:t>
            </w:r>
          </w:p>
        </w:tc>
        <w:tc>
          <w:tcPr>
            <w:tcW w:type="dxa" w:w="72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November 2026 – final date TBD</w:t>
            </w:r>
          </w:p>
        </w:tc>
      </w:tr>
      <w:tr>
        <w:trPr>
          <w:cantSplit w:val="true"/>
        </w:trPr>
        <w:tc>
          <w:tcPr>
            <w:tcW w:type="dxa" w:w="21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Preferred design</w:t>
            </w:r>
          </w:p>
        </w:tc>
        <w:tc>
          <w:tcPr>
            <w:tcW w:type="dxa" w:w="72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Plan A: one person with multiple PERNRs; SAP Concurrent Employment remains disabled</w:t>
            </w:r>
          </w:p>
        </w:tc>
      </w:tr>
      <w:tr>
        <w:trPr>
          <w:cantSplit w:val="true"/>
        </w:trPr>
        <w:tc>
          <w:tcPr>
            <w:tcW w:type="dxa" w:w="21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Decision gate</w:t>
            </w:r>
          </w:p>
        </w:tc>
        <w:tc>
          <w:tcPr>
            <w:tcW w:type="dxa" w:w="72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Early September 2026 during Functional Unit Testing (FUT)</w:t>
            </w:r>
          </w:p>
        </w:tc>
      </w:tr>
      <w:tr>
        <w:trPr>
          <w:cantSplit w:val="true"/>
        </w:trPr>
        <w:tc>
          <w:tcPr>
            <w:tcW w:type="dxa" w:w="21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UAT owner</w:t>
            </w:r>
          </w:p>
        </w:tc>
        <w:tc>
          <w:tcPr>
            <w:tcW w:type="dxa" w:w="72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Bank of Canada (BOC)</w:t>
            </w:r>
          </w:p>
        </w:tc>
      </w:tr>
      <w:tr>
        <w:trPr>
          <w:cantSplit w:val="true"/>
        </w:trPr>
        <w:tc>
          <w:tcPr>
            <w:tcW w:type="dxa" w:w="21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Hypercare</w:t>
            </w:r>
          </w:p>
        </w:tc>
        <w:tc>
          <w:tcPr>
            <w:tcW w:type="dxa" w:w="72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Two weeks after production go-live</w:t>
            </w:r>
          </w:p>
        </w:tc>
      </w:tr>
    </w:tbl>
    <w:p>
      <w:pPr>
        <w:spacing w:before="0" w:after="40"/>
      </w:pPr>
    </w:p>
    <w:p>
      <w:pPr>
        <w:pStyle w:val="FrontMatterHeading"/>
      </w:pPr>
      <w:r>
        <w:t>Document Structure</w:t>
      </w:r>
    </w:p>
    <w:p>
      <w:pPr>
        <w:spacing w:before="0" w:after="160" w:line="280" w:lineRule="auto"/>
        <w:numPr>
          <w:ilvl w:val="0"/>
          <w:numId w:val="42"/>
        </w:numPr>
      </w:pPr>
      <w:r>
        <w:rPr>
          <w:rFonts w:ascii="Aptos" w:hAnsi="Aptos" w:eastAsia="Aptos"/>
        </w:rPr>
        <w:t>Part I – Strategy Overview: executive summary, context, objectives, scope and business scenarios</w:t>
      </w:r>
    </w:p>
    <w:p>
      <w:pPr>
        <w:spacing w:before="0" w:after="160" w:line="280" w:lineRule="auto"/>
        <w:numPr>
          <w:ilvl w:val="0"/>
          <w:numId w:val="42"/>
        </w:numPr>
      </w:pPr>
      <w:r>
        <w:rPr>
          <w:rFonts w:ascii="Aptos" w:hAnsi="Aptos" w:eastAsia="Aptos"/>
        </w:rPr>
        <w:t>Part II – Solution Design: architecture, template groups, Infotypes, multi-employment, contingency and BAdI impact</w:t>
      </w:r>
    </w:p>
    <w:p>
      <w:pPr>
        <w:spacing w:before="0" w:after="160" w:line="280" w:lineRule="auto"/>
        <w:numPr>
          <w:ilvl w:val="0"/>
          <w:numId w:val="42"/>
        </w:numPr>
      </w:pPr>
      <w:r>
        <w:rPr>
          <w:rFonts w:ascii="Aptos" w:hAnsi="Aptos" w:eastAsia="Aptos"/>
        </w:rPr>
        <w:t>Part III – Operations and Data Transition: scheduling, monitoring, FTSD and conversion</w:t>
      </w:r>
    </w:p>
    <w:p>
      <w:pPr>
        <w:spacing w:before="0" w:after="160" w:line="280" w:lineRule="auto"/>
        <w:numPr>
          <w:ilvl w:val="0"/>
          <w:numId w:val="42"/>
        </w:numPr>
      </w:pPr>
      <w:r>
        <w:rPr>
          <w:rFonts w:ascii="Aptos" w:hAnsi="Aptos" w:eastAsia="Aptos"/>
        </w:rPr>
        <w:t>Part IV – Testing, Cutover and Production Control: test phases, decision gate, cutover, rollback and hypercare</w:t>
      </w:r>
    </w:p>
    <w:p>
      <w:pPr>
        <w:spacing w:before="0" w:after="160" w:line="280" w:lineRule="auto"/>
        <w:numPr>
          <w:ilvl w:val="0"/>
          <w:numId w:val="42"/>
        </w:numPr>
      </w:pPr>
      <w:r>
        <w:rPr>
          <w:rFonts w:ascii="Aptos" w:hAnsi="Aptos" w:eastAsia="Aptos"/>
        </w:rPr>
        <w:t>Part V – Governance and Delivery: BOC inputs, design principles, success measures, risks, open items, timeline and next steps</w:t>
      </w:r>
    </w:p>
    <w:p>
      <w:pPr>
        <w:pageBreakBefore/>
        <w:spacing w:before="3560" w:after="200"/>
      </w:pPr>
      <w:r>
        <w:rPr>
          <w:rFonts w:ascii="Aptos" w:hAnsi="Aptos" w:eastAsia="Aptos"/>
          <w:b/>
          <w:color w:val="2E74B5"/>
          <w:sz w:val="17"/>
        </w:rPr>
        <w:t>PART I</w:t>
      </w:r>
    </w:p>
    <w:p>
      <w:pPr>
        <w:pStyle w:val="PartTitle"/>
        <w:spacing w:after="260"/>
        <w:pBdr>
          <w:bottom w:val="single" w:sz="6" w:space="1" w:color="D9DEE5"/>
        </w:pBdr>
      </w:pPr>
      <w:r>
        <w:rPr>
          <w:rFonts w:ascii="Aptos Display" w:hAnsi="Aptos Display" w:eastAsia="Aptos Display"/>
          <w:b/>
          <w:color w:val="0B2545"/>
          <w:sz w:val="52"/>
        </w:rPr>
        <w:t>Strategy Overview</w:t>
      </w:r>
    </w:p>
    <w:p>
      <w:r>
        <w:br w:type="page"/>
      </w:r>
    </w:p>
    <w:p>
      <w:pPr>
        <w:pStyle w:val="Heading1"/>
        <w:numPr>
          <w:ilvl w:val="0"/>
          <w:numId w:val="41"/>
        </w:numPr>
      </w:pPr>
      <w:r>
        <w:t>Executive Summary</w:t>
      </w:r>
    </w:p>
    <w:p>
      <w:r>
        <w:rPr>
          <w:rFonts w:ascii="Aptos" w:hAnsi="Aptos" w:eastAsia="Aptos"/>
        </w:rPr>
        <w:t>The Pensioner Replication initiative is Phase 2 of the Bank of Canada employee replication roadmap. Phase 1 went live at the end of 2024 and enabled replication of all Active Employees from SAP SuccessFactors Employee Central (EC) to SAP S/4HANA HRM.</w:t>
      </w:r>
    </w:p>
    <w:p>
      <w:r>
        <w:rPr>
          <w:rFonts w:ascii="Aptos" w:hAnsi="Aptos" w:eastAsia="Aptos"/>
        </w:rPr>
        <w:t>Phase 2 extends the existing production solution to the full Pensioner population: existing Pensioners, Active Employees transitioning to Pensioner status, Survivors receiving pension-related payments, and Pensioners rehired for short-term or project assignments. The strategy maximizes reuse of the existing CPI integration, SOA Manager web service, BIB framework, monitoring model and operating processes.</w:t>
      </w:r>
    </w:p>
    <w:p>
      <w:r>
        <w:rPr>
          <w:rFonts w:ascii="Aptos" w:hAnsi="Aptos" w:eastAsia="Aptos"/>
        </w:rPr>
        <w:t>The principal design challenge is multiple employment relationships for rehired Pensioners. Plan A is the preferred design: one person with multiple PERNRs, without enabling SAP Concurrent Employment. Plan B separates the same individual into two S/4HANA HRM persons if Plan A creates unacceptable complexity, data conflict or regression risk. The decision will be made during FUT in early September 2026.</w:t>
      </w:r>
    </w:p>
    <w:tbl>
      <w:tblPr>
        <w:tblW w:type="dxa" w:w="9360"/>
        <w:jc w:val="left"/>
        <w:tblLayout w:type="fixed"/>
        <w:tblLook w:firstColumn="1" w:firstRow="1" w:lastColumn="0" w:lastRow="0" w:noHBand="0" w:noVBand="1" w:val="04A0"/>
        <w:tblInd w:type="dxa" w:w="1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200"/>
        <w:gridCol w:w="2250"/>
        <w:gridCol w:w="4910"/>
      </w:tblGrid>
      <w:tr>
        <w:trPr>
          <w:tblHeader w:val="true"/>
          <w:cantSplit w:val="true"/>
        </w:trPr>
        <w:tc>
          <w:tcPr>
            <w:tcW w:type="dxa" w:w="220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Delivery stage</w:t>
            </w:r>
          </w:p>
        </w:tc>
        <w:tc>
          <w:tcPr>
            <w:tcW w:type="dxa" w:w="225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Timing</w:t>
            </w:r>
          </w:p>
        </w:tc>
        <w:tc>
          <w:tcPr>
            <w:tcW w:type="dxa" w:w="491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Expected outcome</w:t>
            </w:r>
          </w:p>
        </w:tc>
      </w:tr>
      <w:tr>
        <w:trPr>
          <w:cantSplit w:val="true"/>
        </w:trPr>
        <w:tc>
          <w:tcPr>
            <w:tcW w:type="dxa" w:w="22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Development</w:t>
            </w:r>
          </w:p>
        </w:tc>
        <w:tc>
          <w:tcPr>
            <w:tcW w:type="dxa" w:w="22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August 2026</w:t>
            </w:r>
          </w:p>
        </w:tc>
        <w:tc>
          <w:tcPr>
            <w:tcW w:type="dxa" w:w="49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Configuration, BAdI changes and unit testing</w:t>
            </w:r>
          </w:p>
        </w:tc>
      </w:tr>
      <w:tr>
        <w:trPr>
          <w:cantSplit w:val="true"/>
        </w:trPr>
        <w:tc>
          <w:tcPr>
            <w:tcW w:type="dxa" w:w="22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FUT and decision gate</w:t>
            </w:r>
          </w:p>
        </w:tc>
        <w:tc>
          <w:tcPr>
            <w:tcW w:type="dxa" w:w="22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Early September 2026</w:t>
            </w:r>
          </w:p>
        </w:tc>
        <w:tc>
          <w:tcPr>
            <w:tcW w:type="dxa" w:w="49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Validate Plan A and select Plan A or Plan B</w:t>
            </w:r>
          </w:p>
        </w:tc>
      </w:tr>
      <w:tr>
        <w:trPr>
          <w:cantSplit w:val="true"/>
        </w:trPr>
        <w:tc>
          <w:tcPr>
            <w:tcW w:type="dxa" w:w="22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SIT and stabilization</w:t>
            </w:r>
          </w:p>
        </w:tc>
        <w:tc>
          <w:tcPr>
            <w:tcW w:type="dxa" w:w="22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October 2026</w:t>
            </w:r>
          </w:p>
        </w:tc>
        <w:tc>
          <w:tcPr>
            <w:tcW w:type="dxa" w:w="49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End-to-end validation, regression and defect resolution</w:t>
            </w:r>
          </w:p>
        </w:tc>
      </w:tr>
      <w:tr>
        <w:trPr>
          <w:cantSplit w:val="true"/>
        </w:trPr>
        <w:tc>
          <w:tcPr>
            <w:tcW w:type="dxa" w:w="22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UAT and production</w:t>
            </w:r>
          </w:p>
        </w:tc>
        <w:tc>
          <w:tcPr>
            <w:tcW w:type="dxa" w:w="22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November 2026</w:t>
            </w:r>
          </w:p>
        </w:tc>
        <w:tc>
          <w:tcPr>
            <w:tcW w:type="dxa" w:w="49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BOC acceptance, cutover and go-live</w:t>
            </w:r>
          </w:p>
        </w:tc>
      </w:tr>
    </w:tbl>
    <w:p>
      <w:pPr>
        <w:spacing w:before="0" w:after="40"/>
      </w:pPr>
    </w:p>
    <w:p>
      <w:pPr>
        <w:pStyle w:val="Heading1"/>
        <w:numPr>
          <w:ilvl w:val="0"/>
          <w:numId w:val="41"/>
        </w:numPr>
      </w:pPr>
      <w:r>
        <w:t>Background and Business Context</w:t>
      </w:r>
    </w:p>
    <w:p>
      <w:r>
        <w:rPr>
          <w:rFonts w:ascii="Aptos" w:hAnsi="Aptos" w:eastAsia="Aptos"/>
        </w:rPr>
        <w:t>The existing employee replication solution integrates employee data from EC to S/4HANA HRM. The initial implementation covers all Active Employees and has operated in production since the end of 2024.</w:t>
      </w:r>
    </w:p>
    <w:p>
      <w:r>
        <w:rPr>
          <w:rFonts w:ascii="Aptos" w:hAnsi="Aptos" w:eastAsia="Aptos"/>
        </w:rPr>
        <w:t>Pensioner replication was intentionally planned as Phase 2. It is therefore an extension of the established production solution, not a standalone integration. The primary strategy is to reuse the Phase 1 architecture and operating model while adding the S/4HANA HRM and BIB processing needed for Pensioners.</w:t>
      </w:r>
    </w:p>
    <w:p>
      <w:pPr>
        <w:pStyle w:val="Heading1"/>
        <w:numPr>
          <w:ilvl w:val="0"/>
          <w:numId w:val="41"/>
        </w:numPr>
      </w:pPr>
      <w:r>
        <w:t>Objectives</w:t>
      </w:r>
    </w:p>
    <w:p>
      <w:pPr>
        <w:spacing w:before="0" w:after="160" w:line="280" w:lineRule="auto"/>
        <w:numPr>
          <w:ilvl w:val="0"/>
          <w:numId w:val="42"/>
        </w:numPr>
      </w:pPr>
      <w:r>
        <w:rPr>
          <w:rFonts w:ascii="Aptos" w:hAnsi="Aptos" w:eastAsia="Aptos"/>
        </w:rPr>
        <w:t>Enable reliable Pensioner replication from EC to S/4HANA HRM for existing and future Pensioners.</w:t>
      </w:r>
    </w:p>
    <w:p>
      <w:pPr>
        <w:spacing w:before="0" w:after="160" w:line="280" w:lineRule="auto"/>
        <w:numPr>
          <w:ilvl w:val="0"/>
          <w:numId w:val="42"/>
        </w:numPr>
      </w:pPr>
      <w:r>
        <w:rPr>
          <w:rFonts w:ascii="Aptos" w:hAnsi="Aptos" w:eastAsia="Aptos"/>
        </w:rPr>
        <w:t>Support Active Employee-to-Pensioner transitions, Survivors and Pensioner rehire scenarios.</w:t>
      </w:r>
    </w:p>
    <w:p>
      <w:pPr>
        <w:spacing w:before="0" w:after="160" w:line="280" w:lineRule="auto"/>
        <w:numPr>
          <w:ilvl w:val="0"/>
          <w:numId w:val="42"/>
        </w:numPr>
      </w:pPr>
      <w:r>
        <w:rPr>
          <w:rFonts w:ascii="Aptos" w:hAnsi="Aptos" w:eastAsia="Aptos"/>
        </w:rPr>
        <w:t>Support multiple PERNRs under one person where technically feasible, without enabling SAP Concurrent Employment.</w:t>
      </w:r>
    </w:p>
    <w:p>
      <w:pPr>
        <w:spacing w:before="0" w:after="160" w:line="280" w:lineRule="auto"/>
        <w:numPr>
          <w:ilvl w:val="0"/>
          <w:numId w:val="42"/>
        </w:numPr>
      </w:pPr>
      <w:r>
        <w:rPr>
          <w:rFonts w:ascii="Aptos" w:hAnsi="Aptos" w:eastAsia="Aptos"/>
        </w:rPr>
        <w:t>Minimize impact to the existing Active Employee replication solution and reuse the established integration and operating framework.</w:t>
      </w:r>
    </w:p>
    <w:p>
      <w:pPr>
        <w:spacing w:before="0" w:after="160" w:line="280" w:lineRule="auto"/>
        <w:numPr>
          <w:ilvl w:val="0"/>
          <w:numId w:val="42"/>
        </w:numPr>
      </w:pPr>
      <w:r>
        <w:rPr>
          <w:rFonts w:ascii="Aptos" w:hAnsi="Aptos" w:eastAsia="Aptos"/>
        </w:rPr>
        <w:t>Introduce the Phase 2 Infotype requirements, including Active Employee IT0014 and IT0015 enhancements and new IT0169 and IT9000 support.</w:t>
      </w:r>
    </w:p>
    <w:p>
      <w:pPr>
        <w:spacing w:before="0" w:after="160" w:line="280" w:lineRule="auto"/>
        <w:numPr>
          <w:ilvl w:val="0"/>
          <w:numId w:val="42"/>
        </w:numPr>
      </w:pPr>
      <w:r>
        <w:rPr>
          <w:rFonts w:ascii="Aptos" w:hAnsi="Aptos" w:eastAsia="Aptos"/>
        </w:rPr>
        <w:t>Complete implementation and production deployment within the planned November 2026 timeframe.</w:t>
      </w:r>
    </w:p>
    <w:p>
      <w:pPr>
        <w:pStyle w:val="Heading1"/>
        <w:numPr>
          <w:ilvl w:val="0"/>
          <w:numId w:val="41"/>
        </w:numPr>
      </w:pPr>
      <w:r>
        <w:t>Scope</w:t>
      </w:r>
    </w:p>
    <w:p>
      <w:pPr>
        <w:pStyle w:val="Heading2"/>
        <w:numPr>
          <w:ilvl w:val="1"/>
          <w:numId w:val="41"/>
        </w:numPr>
      </w:pPr>
      <w:r>
        <w:t>In Scope</w:t>
      </w:r>
    </w:p>
    <w:p>
      <w:pPr>
        <w:spacing w:before="0" w:after="160" w:line="280" w:lineRule="auto"/>
        <w:numPr>
          <w:ilvl w:val="0"/>
          <w:numId w:val="42"/>
        </w:numPr>
      </w:pPr>
      <w:r>
        <w:rPr>
          <w:rFonts w:ascii="Aptos" w:hAnsi="Aptos" w:eastAsia="Aptos"/>
        </w:rPr>
        <w:t>Existing Pensioners, future Active Employee-to-Pensioner transitions, Survivors and Pensioner rehires.</w:t>
      </w:r>
    </w:p>
    <w:p>
      <w:pPr>
        <w:spacing w:before="0" w:after="160" w:line="280" w:lineRule="auto"/>
        <w:numPr>
          <w:ilvl w:val="0"/>
          <w:numId w:val="42"/>
        </w:numPr>
      </w:pPr>
      <w:r>
        <w:rPr>
          <w:rFonts w:ascii="Aptos" w:hAnsi="Aptos" w:eastAsia="Aptos"/>
        </w:rPr>
        <w:t>Multi-employment and multi-PERNR support, with a Pensioner BIB Template Group and required BAdI changes.</w:t>
      </w:r>
    </w:p>
    <w:p>
      <w:pPr>
        <w:spacing w:before="0" w:after="160" w:line="280" w:lineRule="auto"/>
        <w:numPr>
          <w:ilvl w:val="0"/>
          <w:numId w:val="42"/>
        </w:numPr>
      </w:pPr>
      <w:r>
        <w:rPr>
          <w:rFonts w:ascii="Aptos" w:hAnsi="Aptos" w:eastAsia="Aptos"/>
        </w:rPr>
        <w:t>Active Employee IT0014 and IT0015 enhancement; IT0169 and IT9000 for the in-scope population; expanded IT0006 country support.</w:t>
      </w:r>
    </w:p>
    <w:p>
      <w:pPr>
        <w:spacing w:before="0" w:after="160" w:line="280" w:lineRule="auto"/>
        <w:numPr>
          <w:ilvl w:val="0"/>
          <w:numId w:val="42"/>
        </w:numPr>
      </w:pPr>
      <w:r>
        <w:rPr>
          <w:rFonts w:ascii="Aptos" w:hAnsi="Aptos" w:eastAsia="Aptos"/>
        </w:rPr>
        <w:t>Existing Pensioner conversion records at cutover and Pensioner-specific background job configuration.</w:t>
      </w:r>
    </w:p>
    <w:p>
      <w:pPr>
        <w:spacing w:before="0" w:after="160" w:line="280" w:lineRule="auto"/>
        <w:numPr>
          <w:ilvl w:val="0"/>
          <w:numId w:val="42"/>
        </w:numPr>
      </w:pPr>
      <w:r>
        <w:rPr>
          <w:rFonts w:ascii="Aptos" w:hAnsi="Aptos" w:eastAsia="Aptos"/>
        </w:rPr>
        <w:t>FUT, System Integration Testing (SIT), regression, User Acceptance Testing (UAT), cutover and two-week hypercare.</w:t>
      </w:r>
    </w:p>
    <w:p>
      <w:pPr>
        <w:pStyle w:val="Heading2"/>
        <w:numPr>
          <w:ilvl w:val="1"/>
          <w:numId w:val="41"/>
        </w:numPr>
      </w:pPr>
      <w:r>
        <w:t>Out of Scope</w:t>
      </w:r>
    </w:p>
    <w:p>
      <w:pPr>
        <w:spacing w:before="0" w:after="160" w:line="280" w:lineRule="auto"/>
        <w:numPr>
          <w:ilvl w:val="0"/>
          <w:numId w:val="42"/>
        </w:numPr>
      </w:pPr>
      <w:r>
        <w:rPr>
          <w:rFonts w:ascii="Aptos" w:hAnsi="Aptos" w:eastAsia="Aptos"/>
        </w:rPr>
        <w:t>Enabling SAP Concurrent Employment or redesigning the Phase 1 Active Employee replication architecture.</w:t>
      </w:r>
    </w:p>
    <w:p>
      <w:pPr>
        <w:spacing w:before="0" w:after="160" w:line="280" w:lineRule="auto"/>
        <w:numPr>
          <w:ilvl w:val="0"/>
          <w:numId w:val="42"/>
        </w:numPr>
      </w:pPr>
      <w:r>
        <w:rPr>
          <w:rFonts w:ascii="Aptos" w:hAnsi="Aptos" w:eastAsia="Aptos"/>
        </w:rPr>
        <w:t>A separate CPI integration, SOA Manager web service, monitoring framework or Survivor replication framework.</w:t>
      </w:r>
    </w:p>
    <w:p>
      <w:pPr>
        <w:spacing w:before="0" w:after="160" w:line="280" w:lineRule="auto"/>
        <w:numPr>
          <w:ilvl w:val="0"/>
          <w:numId w:val="42"/>
        </w:numPr>
      </w:pPr>
      <w:r>
        <w:rPr>
          <w:rFonts w:ascii="Aptos" w:hAnsi="Aptos" w:eastAsia="Aptos"/>
        </w:rPr>
        <w:t>EC internal data model and EC business-process design.</w:t>
      </w:r>
    </w:p>
    <w:p>
      <w:pPr>
        <w:spacing w:before="0" w:after="160" w:line="280" w:lineRule="auto"/>
        <w:numPr>
          <w:ilvl w:val="0"/>
          <w:numId w:val="42"/>
        </w:numPr>
      </w:pPr>
      <w:r>
        <w:rPr>
          <w:rFonts w:ascii="Aptos" w:hAnsi="Aptos" w:eastAsia="Aptos"/>
        </w:rPr>
        <w:t>Duplicate National ID configuration unless Plan B is selected and the configuration is required.</w:t>
      </w:r>
    </w:p>
    <w:p>
      <w:pPr>
        <w:pStyle w:val="Heading1"/>
        <w:pageBreakBefore/>
        <w:numPr>
          <w:ilvl w:val="0"/>
          <w:numId w:val="41"/>
        </w:numPr>
      </w:pPr>
      <w:r>
        <w:t>Business Scenarios</w:t>
      </w:r>
    </w:p>
    <w:tbl>
      <w:tblPr>
        <w:tblW w:type="dxa" w:w="9360"/>
        <w:jc w:val="left"/>
        <w:tblLayout w:type="fixed"/>
        <w:tblLook w:firstColumn="1" w:firstRow="1" w:lastColumn="0" w:lastRow="0" w:noHBand="0" w:noVBand="1" w:val="04A0"/>
        <w:tblInd w:type="dxa" w:w="1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050"/>
        <w:gridCol w:w="4120"/>
        <w:gridCol w:w="3190"/>
      </w:tblGrid>
      <w:tr>
        <w:trPr>
          <w:tblHeader w:val="true"/>
          <w:cantSplit w:val="true"/>
        </w:trPr>
        <w:tc>
          <w:tcPr>
            <w:tcW w:type="dxa" w:w="205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Scenario</w:t>
            </w:r>
          </w:p>
        </w:tc>
        <w:tc>
          <w:tcPr>
            <w:tcW w:type="dxa" w:w="412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Target treatment</w:t>
            </w:r>
          </w:p>
        </w:tc>
        <w:tc>
          <w:tcPr>
            <w:tcW w:type="dxa" w:w="319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Key result</w:t>
            </w:r>
          </w:p>
        </w:tc>
      </w:tr>
      <w:tr>
        <w:trPr>
          <w:cantSplit w:val="true"/>
        </w:trPr>
        <w:tc>
          <w:tcPr>
            <w:tcW w:type="dxa" w:w="20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Existing Pensioner</w:t>
            </w:r>
          </w:p>
        </w:tc>
        <w:tc>
          <w:tcPr>
            <w:tcW w:type="dxa" w:w="412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Create a conversion record at cutover, then move to ongoing EC-driven replication.</w:t>
            </w:r>
          </w:p>
        </w:tc>
        <w:tc>
          <w:tcPr>
            <w:tcW w:type="dxa" w:w="319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The existing S/4HANA HRM Pensioner remains the continuing record.</w:t>
            </w:r>
          </w:p>
        </w:tc>
      </w:tr>
      <w:tr>
        <w:trPr>
          <w:cantSplit w:val="true"/>
        </w:trPr>
        <w:tc>
          <w:tcPr>
            <w:tcW w:type="dxa" w:w="20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Active Employee becomes Pensioner</w:t>
            </w:r>
          </w:p>
        </w:tc>
        <w:tc>
          <w:tcPr>
            <w:tcW w:type="dxa" w:w="412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Transition the existing PERNR directly; do not create a new PERNR solely for retirement.</w:t>
            </w:r>
          </w:p>
        </w:tc>
        <w:tc>
          <w:tcPr>
            <w:tcW w:type="dxa" w:w="319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Payroll area changes from the Active Employee area to A3.</w:t>
            </w:r>
          </w:p>
        </w:tc>
      </w:tr>
      <w:tr>
        <w:trPr>
          <w:cantSplit w:val="true"/>
        </w:trPr>
        <w:tc>
          <w:tcPr>
            <w:tcW w:type="dxa" w:w="20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Survivor</w:t>
            </w:r>
          </w:p>
        </w:tc>
        <w:tc>
          <w:tcPr>
            <w:tcW w:type="dxa" w:w="412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Create a new Pensioner with a separate PERNR, Pensioner Template Group and payroll area A3.</w:t>
            </w:r>
          </w:p>
        </w:tc>
        <w:tc>
          <w:tcPr>
            <w:tcW w:type="dxa" w:w="319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Link the Survivor to the original Pensioner through IT0032.</w:t>
            </w:r>
          </w:p>
        </w:tc>
      </w:tr>
      <w:tr>
        <w:trPr>
          <w:cantSplit w:val="true"/>
        </w:trPr>
        <w:tc>
          <w:tcPr>
            <w:tcW w:type="dxa" w:w="20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Pensioner rehire</w:t>
            </w:r>
          </w:p>
        </w:tc>
        <w:tc>
          <w:tcPr>
            <w:tcW w:type="dxa" w:w="412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Keep Pensioner payment in A3 and process the active or project salary in A1.</w:t>
            </w:r>
          </w:p>
        </w:tc>
        <w:tc>
          <w:tcPr>
            <w:tcW w:type="dxa" w:w="319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Both payment relationships may remain active simultaneously.</w:t>
            </w:r>
          </w:p>
        </w:tc>
      </w:tr>
    </w:tbl>
    <w:p>
      <w:pPr>
        <w:pageBreakBefore/>
        <w:spacing w:before="3560" w:after="200"/>
      </w:pPr>
      <w:r>
        <w:rPr>
          <w:rFonts w:ascii="Aptos" w:hAnsi="Aptos" w:eastAsia="Aptos"/>
          <w:b/>
          <w:color w:val="2E74B5"/>
          <w:sz w:val="17"/>
        </w:rPr>
        <w:t>PART II</w:t>
      </w:r>
    </w:p>
    <w:p>
      <w:pPr>
        <w:pStyle w:val="PartTitle"/>
        <w:spacing w:after="260"/>
        <w:pBdr>
          <w:bottom w:val="single" w:sz="6" w:space="1" w:color="D9DEE5"/>
        </w:pBdr>
      </w:pPr>
      <w:r>
        <w:rPr>
          <w:rFonts w:ascii="Aptos Display" w:hAnsi="Aptos Display" w:eastAsia="Aptos Display"/>
          <w:b/>
          <w:color w:val="0B2545"/>
          <w:sz w:val="52"/>
        </w:rPr>
        <w:t>Solution Design</w:t>
      </w:r>
    </w:p>
    <w:p>
      <w:r>
        <w:br w:type="page"/>
      </w:r>
    </w:p>
    <w:p>
      <w:pPr>
        <w:pStyle w:val="Heading1"/>
        <w:numPr>
          <w:ilvl w:val="0"/>
          <w:numId w:val="41"/>
        </w:numPr>
      </w:pPr>
      <w:r>
        <w:t>Integration Architecture</w:t>
      </w:r>
    </w:p>
    <w:tbl>
      <w:tblPr>
        <w:tblW w:type="dxa" w:w="9360"/>
        <w:jc w:val="left"/>
        <w:tblLayout w:type="fixed"/>
        <w:tblLook w:firstColumn="1" w:firstRow="1" w:lastColumn="0" w:lastRow="0" w:noHBand="0" w:noVBand="1" w:val="04A0"/>
        <w:tblInd w:type="dxa" w:w="160"/>
        <w:tblBorders>
          <w:top w:val="single" w:sz="4" w:space="0" w:color="C9DBEA"/>
          <w:left w:val="single" w:sz="4" w:space="0" w:color="C9DBEA"/>
          <w:bottom w:val="single" w:sz="4" w:space="0" w:color="C9DBEA"/>
          <w:right w:val="single" w:sz="4" w:space="0" w:color="C9DBEA"/>
          <w:insideH w:val="single" w:sz="4" w:space="0" w:color="C9DBEA"/>
          <w:insideV w:val="single" w:sz="4" w:space="0" w:color="C9DBEA"/>
        </w:tblBorders>
      </w:tblPr>
      <w:tblGrid>
        <w:gridCol w:w="9360"/>
      </w:tblGrid>
      <w:tr>
        <w:trPr>
          <w:tblHeader w:val="true"/>
        </w:trPr>
        <w:tc>
          <w:tcPr>
            <w:tcW w:type="dxa" w:w="9360"/>
            <w:shd w:fill="EAF2F8" w:val="clear"/>
            <w:tcMar>
              <w:top w:w="120" w:type="dxa"/>
              <w:bottom w:w="120" w:type="dxa"/>
              <w:start w:w="160" w:type="dxa"/>
              <w:end w:w="160" w:type="dxa"/>
            </w:tcMar>
          </w:tcPr>
          <w:p>
            <w:pPr>
              <w:spacing w:after="0"/>
            </w:pPr>
            <w:r/>
            <w:r>
              <w:rPr>
                <w:rFonts w:ascii="Aptos" w:hAnsi="Aptos" w:eastAsia="Aptos"/>
                <w:b/>
                <w:color w:val="1F4D78"/>
                <w:sz w:val="19"/>
              </w:rPr>
              <w:t xml:space="preserve">CONFIRMED END-TO-END FLOW  </w:t>
            </w:r>
            <w:r>
              <w:rPr>
                <w:rFonts w:ascii="Aptos" w:hAnsi="Aptos" w:eastAsia="Aptos"/>
                <w:color w:val="111827"/>
                <w:sz w:val="21"/>
              </w:rPr>
              <w:t>Employee Central → Existing CPI Integration → Existing SOA Manager Web Service → S/4HANA HRM BIB Staging → Template Group / BAdI Processing → S/4HANA HR Master Data</w:t>
            </w:r>
          </w:p>
        </w:tc>
      </w:tr>
    </w:tbl>
    <w:p>
      <w:pPr>
        <w:spacing w:after="40"/>
      </w:pPr>
    </w:p>
    <w:p>
      <w:pPr>
        <w:pStyle w:val="Heading2"/>
        <w:numPr>
          <w:ilvl w:val="1"/>
          <w:numId w:val="41"/>
        </w:numPr>
      </w:pPr>
      <w:r>
        <w:t>Components Retained from Phase 1</w:t>
      </w:r>
    </w:p>
    <w:p>
      <w:pPr>
        <w:spacing w:before="0" w:after="160" w:line="280" w:lineRule="auto"/>
        <w:numPr>
          <w:ilvl w:val="0"/>
          <w:numId w:val="42"/>
        </w:numPr>
      </w:pPr>
      <w:r>
        <w:rPr>
          <w:rFonts w:ascii="Aptos" w:hAnsi="Aptos" w:eastAsia="Aptos"/>
        </w:rPr>
        <w:t>EC integration entry point, SAP Integration Suite / CPI, and the existing CPI integration flow.</w:t>
      </w:r>
    </w:p>
    <w:p>
      <w:pPr>
        <w:spacing w:before="0" w:after="160" w:line="280" w:lineRule="auto"/>
        <w:numPr>
          <w:ilvl w:val="0"/>
          <w:numId w:val="42"/>
        </w:numPr>
      </w:pPr>
      <w:r>
        <w:rPr>
          <w:rFonts w:ascii="Aptos" w:hAnsi="Aptos" w:eastAsia="Aptos"/>
        </w:rPr>
        <w:t>SOA Manager configuration and the existing S/4HANA web service.</w:t>
      </w:r>
    </w:p>
    <w:p>
      <w:pPr>
        <w:spacing w:before="0" w:after="160" w:line="280" w:lineRule="auto"/>
        <w:numPr>
          <w:ilvl w:val="0"/>
          <w:numId w:val="42"/>
        </w:numPr>
      </w:pPr>
      <w:r>
        <w:rPr>
          <w:rFonts w:ascii="Aptos" w:hAnsi="Aptos" w:eastAsia="Aptos"/>
        </w:rPr>
        <w:t>BIB staging framework, monitoring approach, error handling and reprocessing model.</w:t>
      </w:r>
    </w:p>
    <w:p>
      <w:r>
        <w:rPr>
          <w:rFonts w:ascii="Aptos" w:hAnsi="Aptos" w:eastAsia="Aptos"/>
        </w:rPr>
        <w:t>Active Employee and Pensioner replication will share the same CPI integration and web service.</w:t>
      </w:r>
    </w:p>
    <w:p>
      <w:pPr>
        <w:pStyle w:val="Heading2"/>
        <w:numPr>
          <w:ilvl w:val="1"/>
          <w:numId w:val="41"/>
        </w:numPr>
      </w:pPr>
      <w:r>
        <w:t>Phase 2 Change Area</w:t>
      </w:r>
    </w:p>
    <w:p>
      <w:pPr>
        <w:spacing w:before="0" w:after="160" w:line="280" w:lineRule="auto"/>
        <w:numPr>
          <w:ilvl w:val="0"/>
          <w:numId w:val="42"/>
        </w:numPr>
      </w:pPr>
      <w:r>
        <w:rPr>
          <w:rFonts w:ascii="Aptos" w:hAnsi="Aptos" w:eastAsia="Aptos"/>
        </w:rPr>
        <w:t>New Pensioner Template Group and template-selection rules.</w:t>
      </w:r>
    </w:p>
    <w:p>
      <w:pPr>
        <w:spacing w:before="0" w:after="160" w:line="280" w:lineRule="auto"/>
        <w:numPr>
          <w:ilvl w:val="0"/>
          <w:numId w:val="42"/>
        </w:numPr>
      </w:pPr>
      <w:r>
        <w:rPr>
          <w:rFonts w:ascii="Aptos" w:hAnsi="Aptos" w:eastAsia="Aptos"/>
        </w:rPr>
        <w:t>Infotype configuration, mapping and BAdI modifications.</w:t>
      </w:r>
    </w:p>
    <w:p>
      <w:pPr>
        <w:spacing w:before="0" w:after="160" w:line="280" w:lineRule="auto"/>
        <w:numPr>
          <w:ilvl w:val="0"/>
          <w:numId w:val="42"/>
        </w:numPr>
      </w:pPr>
      <w:r>
        <w:rPr>
          <w:rFonts w:ascii="Aptos" w:hAnsi="Aptos" w:eastAsia="Aptos"/>
        </w:rPr>
        <w:t>Employment processing, multi-PERNR handling and cutover processing.</w:t>
      </w:r>
    </w:p>
    <w:p>
      <w:pPr>
        <w:pStyle w:val="Heading1"/>
        <w:numPr>
          <w:ilvl w:val="0"/>
          <w:numId w:val="41"/>
        </w:numPr>
      </w:pPr>
      <w:r>
        <w:t>Template Group Strategy</w:t>
      </w:r>
    </w:p>
    <w:p>
      <w:r>
        <w:rPr>
          <w:rFonts w:ascii="Aptos" w:hAnsi="Aptos" w:eastAsia="Aptos"/>
        </w:rPr>
        <w:t>Active Employees and Pensioners will use separate BIB Template Groups. Employee Class is the primary population-identification and template-selection rule.</w:t>
      </w:r>
    </w:p>
    <w:tbl>
      <w:tblPr>
        <w:tblW w:type="dxa" w:w="9360"/>
        <w:jc w:val="left"/>
        <w:tblLayout w:type="fixed"/>
        <w:tblLook w:firstColumn="1" w:firstRow="1" w:lastColumn="0" w:lastRow="0" w:noHBand="0" w:noVBand="1" w:val="04A0"/>
        <w:tblInd w:type="dxa" w:w="1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500"/>
        <w:gridCol w:w="1900"/>
        <w:gridCol w:w="4960"/>
      </w:tblGrid>
      <w:tr>
        <w:trPr>
          <w:tblHeader w:val="true"/>
          <w:cantSplit w:val="true"/>
        </w:trPr>
        <w:tc>
          <w:tcPr>
            <w:tcW w:type="dxa" w:w="250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Template Group</w:t>
            </w:r>
          </w:p>
        </w:tc>
        <w:tc>
          <w:tcPr>
            <w:tcW w:type="dxa" w:w="190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Employee Class</w:t>
            </w:r>
          </w:p>
        </w:tc>
        <w:tc>
          <w:tcPr>
            <w:tcW w:type="dxa" w:w="496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Purpose</w:t>
            </w:r>
          </w:p>
        </w:tc>
      </w:tr>
      <w:tr>
        <w:trPr>
          <w:cantSplit w:val="true"/>
        </w:trPr>
        <w:tc>
          <w:tcPr>
            <w:tcW w:type="dxa" w:w="25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Active Employee</w:t>
            </w:r>
          </w:p>
        </w:tc>
        <w:tc>
          <w:tcPr>
            <w:tcW w:type="dxa" w:w="1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1, 2, 3</w:t>
            </w:r>
          </w:p>
        </w:tc>
        <w:tc>
          <w:tcPr>
            <w:tcW w:type="dxa" w:w="49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Continue Phase 1 processing for active and project employments.</w:t>
            </w:r>
          </w:p>
        </w:tc>
      </w:tr>
      <w:tr>
        <w:trPr>
          <w:cantSplit w:val="true"/>
        </w:trPr>
        <w:tc>
          <w:tcPr>
            <w:tcW w:type="dxa" w:w="25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Pensioner</w:t>
            </w:r>
          </w:p>
        </w:tc>
        <w:tc>
          <w:tcPr>
            <w:tcW w:type="dxa" w:w="1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9</w:t>
            </w:r>
          </w:p>
        </w:tc>
        <w:tc>
          <w:tcPr>
            <w:tcW w:type="dxa" w:w="49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Isolate Pensioner-specific processing and mappings.</w:t>
            </w:r>
          </w:p>
        </w:tc>
      </w:tr>
    </w:tbl>
    <w:p>
      <w:pPr>
        <w:spacing w:before="0" w:after="40"/>
      </w:pPr>
    </w:p>
    <w:p>
      <w:pPr>
        <w:pStyle w:val="Heading1"/>
        <w:numPr>
          <w:ilvl w:val="0"/>
          <w:numId w:val="41"/>
        </w:numPr>
      </w:pPr>
      <w:r>
        <w:t>Pensioner Infotype Scope</w:t>
      </w:r>
    </w:p>
    <w:tbl>
      <w:tblPr>
        <w:tblW w:type="dxa" w:w="9360"/>
        <w:jc w:val="left"/>
        <w:tblLayout w:type="fixed"/>
        <w:tblLook w:firstColumn="1" w:firstRow="1" w:lastColumn="0" w:lastRow="0" w:noHBand="0" w:noVBand="1" w:val="04A0"/>
        <w:tblInd w:type="dxa" w:w="1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3000"/>
        <w:gridCol w:w="6360"/>
      </w:tblGrid>
      <w:tr>
        <w:trPr>
          <w:tblHeader w:val="true"/>
          <w:cantSplit w:val="true"/>
        </w:trPr>
        <w:tc>
          <w:tcPr>
            <w:tcW w:type="dxa" w:w="300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Area</w:t>
            </w:r>
          </w:p>
        </w:tc>
        <w:tc>
          <w:tcPr>
            <w:tcW w:type="dxa" w:w="636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Infotypes / status</w:t>
            </w:r>
          </w:p>
        </w:tc>
      </w:tr>
      <w:tr>
        <w:trPr>
          <w:cantSplit w:val="true"/>
        </w:trPr>
        <w:tc>
          <w:tcPr>
            <w:tcW w:type="dxa" w:w="30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Current Pensioner Template</w:t>
            </w:r>
          </w:p>
        </w:tc>
        <w:tc>
          <w:tcPr>
            <w:tcW w:type="dxa" w:w="63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IT0000, IT0001, IT0002, IT0006, IT0007, IT0008, IT0009, IT0014, IT0015, IT0033, IT0041 and IT0105</w:t>
            </w:r>
          </w:p>
        </w:tc>
      </w:tr>
      <w:tr>
        <w:trPr>
          <w:cantSplit w:val="true"/>
        </w:trPr>
        <w:tc>
          <w:tcPr>
            <w:tcW w:type="dxa" w:w="30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Current Active Employee Template</w:t>
            </w:r>
          </w:p>
        </w:tc>
        <w:tc>
          <w:tcPr>
            <w:tcW w:type="dxa" w:w="63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Similar core footprint, plus IT0017 and two additional Time-related Infotypes; the two Infotype numbers remain TBD</w:t>
            </w:r>
          </w:p>
        </w:tc>
      </w:tr>
      <w:tr>
        <w:trPr>
          <w:cantSplit w:val="true"/>
        </w:trPr>
        <w:tc>
          <w:tcPr>
            <w:tcW w:type="dxa" w:w="30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Phase 2 Active Employee enhancement</w:t>
            </w:r>
          </w:p>
        </w:tc>
        <w:tc>
          <w:tcPr>
            <w:tcW w:type="dxa" w:w="63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Add IT0014 and IT0015</w:t>
            </w:r>
          </w:p>
        </w:tc>
      </w:tr>
      <w:tr>
        <w:trPr>
          <w:cantSplit w:val="true"/>
        </w:trPr>
        <w:tc>
          <w:tcPr>
            <w:tcW w:type="dxa" w:w="30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New Phase 2 requirements</w:t>
            </w:r>
          </w:p>
        </w:tc>
        <w:tc>
          <w:tcPr>
            <w:tcW w:type="dxa" w:w="63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Add IT0169 and custom Infotype IT9000 for the in-scope population</w:t>
            </w:r>
          </w:p>
        </w:tc>
      </w:tr>
    </w:tbl>
    <w:p>
      <w:pPr>
        <w:spacing w:before="0" w:after="40"/>
      </w:pPr>
    </w:p>
    <w:p>
      <w:pPr>
        <w:pStyle w:val="Heading1"/>
        <w:numPr>
          <w:ilvl w:val="0"/>
          <w:numId w:val="41"/>
        </w:numPr>
      </w:pPr>
      <w:r>
        <w:t>Additional Phase 2 Enhancements</w:t>
      </w:r>
    </w:p>
    <w:p>
      <w:pPr>
        <w:pStyle w:val="Heading2"/>
        <w:numPr>
          <w:ilvl w:val="1"/>
          <w:numId w:val="41"/>
        </w:numPr>
      </w:pPr>
      <w:r>
        <w:t>IT0014 and IT0015 for Active Employees</w:t>
      </w:r>
    </w:p>
    <w:p>
      <w:r>
        <w:rPr>
          <w:rFonts w:ascii="Aptos" w:hAnsi="Aptos" w:eastAsia="Aptos"/>
        </w:rPr>
        <w:t>The existing Active Employee Template Group will be enhanced to include IT0014 and IT0015.</w:t>
      </w:r>
    </w:p>
    <w:p>
      <w:pPr>
        <w:pStyle w:val="Heading2"/>
        <w:numPr>
          <w:ilvl w:val="1"/>
          <w:numId w:val="41"/>
        </w:numPr>
      </w:pPr>
      <w:r>
        <w:t>IT0169 and IT9000</w:t>
      </w:r>
    </w:p>
    <w:p>
      <w:r>
        <w:rPr>
          <w:rFonts w:ascii="Aptos" w:hAnsi="Aptos" w:eastAsia="Aptos"/>
        </w:rPr>
        <w:t>Replication support will be added for IT0169 and custom Infotype IT9000. Detailed business logic, source fields, mappings, transformation and defaulting rules, and validation requirements remain to be provided by BOC before implementation can be finalized.</w:t>
      </w:r>
    </w:p>
    <w:p>
      <w:pPr>
        <w:pStyle w:val="Heading2"/>
        <w:numPr>
          <w:ilvl w:val="1"/>
          <w:numId w:val="41"/>
        </w:numPr>
      </w:pPr>
      <w:r>
        <w:t>IT0006 Country Expansion</w:t>
      </w:r>
    </w:p>
    <w:p>
      <w:r>
        <w:rPr>
          <w:rFonts w:ascii="Aptos" w:hAnsi="Aptos" w:eastAsia="Aptos"/>
        </w:rPr>
        <w:t>IT0006 replication will be expanded to additional countries. BOC must provide the final country list.</w:t>
      </w:r>
    </w:p>
    <w:p>
      <w:pPr>
        <w:pStyle w:val="Heading1"/>
        <w:numPr>
          <w:ilvl w:val="0"/>
          <w:numId w:val="41"/>
        </w:numPr>
      </w:pPr>
      <w:r>
        <w:t>Multi-Employment Strategy</w:t>
      </w:r>
    </w:p>
    <w:p>
      <w:pPr>
        <w:pStyle w:val="Heading2"/>
        <w:numPr>
          <w:ilvl w:val="1"/>
          <w:numId w:val="41"/>
        </w:numPr>
      </w:pPr>
      <w:r>
        <w:t>Plan A – Preferred Design</w:t>
      </w:r>
    </w:p>
    <w:p>
      <w:r>
        <w:rPr>
          <w:rFonts w:ascii="Aptos" w:hAnsi="Aptos" w:eastAsia="Aptos"/>
        </w:rPr>
        <w:t>Plan A keeps SAP Concurrent Employment disabled and supports one person with multiple PERNRs. The approach is comparable to a multi-assignment model.</w:t>
      </w:r>
    </w:p>
    <w:tbl>
      <w:tblPr>
        <w:tblW w:type="dxa" w:w="9360"/>
        <w:jc w:val="left"/>
        <w:tblLayout w:type="fixed"/>
        <w:tblLook w:firstColumn="1" w:firstRow="1" w:lastColumn="0" w:lastRow="0" w:noHBand="0" w:noVBand="1" w:val="04A0"/>
        <w:tblInd w:type="dxa" w:w="1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600"/>
        <w:gridCol w:w="2050"/>
        <w:gridCol w:w="1950"/>
        <w:gridCol w:w="2760"/>
      </w:tblGrid>
      <w:tr>
        <w:trPr>
          <w:tblHeader w:val="true"/>
          <w:cantSplit w:val="true"/>
        </w:trPr>
        <w:tc>
          <w:tcPr>
            <w:tcW w:type="dxa" w:w="260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Relationship</w:t>
            </w:r>
          </w:p>
        </w:tc>
        <w:tc>
          <w:tcPr>
            <w:tcW w:type="dxa" w:w="205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Employee Class</w:t>
            </w:r>
          </w:p>
        </w:tc>
        <w:tc>
          <w:tcPr>
            <w:tcW w:type="dxa" w:w="195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Payroll Area</w:t>
            </w:r>
          </w:p>
        </w:tc>
        <w:tc>
          <w:tcPr>
            <w:tcW w:type="dxa" w:w="276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Template Group</w:t>
            </w:r>
          </w:p>
        </w:tc>
      </w:tr>
      <w:tr>
        <w:trPr>
          <w:cantSplit w:val="true"/>
        </w:trPr>
        <w:tc>
          <w:tcPr>
            <w:tcW w:type="dxa" w:w="26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Pensioner PERNR</w:t>
            </w:r>
          </w:p>
        </w:tc>
        <w:tc>
          <w:tcPr>
            <w:tcW w:type="dxa" w:w="20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9</w:t>
            </w:r>
          </w:p>
        </w:tc>
        <w:tc>
          <w:tcPr>
            <w:tcW w:type="dxa" w:w="19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A3</w:t>
            </w:r>
          </w:p>
        </w:tc>
        <w:tc>
          <w:tcPr>
            <w:tcW w:type="dxa" w:w="27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Pensioner</w:t>
            </w:r>
          </w:p>
        </w:tc>
      </w:tr>
      <w:tr>
        <w:trPr>
          <w:cantSplit w:val="true"/>
        </w:trPr>
        <w:tc>
          <w:tcPr>
            <w:tcW w:type="dxa" w:w="26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Active / Project PERNR</w:t>
            </w:r>
          </w:p>
        </w:tc>
        <w:tc>
          <w:tcPr>
            <w:tcW w:type="dxa" w:w="20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1 / 2 / 3</w:t>
            </w:r>
          </w:p>
        </w:tc>
        <w:tc>
          <w:tcPr>
            <w:tcW w:type="dxa" w:w="19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A1</w:t>
            </w:r>
          </w:p>
        </w:tc>
        <w:tc>
          <w:tcPr>
            <w:tcW w:type="dxa" w:w="27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Active Employee</w:t>
            </w:r>
          </w:p>
        </w:tc>
      </w:tr>
    </w:tbl>
    <w:p>
      <w:pPr>
        <w:spacing w:before="0" w:after="40"/>
      </w:pPr>
    </w:p>
    <w:p>
      <w:pPr>
        <w:pStyle w:val="Heading2"/>
        <w:numPr>
          <w:ilvl w:val="1"/>
          <w:numId w:val="41"/>
        </w:numPr>
      </w:pPr>
      <w:r>
        <w:t>Known Processing Constraint</w:t>
      </w:r>
    </w:p>
    <w:p>
      <w:r>
        <w:rPr>
          <w:rFonts w:ascii="Aptos" w:hAnsi="Aptos" w:eastAsia="Aptos"/>
        </w:rPr>
        <w:t>The theoretical routing model sends each PERNR through its applicable Template Group. Current BIB processing, however, may not cleanly separate the employments at template-processing time. Both Template Groups may process the same person and evaluate both employments.</w:t>
      </w:r>
    </w:p>
    <w:p>
      <w:r>
        <w:rPr>
          <w:rFonts w:ascii="Aptos" w:hAnsi="Aptos" w:eastAsia="Aptos"/>
        </w:rPr>
        <w:t>Plan A is acceptable only if FUT demonstrates correct S/4HANA HRM results without material conflict. Potential conflict patterns are not yet known and must be discovered through testing.</w:t>
      </w:r>
    </w:p>
    <w:p>
      <w:pPr>
        <w:pStyle w:val="Heading1"/>
        <w:numPr>
          <w:ilvl w:val="0"/>
          <w:numId w:val="41"/>
        </w:numPr>
      </w:pPr>
      <w:r>
        <w:t>Plan B – Contingency Design</w:t>
      </w:r>
    </w:p>
    <w:p>
      <w:r>
        <w:rPr>
          <w:rFonts w:ascii="Aptos" w:hAnsi="Aptos" w:eastAsia="Aptos"/>
        </w:rPr>
        <w:t>If Plan A creates unacceptable complexity, data conflict or regression impact, Plan B will represent the same real-world individual as two independent S/4HANA HRM persons. No person-level linkage or multi-assignment relationship will be maintained between the records.</w:t>
      </w:r>
    </w:p>
    <w:tbl>
      <w:tblPr>
        <w:tblW w:type="dxa" w:w="9360"/>
        <w:jc w:val="left"/>
        <w:tblLayout w:type="fixed"/>
        <w:tblLook w:firstColumn="1" w:firstRow="1" w:lastColumn="0" w:lastRow="0" w:noHBand="0" w:noVBand="1" w:val="04A0"/>
        <w:tblInd w:type="dxa" w:w="1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500"/>
        <w:gridCol w:w="2600"/>
        <w:gridCol w:w="1800"/>
        <w:gridCol w:w="2460"/>
      </w:tblGrid>
      <w:tr>
        <w:trPr>
          <w:tblHeader w:val="true"/>
          <w:cantSplit w:val="true"/>
        </w:trPr>
        <w:tc>
          <w:tcPr>
            <w:tcW w:type="dxa" w:w="250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S/4HANA HRM record</w:t>
            </w:r>
          </w:p>
        </w:tc>
        <w:tc>
          <w:tcPr>
            <w:tcW w:type="dxa" w:w="260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Role</w:t>
            </w:r>
          </w:p>
        </w:tc>
        <w:tc>
          <w:tcPr>
            <w:tcW w:type="dxa" w:w="180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Payroll Area</w:t>
            </w:r>
          </w:p>
        </w:tc>
        <w:tc>
          <w:tcPr>
            <w:tcW w:type="dxa" w:w="246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Processing</w:t>
            </w:r>
          </w:p>
        </w:tc>
      </w:tr>
      <w:tr>
        <w:trPr>
          <w:cantSplit w:val="true"/>
        </w:trPr>
        <w:tc>
          <w:tcPr>
            <w:tcW w:type="dxa" w:w="25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Person 1 / PERNR 1</w:t>
            </w:r>
          </w:p>
        </w:tc>
        <w:tc>
          <w:tcPr>
            <w:tcW w:type="dxa" w:w="26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Pensioner</w:t>
            </w:r>
          </w:p>
        </w:tc>
        <w:tc>
          <w:tcPr>
            <w:tcW w:type="dxa" w:w="18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A3</w:t>
            </w:r>
          </w:p>
        </w:tc>
        <w:tc>
          <w:tcPr>
            <w:tcW w:type="dxa" w:w="24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Pensioner Template Group</w:t>
            </w:r>
          </w:p>
        </w:tc>
      </w:tr>
      <w:tr>
        <w:trPr>
          <w:cantSplit w:val="true"/>
        </w:trPr>
        <w:tc>
          <w:tcPr>
            <w:tcW w:type="dxa" w:w="25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Person 2 / PERNR 2</w:t>
            </w:r>
          </w:p>
        </w:tc>
        <w:tc>
          <w:tcPr>
            <w:tcW w:type="dxa" w:w="26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Active / Project Employee</w:t>
            </w:r>
          </w:p>
        </w:tc>
        <w:tc>
          <w:tcPr>
            <w:tcW w:type="dxa" w:w="18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A1</w:t>
            </w:r>
          </w:p>
        </w:tc>
        <w:tc>
          <w:tcPr>
            <w:tcW w:type="dxa" w:w="24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Active Employee Template Group</w:t>
            </w:r>
          </w:p>
        </w:tc>
      </w:tr>
    </w:tbl>
    <w:p>
      <w:pPr>
        <w:spacing w:before="0" w:after="40"/>
      </w:pPr>
    </w:p>
    <w:p>
      <w:pPr>
        <w:pStyle w:val="Heading1"/>
        <w:numPr>
          <w:ilvl w:val="0"/>
          <w:numId w:val="41"/>
        </w:numPr>
      </w:pPr>
      <w:r>
        <w:t>Plan B National ID Dependency</w:t>
      </w:r>
    </w:p>
    <w:p>
      <w:r>
        <w:rPr>
          <w:rFonts w:ascii="Aptos" w:hAnsi="Aptos" w:eastAsia="Aptos"/>
        </w:rPr>
        <w:t>Plan B requires both S/4HANA HRM person records to use the same National ID because they represent the same real-world individual. The system must therefore permit duplicate use of a National ID across separate person records.</w:t>
      </w:r>
    </w:p>
    <w:tbl>
      <w:tblPr>
        <w:tblW w:type="dxa" w:w="9360"/>
        <w:jc w:val="left"/>
        <w:tblLayout w:type="fixed"/>
        <w:tblLook w:firstColumn="1" w:firstRow="1" w:lastColumn="0" w:lastRow="0" w:noHBand="0" w:noVBand="1" w:val="04A0"/>
        <w:tblInd w:type="dxa" w:w="160"/>
        <w:tblBorders>
          <w:top w:val="single" w:sz="4" w:space="0" w:color="C9DBEA"/>
          <w:left w:val="single" w:sz="4" w:space="0" w:color="C9DBEA"/>
          <w:bottom w:val="single" w:sz="4" w:space="0" w:color="C9DBEA"/>
          <w:right w:val="single" w:sz="4" w:space="0" w:color="C9DBEA"/>
          <w:insideH w:val="single" w:sz="4" w:space="0" w:color="C9DBEA"/>
          <w:insideV w:val="single" w:sz="4" w:space="0" w:color="C9DBEA"/>
        </w:tblBorders>
      </w:tblPr>
      <w:tblGrid>
        <w:gridCol w:w="9360"/>
      </w:tblGrid>
      <w:tr>
        <w:trPr>
          <w:tblHeader w:val="true"/>
        </w:trPr>
        <w:tc>
          <w:tcPr>
            <w:tcW w:type="dxa" w:w="9360"/>
            <w:shd w:fill="F2F4F7" w:val="clear"/>
            <w:tcMar>
              <w:top w:w="120" w:type="dxa"/>
              <w:bottom w:w="120" w:type="dxa"/>
              <w:start w:w="160" w:type="dxa"/>
              <w:end w:w="160" w:type="dxa"/>
            </w:tcMar>
          </w:tcPr>
          <w:p>
            <w:pPr>
              <w:spacing w:after="0"/>
            </w:pPr>
            <w:r/>
            <w:r>
              <w:rPr>
                <w:rFonts w:ascii="Aptos" w:hAnsi="Aptos" w:eastAsia="Aptos"/>
                <w:b/>
                <w:color w:val="1F4D78"/>
                <w:sz w:val="19"/>
              </w:rPr>
              <w:t xml:space="preserve">CURRENT STATUS  </w:t>
            </w:r>
            <w:r>
              <w:rPr>
                <w:rFonts w:ascii="Aptos" w:hAnsi="Aptos" w:eastAsia="Aptos"/>
                <w:color w:val="111827"/>
                <w:sz w:val="21"/>
              </w:rPr>
              <w:t>Duplicate National ID configuration is TBD. The project must confirm the current setting, required configuration and transport, regression impact, and downstream impact before Plan B can be considered ready.</w:t>
            </w:r>
          </w:p>
        </w:tc>
      </w:tr>
    </w:tbl>
    <w:p>
      <w:pPr>
        <w:spacing w:after="40"/>
      </w:pPr>
    </w:p>
    <w:p>
      <w:pPr>
        <w:pStyle w:val="Heading1"/>
        <w:numPr>
          <w:ilvl w:val="0"/>
          <w:numId w:val="41"/>
        </w:numPr>
      </w:pPr>
      <w:r>
        <w:t>BAdI Impact</w:t>
      </w:r>
    </w:p>
    <w:p>
      <w:r>
        <w:rPr>
          <w:rFonts w:ascii="Aptos" w:hAnsi="Aptos" w:eastAsia="Aptos"/>
        </w:rPr>
        <w:t>Phase 1 was designed around a single-employment assumption. BAdI logic for Infotypes that depend on Employment data or Job Information must therefore be reviewed and modified where required for multi-employment processing.</w:t>
      </w:r>
    </w:p>
    <w:p>
      <w:r>
        <w:rPr>
          <w:rFonts w:ascii="Aptos" w:hAnsi="Aptos" w:eastAsia="Aptos"/>
        </w:rPr>
        <w:t>A technical approach has already been identified. The remaining work is implementation and comprehensive retesting. Every affected BAdI and related Infotype path must pass regression testing to demonstrate that Phase 2 does not adversely affect Active Employee replication.</w:t>
      </w:r>
    </w:p>
    <w:p>
      <w:pPr>
        <w:pageBreakBefore/>
        <w:spacing w:before="3560" w:after="200"/>
      </w:pPr>
      <w:r>
        <w:rPr>
          <w:rFonts w:ascii="Aptos" w:hAnsi="Aptos" w:eastAsia="Aptos"/>
          <w:b/>
          <w:color w:val="2E74B5"/>
          <w:sz w:val="17"/>
        </w:rPr>
        <w:t>PART III</w:t>
      </w:r>
    </w:p>
    <w:p>
      <w:pPr>
        <w:pStyle w:val="PartTitle"/>
        <w:spacing w:after="260"/>
        <w:pBdr>
          <w:bottom w:val="single" w:sz="6" w:space="1" w:color="D9DEE5"/>
        </w:pBdr>
      </w:pPr>
      <w:r>
        <w:rPr>
          <w:rFonts w:ascii="Aptos Display" w:hAnsi="Aptos Display" w:eastAsia="Aptos Display"/>
          <w:b/>
          <w:color w:val="0B2545"/>
          <w:sz w:val="52"/>
        </w:rPr>
        <w:t>Operations and Data Transition</w:t>
      </w:r>
    </w:p>
    <w:p>
      <w:r>
        <w:br w:type="page"/>
      </w:r>
    </w:p>
    <w:p>
      <w:pPr>
        <w:pStyle w:val="Heading1"/>
        <w:numPr>
          <w:ilvl w:val="0"/>
          <w:numId w:val="41"/>
        </w:numPr>
      </w:pPr>
      <w:r>
        <w:t>Replication Scheduling</w:t>
      </w:r>
    </w:p>
    <w:p>
      <w:r>
        <w:rPr>
          <w:rFonts w:ascii="Aptos" w:hAnsi="Aptos" w:eastAsia="Aptos"/>
        </w:rPr>
        <w:t>Active Employee and Pensioner populations will be sent separately. They share the CPI integration and web service but use separate replication runs, background jobs and runtime schedules.</w:t>
      </w:r>
    </w:p>
    <w:p>
      <w:pPr>
        <w:spacing w:before="0" w:after="160" w:line="280" w:lineRule="auto"/>
        <w:numPr>
          <w:ilvl w:val="0"/>
          <w:numId w:val="42"/>
        </w:numPr>
      </w:pPr>
      <w:r>
        <w:rPr>
          <w:rFonts w:ascii="Aptos" w:hAnsi="Aptos" w:eastAsia="Aptos"/>
        </w:rPr>
        <w:t>Current Pensioner processing frequency: every five minutes.</w:t>
      </w:r>
    </w:p>
    <w:p>
      <w:pPr>
        <w:spacing w:before="0" w:after="160" w:line="280" w:lineRule="auto"/>
        <w:numPr>
          <w:ilvl w:val="0"/>
          <w:numId w:val="42"/>
        </w:numPr>
      </w:pPr>
      <w:r>
        <w:rPr>
          <w:rFonts w:ascii="Aptos" w:hAnsi="Aptos" w:eastAsia="Aptos"/>
        </w:rPr>
        <w:t>Pensioner processing can be paused independently without interrupting Active Employee replication.</w:t>
      </w:r>
    </w:p>
    <w:p>
      <w:pPr>
        <w:pStyle w:val="Heading1"/>
        <w:numPr>
          <w:ilvl w:val="0"/>
          <w:numId w:val="41"/>
        </w:numPr>
      </w:pPr>
      <w:r>
        <w:t>Monitoring and Error Handling</w:t>
      </w:r>
    </w:p>
    <w:p>
      <w:r>
        <w:rPr>
          <w:rFonts w:ascii="Aptos" w:hAnsi="Aptos" w:eastAsia="Aptos"/>
        </w:rPr>
        <w:t>Pensioner replication will use the same operational framework as Active Employee replication. No separate Pensioner-specific monitoring or error-handling framework is required.</w:t>
      </w:r>
    </w:p>
    <w:p>
      <w:pPr>
        <w:spacing w:before="0" w:after="160" w:line="280" w:lineRule="auto"/>
        <w:numPr>
          <w:ilvl w:val="0"/>
          <w:numId w:val="42"/>
        </w:numPr>
      </w:pPr>
      <w:r>
        <w:rPr>
          <w:rFonts w:ascii="Aptos" w:hAnsi="Aptos" w:eastAsia="Aptos"/>
        </w:rPr>
        <w:t>Existing BIB staging and monitoring approach.</w:t>
      </w:r>
    </w:p>
    <w:p>
      <w:pPr>
        <w:spacing w:before="0" w:after="160" w:line="280" w:lineRule="auto"/>
        <w:numPr>
          <w:ilvl w:val="0"/>
          <w:numId w:val="42"/>
        </w:numPr>
      </w:pPr>
      <w:r>
        <w:rPr>
          <w:rFonts w:ascii="Aptos" w:hAnsi="Aptos" w:eastAsia="Aptos"/>
        </w:rPr>
        <w:t>Existing error-handling, correction and reprocessing procedures.</w:t>
      </w:r>
    </w:p>
    <w:p>
      <w:pPr>
        <w:spacing w:before="0" w:after="160" w:line="280" w:lineRule="auto"/>
        <w:numPr>
          <w:ilvl w:val="0"/>
          <w:numId w:val="42"/>
        </w:numPr>
      </w:pPr>
      <w:r>
        <w:rPr>
          <w:rFonts w:ascii="Aptos" w:hAnsi="Aptos" w:eastAsia="Aptos"/>
        </w:rPr>
        <w:t>Existing support model and operational ownership.</w:t>
      </w:r>
    </w:p>
    <w:p>
      <w:pPr>
        <w:pStyle w:val="Heading1"/>
        <w:numPr>
          <w:ilvl w:val="0"/>
          <w:numId w:val="41"/>
        </w:numPr>
      </w:pPr>
      <w:r>
        <w:t>Full Transmission Start Date Strategy</w:t>
      </w:r>
    </w:p>
    <w:tbl>
      <w:tblPr>
        <w:tblW w:type="dxa" w:w="9360"/>
        <w:jc w:val="left"/>
        <w:tblLayout w:type="fixed"/>
        <w:tblLook w:firstColumn="1" w:firstRow="1" w:lastColumn="0" w:lastRow="0" w:noHBand="0" w:noVBand="1" w:val="04A0"/>
        <w:tblInd w:type="dxa" w:w="1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200"/>
        <w:gridCol w:w="2200"/>
        <w:gridCol w:w="4960"/>
      </w:tblGrid>
      <w:tr>
        <w:trPr>
          <w:tblHeader w:val="true"/>
          <w:cantSplit w:val="true"/>
        </w:trPr>
        <w:tc>
          <w:tcPr>
            <w:tcW w:type="dxa" w:w="220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Environment</w:t>
            </w:r>
          </w:p>
        </w:tc>
        <w:tc>
          <w:tcPr>
            <w:tcW w:type="dxa" w:w="220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FTSD</w:t>
            </w:r>
          </w:p>
        </w:tc>
        <w:tc>
          <w:tcPr>
            <w:tcW w:type="dxa" w:w="496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Current position</w:t>
            </w:r>
          </w:p>
        </w:tc>
      </w:tr>
      <w:tr>
        <w:trPr>
          <w:cantSplit w:val="true"/>
        </w:trPr>
        <w:tc>
          <w:tcPr>
            <w:tcW w:type="dxa" w:w="22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Development</w:t>
            </w:r>
          </w:p>
        </w:tc>
        <w:tc>
          <w:tcPr>
            <w:tcW w:type="dxa" w:w="22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July 1, 2026</w:t>
            </w:r>
          </w:p>
        </w:tc>
        <w:tc>
          <w:tcPr>
            <w:tcW w:type="dxa" w:w="49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Confirmed current Development FTSD</w:t>
            </w:r>
          </w:p>
        </w:tc>
      </w:tr>
      <w:tr>
        <w:trPr>
          <w:cantSplit w:val="true"/>
        </w:trPr>
        <w:tc>
          <w:tcPr>
            <w:tcW w:type="dxa" w:w="22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Production</w:t>
            </w:r>
          </w:p>
        </w:tc>
        <w:tc>
          <w:tcPr>
            <w:tcW w:type="dxa" w:w="22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TBD</w:t>
            </w:r>
          </w:p>
        </w:tc>
        <w:tc>
          <w:tcPr>
            <w:tcW w:type="dxa" w:w="49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Planning assumption: last day of the payroll period immediately preceding production go-live</w:t>
            </w:r>
          </w:p>
        </w:tc>
      </w:tr>
    </w:tbl>
    <w:p>
      <w:pPr>
        <w:spacing w:before="0" w:after="40"/>
      </w:pPr>
    </w:p>
    <w:p>
      <w:r>
        <w:rPr>
          <w:rFonts w:ascii="Aptos" w:hAnsi="Aptos" w:eastAsia="Aptos"/>
        </w:rPr>
        <w:t>The Production FTSD must be finalized through payroll and production cutover planning.</w:t>
      </w:r>
    </w:p>
    <w:p>
      <w:pPr>
        <w:pStyle w:val="Heading1"/>
        <w:numPr>
          <w:ilvl w:val="0"/>
          <w:numId w:val="41"/>
        </w:numPr>
      </w:pPr>
      <w:r>
        <w:t>Existing Pensioner Conversion Strategy</w:t>
      </w:r>
    </w:p>
    <w:p>
      <w:r>
        <w:rPr>
          <w:rFonts w:ascii="Aptos" w:hAnsi="Aptos" w:eastAsia="Aptos"/>
        </w:rPr>
        <w:t>The Production S/4HANA HRM environment already contains the Pensioner population. Phase 2 cutover must establish the effective-dated transition to EC-driven replication by creating one conversion record for each existing Pensioner.</w:t>
      </w:r>
    </w:p>
    <w:tbl>
      <w:tblPr>
        <w:tblW w:type="dxa" w:w="9360"/>
        <w:jc w:val="left"/>
        <w:tblLayout w:type="fixed"/>
        <w:tblLook w:firstColumn="1" w:firstRow="1" w:lastColumn="0" w:lastRow="0" w:noHBand="0" w:noVBand="1" w:val="04A0"/>
        <w:tblInd w:type="dxa" w:w="1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3000"/>
        <w:gridCol w:w="6360"/>
      </w:tblGrid>
      <w:tr>
        <w:trPr>
          <w:tblHeader w:val="true"/>
          <w:cantSplit w:val="true"/>
        </w:trPr>
        <w:tc>
          <w:tcPr>
            <w:tcW w:type="dxa" w:w="300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Conversion attribute</w:t>
            </w:r>
          </w:p>
        </w:tc>
        <w:tc>
          <w:tcPr>
            <w:tcW w:type="dxa" w:w="636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Status</w:t>
            </w:r>
          </w:p>
        </w:tc>
      </w:tr>
      <w:tr>
        <w:trPr>
          <w:cantSplit w:val="true"/>
        </w:trPr>
        <w:tc>
          <w:tcPr>
            <w:tcW w:type="dxa" w:w="30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Action Type</w:t>
            </w:r>
          </w:p>
        </w:tc>
        <w:tc>
          <w:tcPr>
            <w:tcW w:type="dxa" w:w="63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TBD</w:t>
            </w:r>
          </w:p>
        </w:tc>
      </w:tr>
      <w:tr>
        <w:trPr>
          <w:cantSplit w:val="true"/>
        </w:trPr>
        <w:tc>
          <w:tcPr>
            <w:tcW w:type="dxa" w:w="30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Action Reason</w:t>
            </w:r>
          </w:p>
        </w:tc>
        <w:tc>
          <w:tcPr>
            <w:tcW w:type="dxa" w:w="63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TBD</w:t>
            </w:r>
          </w:p>
        </w:tc>
      </w:tr>
      <w:tr>
        <w:trPr>
          <w:cantSplit w:val="true"/>
        </w:trPr>
        <w:tc>
          <w:tcPr>
            <w:tcW w:type="dxa" w:w="30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Effective Date</w:t>
            </w:r>
          </w:p>
        </w:tc>
        <w:tc>
          <w:tcPr>
            <w:tcW w:type="dxa" w:w="63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TBD; align with the final cutover and FTSD strategy</w:t>
            </w:r>
          </w:p>
        </w:tc>
      </w:tr>
    </w:tbl>
    <w:p>
      <w:pPr>
        <w:pageBreakBefore/>
        <w:spacing w:before="3560" w:after="200"/>
      </w:pPr>
      <w:r>
        <w:rPr>
          <w:rFonts w:ascii="Aptos" w:hAnsi="Aptos" w:eastAsia="Aptos"/>
          <w:b/>
          <w:color w:val="2E74B5"/>
          <w:sz w:val="17"/>
        </w:rPr>
        <w:t>PART IV</w:t>
      </w:r>
    </w:p>
    <w:p>
      <w:pPr>
        <w:pStyle w:val="PartTitle"/>
        <w:spacing w:after="260"/>
        <w:pBdr>
          <w:bottom w:val="single" w:sz="6" w:space="1" w:color="D9DEE5"/>
        </w:pBdr>
      </w:pPr>
      <w:r>
        <w:rPr>
          <w:rFonts w:ascii="Aptos Display" w:hAnsi="Aptos Display" w:eastAsia="Aptos Display"/>
          <w:b/>
          <w:color w:val="0B2545"/>
          <w:sz w:val="52"/>
        </w:rPr>
        <w:t>Testing, Cutover and Production Control</w:t>
      </w:r>
    </w:p>
    <w:p>
      <w:r>
        <w:br w:type="page"/>
      </w:r>
    </w:p>
    <w:p>
      <w:pPr>
        <w:pStyle w:val="Heading1"/>
        <w:numPr>
          <w:ilvl w:val="0"/>
          <w:numId w:val="41"/>
        </w:numPr>
      </w:pPr>
      <w:r>
        <w:t>Testing Strategy</w:t>
      </w:r>
    </w:p>
    <w:tbl>
      <w:tblPr>
        <w:tblW w:type="dxa" w:w="9360"/>
        <w:jc w:val="left"/>
        <w:tblLayout w:type="fixed"/>
        <w:tblLook w:firstColumn="1" w:firstRow="1" w:lastColumn="0" w:lastRow="0" w:noHBand="0" w:noVBand="1" w:val="04A0"/>
        <w:tblInd w:type="dxa" w:w="1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1900"/>
        <w:gridCol w:w="2900"/>
        <w:gridCol w:w="4560"/>
      </w:tblGrid>
      <w:tr>
        <w:trPr>
          <w:tblHeader w:val="true"/>
          <w:cantSplit w:val="true"/>
        </w:trPr>
        <w:tc>
          <w:tcPr>
            <w:tcW w:type="dxa" w:w="190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Period</w:t>
            </w:r>
          </w:p>
        </w:tc>
        <w:tc>
          <w:tcPr>
            <w:tcW w:type="dxa" w:w="290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Test activity</w:t>
            </w:r>
          </w:p>
        </w:tc>
        <w:tc>
          <w:tcPr>
            <w:tcW w:type="dxa" w:w="456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Required focus</w:t>
            </w:r>
          </w:p>
        </w:tc>
      </w:tr>
      <w:tr>
        <w:trPr>
          <w:cantSplit w:val="true"/>
        </w:trPr>
        <w:tc>
          <w:tcPr>
            <w:tcW w:type="dxa" w:w="1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August 2026</w:t>
            </w:r>
          </w:p>
        </w:tc>
        <w:tc>
          <w:tcPr>
            <w:tcW w:type="dxa" w:w="2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Development and unit testing</w:t>
            </w:r>
          </w:p>
        </w:tc>
        <w:tc>
          <w:tcPr>
            <w:tcW w:type="dxa" w:w="45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Configuration, BAdI changes and isolated rule validation</w:t>
            </w:r>
          </w:p>
        </w:tc>
      </w:tr>
      <w:tr>
        <w:trPr>
          <w:cantSplit w:val="true"/>
        </w:trPr>
        <w:tc>
          <w:tcPr>
            <w:tcW w:type="dxa" w:w="1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September 2026</w:t>
            </w:r>
          </w:p>
        </w:tc>
        <w:tc>
          <w:tcPr>
            <w:tcW w:type="dxa" w:w="2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FUT and regression</w:t>
            </w:r>
          </w:p>
        </w:tc>
        <w:tc>
          <w:tcPr>
            <w:tcW w:type="dxa" w:w="45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Pensioner scenarios, multi-employment, dual-template behavior, BAdIs and Active Employee regression</w:t>
            </w:r>
          </w:p>
        </w:tc>
      </w:tr>
      <w:tr>
        <w:trPr>
          <w:cantSplit w:val="true"/>
        </w:trPr>
        <w:tc>
          <w:tcPr>
            <w:tcW w:type="dxa" w:w="1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October 2026</w:t>
            </w:r>
          </w:p>
        </w:tc>
        <w:tc>
          <w:tcPr>
            <w:tcW w:type="dxa" w:w="2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SIT and stabilization</w:t>
            </w:r>
          </w:p>
        </w:tc>
        <w:tc>
          <w:tcPr>
            <w:tcW w:type="dxa" w:w="45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End-to-end cross-system validation, regression, defects and retest</w:t>
            </w:r>
          </w:p>
        </w:tc>
      </w:tr>
      <w:tr>
        <w:trPr>
          <w:cantSplit w:val="true"/>
        </w:trPr>
        <w:tc>
          <w:tcPr>
            <w:tcW w:type="dxa" w:w="1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November 2026</w:t>
            </w:r>
          </w:p>
        </w:tc>
        <w:tc>
          <w:tcPr>
            <w:tcW w:type="dxa" w:w="2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UAT and production readiness</w:t>
            </w:r>
          </w:p>
        </w:tc>
        <w:tc>
          <w:tcPr>
            <w:tcW w:type="dxa" w:w="45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BOC acceptance, cutover preparation and deployment approval</w:t>
            </w:r>
          </w:p>
        </w:tc>
      </w:tr>
    </w:tbl>
    <w:p>
      <w:pPr>
        <w:spacing w:before="0" w:after="40"/>
      </w:pPr>
    </w:p>
    <w:p>
      <w:r>
        <w:rPr>
          <w:rFonts w:ascii="Aptos" w:hAnsi="Aptos" w:eastAsia="Aptos"/>
        </w:rPr>
        <w:t>BOC owns UAT. BOC will define the business scenarios; the EC team will create the corresponding EC test cases and test data.</w:t>
      </w:r>
    </w:p>
    <w:p>
      <w:pPr>
        <w:pStyle w:val="Heading1"/>
        <w:numPr>
          <w:ilvl w:val="0"/>
          <w:numId w:val="41"/>
        </w:numPr>
      </w:pPr>
      <w:r>
        <w:t>Plan A / Plan B Decision Gate</w:t>
      </w:r>
    </w:p>
    <w:p>
      <w:r>
        <w:rPr>
          <w:rFonts w:ascii="Aptos" w:hAnsi="Aptos" w:eastAsia="Aptos"/>
        </w:rPr>
        <w:t>Plan A viability must be confirmed during FUT in early September 2026. The decision will assess:</w:t>
      </w:r>
    </w:p>
    <w:p>
      <w:pPr>
        <w:spacing w:before="0" w:after="160" w:line="280" w:lineRule="auto"/>
        <w:numPr>
          <w:ilvl w:val="0"/>
          <w:numId w:val="42"/>
        </w:numPr>
      </w:pPr>
      <w:r>
        <w:rPr>
          <w:rFonts w:ascii="Aptos" w:hAnsi="Aptos" w:eastAsia="Aptos"/>
        </w:rPr>
        <w:t>Correctness of S/4HANA HRM results and overall data integrity.</w:t>
      </w:r>
    </w:p>
    <w:p>
      <w:pPr>
        <w:spacing w:before="0" w:after="160" w:line="280" w:lineRule="auto"/>
        <w:numPr>
          <w:ilvl w:val="0"/>
          <w:numId w:val="42"/>
        </w:numPr>
      </w:pPr>
      <w:r>
        <w:rPr>
          <w:rFonts w:ascii="Aptos" w:hAnsi="Aptos" w:eastAsia="Aptos"/>
        </w:rPr>
        <w:t>Dual-template behavior and multi-employment processing.</w:t>
      </w:r>
    </w:p>
    <w:p>
      <w:pPr>
        <w:spacing w:before="0" w:after="160" w:line="280" w:lineRule="auto"/>
        <w:numPr>
          <w:ilvl w:val="0"/>
          <w:numId w:val="42"/>
        </w:numPr>
      </w:pPr>
      <w:r>
        <w:rPr>
          <w:rFonts w:ascii="Aptos" w:hAnsi="Aptos" w:eastAsia="Aptos"/>
        </w:rPr>
        <w:t>BAdI impact and Active Employee regression results.</w:t>
      </w:r>
    </w:p>
    <w:p>
      <w:pPr>
        <w:spacing w:before="0" w:after="160" w:line="280" w:lineRule="auto"/>
        <w:numPr>
          <w:ilvl w:val="0"/>
          <w:numId w:val="42"/>
        </w:numPr>
      </w:pPr>
      <w:r>
        <w:rPr>
          <w:rFonts w:ascii="Aptos" w:hAnsi="Aptos" w:eastAsia="Aptos"/>
        </w:rPr>
        <w:t>Overall implementation complexity and delivery risk.</w:t>
      </w:r>
    </w:p>
    <w:tbl>
      <w:tblPr>
        <w:tblW w:type="dxa" w:w="9360"/>
        <w:jc w:val="left"/>
        <w:tblLayout w:type="fixed"/>
        <w:tblLook w:firstColumn="1" w:firstRow="1" w:lastColumn="0" w:lastRow="0" w:noHBand="0" w:noVBand="1" w:val="04A0"/>
        <w:tblInd w:type="dxa" w:w="160"/>
        <w:tblBorders>
          <w:top w:val="single" w:sz="4" w:space="0" w:color="C9DBEA"/>
          <w:left w:val="single" w:sz="4" w:space="0" w:color="C9DBEA"/>
          <w:bottom w:val="single" w:sz="4" w:space="0" w:color="C9DBEA"/>
          <w:right w:val="single" w:sz="4" w:space="0" w:color="C9DBEA"/>
          <w:insideH w:val="single" w:sz="4" w:space="0" w:color="C9DBEA"/>
          <w:insideV w:val="single" w:sz="4" w:space="0" w:color="C9DBEA"/>
        </w:tblBorders>
      </w:tblPr>
      <w:tblGrid>
        <w:gridCol w:w="9360"/>
      </w:tblGrid>
      <w:tr>
        <w:trPr>
          <w:tblHeader w:val="true"/>
        </w:trPr>
        <w:tc>
          <w:tcPr>
            <w:tcW w:type="dxa" w:w="9360"/>
            <w:shd w:fill="EAF2F8" w:val="clear"/>
            <w:tcMar>
              <w:top w:w="120" w:type="dxa"/>
              <w:bottom w:w="120" w:type="dxa"/>
              <w:start w:w="160" w:type="dxa"/>
              <w:end w:w="160" w:type="dxa"/>
            </w:tcMar>
          </w:tcPr>
          <w:p>
            <w:pPr>
              <w:spacing w:after="0"/>
            </w:pPr>
            <w:r/>
            <w:r>
              <w:rPr>
                <w:rFonts w:ascii="Aptos" w:hAnsi="Aptos" w:eastAsia="Aptos"/>
                <w:b/>
                <w:color w:val="1F4D78"/>
                <w:sz w:val="19"/>
              </w:rPr>
              <w:t xml:space="preserve">DECISION RULE  </w:t>
            </w:r>
            <w:r>
              <w:rPr>
                <w:rFonts w:ascii="Aptos" w:hAnsi="Aptos" w:eastAsia="Aptos"/>
                <w:color w:val="111827"/>
                <w:sz w:val="21"/>
              </w:rPr>
              <w:t>Move to Plan B immediately if Plan A creates unacceptable complexity, data conflict or regression risk. The selected design must be stable before October SIT.</w:t>
            </w:r>
          </w:p>
        </w:tc>
      </w:tr>
    </w:tbl>
    <w:p>
      <w:pPr>
        <w:spacing w:after="40"/>
      </w:pPr>
    </w:p>
    <w:p>
      <w:r>
        <w:br w:type="page"/>
      </w:r>
    </w:p>
    <w:p>
      <w:pPr>
        <w:pStyle w:val="Heading1"/>
        <w:numPr>
          <w:ilvl w:val="0"/>
          <w:numId w:val="41"/>
        </w:numPr>
      </w:pPr>
      <w:r>
        <w:t>Cutover Strategy</w:t>
      </w:r>
    </w:p>
    <w:p>
      <w:pPr>
        <w:spacing w:before="0" w:after="160" w:line="280" w:lineRule="auto"/>
        <w:numPr>
          <w:ilvl w:val="0"/>
          <w:numId w:val="44"/>
        </w:numPr>
      </w:pPr>
      <w:r>
        <w:rPr>
          <w:rFonts w:ascii="Aptos" w:hAnsi="Aptos" w:eastAsia="Aptos"/>
        </w:rPr>
        <w:t>Confirm the Production FTSD.</w:t>
      </w:r>
    </w:p>
    <w:p>
      <w:pPr>
        <w:spacing w:before="0" w:after="160" w:line="280" w:lineRule="auto"/>
        <w:numPr>
          <w:ilvl w:val="0"/>
          <w:numId w:val="44"/>
        </w:numPr>
      </w:pPr>
      <w:r>
        <w:rPr>
          <w:rFonts w:ascii="Aptos" w:hAnsi="Aptos" w:eastAsia="Aptos"/>
        </w:rPr>
        <w:t>Prepare existing Pensioner conversion records in EC.</w:t>
      </w:r>
    </w:p>
    <w:p>
      <w:pPr>
        <w:spacing w:before="0" w:after="160" w:line="280" w:lineRule="auto"/>
        <w:numPr>
          <w:ilvl w:val="0"/>
          <w:numId w:val="44"/>
        </w:numPr>
      </w:pPr>
      <w:r>
        <w:rPr>
          <w:rFonts w:ascii="Aptos" w:hAnsi="Aptos" w:eastAsia="Aptos"/>
        </w:rPr>
        <w:t>Execute Pensioner conversion replication.</w:t>
      </w:r>
    </w:p>
    <w:p>
      <w:pPr>
        <w:spacing w:before="0" w:after="160" w:line="280" w:lineRule="auto"/>
        <w:numPr>
          <w:ilvl w:val="0"/>
          <w:numId w:val="44"/>
        </w:numPr>
      </w:pPr>
      <w:r>
        <w:rPr>
          <w:rFonts w:ascii="Aptos" w:hAnsi="Aptos" w:eastAsia="Aptos"/>
        </w:rPr>
        <w:t>Perform S/4HANA HRM technical validation by the project team.</w:t>
      </w:r>
    </w:p>
    <w:p>
      <w:pPr>
        <w:spacing w:before="0" w:after="160" w:line="280" w:lineRule="auto"/>
        <w:numPr>
          <w:ilvl w:val="0"/>
          <w:numId w:val="44"/>
        </w:numPr>
      </w:pPr>
      <w:r>
        <w:rPr>
          <w:rFonts w:ascii="Aptos" w:hAnsi="Aptos" w:eastAsia="Aptos"/>
        </w:rPr>
        <w:t>Perform business and payroll validation by BOC.</w:t>
      </w:r>
    </w:p>
    <w:p>
      <w:pPr>
        <w:spacing w:before="0" w:after="160" w:line="280" w:lineRule="auto"/>
        <w:numPr>
          <w:ilvl w:val="0"/>
          <w:numId w:val="44"/>
        </w:numPr>
      </w:pPr>
      <w:r>
        <w:rPr>
          <w:rFonts w:ascii="Aptos" w:hAnsi="Aptos" w:eastAsia="Aptos"/>
        </w:rPr>
        <w:t>Enable the Production Pensioner background job.</w:t>
      </w:r>
    </w:p>
    <w:p>
      <w:pPr>
        <w:spacing w:before="0" w:after="160" w:line="280" w:lineRule="auto"/>
        <w:numPr>
          <w:ilvl w:val="0"/>
          <w:numId w:val="44"/>
        </w:numPr>
      </w:pPr>
      <w:r>
        <w:rPr>
          <w:rFonts w:ascii="Aptos" w:hAnsi="Aptos" w:eastAsia="Aptos"/>
        </w:rPr>
        <w:t>Begin ongoing EC-to-S/4HANA HRM replication.</w:t>
      </w:r>
    </w:p>
    <w:p>
      <w:pPr>
        <w:spacing w:before="0" w:after="160" w:line="280" w:lineRule="auto"/>
        <w:numPr>
          <w:ilvl w:val="0"/>
          <w:numId w:val="44"/>
        </w:numPr>
      </w:pPr>
      <w:r>
        <w:rPr>
          <w:rFonts w:ascii="Aptos" w:hAnsi="Aptos" w:eastAsia="Aptos"/>
        </w:rPr>
        <w:t>Enter the two-week hypercare period.</w:t>
      </w:r>
    </w:p>
    <w:p>
      <w:pPr>
        <w:pStyle w:val="Heading1"/>
        <w:numPr>
          <w:ilvl w:val="0"/>
          <w:numId w:val="41"/>
        </w:numPr>
      </w:pPr>
      <w:r>
        <w:t>Rollback and Production Control</w:t>
      </w:r>
    </w:p>
    <w:p>
      <w:r>
        <w:rPr>
          <w:rFonts w:ascii="Aptos" w:hAnsi="Aptos" w:eastAsia="Aptos"/>
        </w:rPr>
        <w:t>Separate Pensioner and Active Employee background jobs provide operational isolation. If a critical Pensioner issue occurs during cutover or hypercare:</w:t>
      </w:r>
    </w:p>
    <w:p>
      <w:pPr>
        <w:spacing w:before="0" w:after="160" w:line="280" w:lineRule="auto"/>
        <w:numPr>
          <w:ilvl w:val="0"/>
          <w:numId w:val="42"/>
        </w:numPr>
      </w:pPr>
      <w:r>
        <w:rPr>
          <w:rFonts w:ascii="Aptos" w:hAnsi="Aptos" w:eastAsia="Aptos"/>
        </w:rPr>
        <w:t>Pause Pensioner processing while Active Employee replication continues normally.</w:t>
      </w:r>
    </w:p>
    <w:p>
      <w:pPr>
        <w:spacing w:before="0" w:after="160" w:line="280" w:lineRule="auto"/>
        <w:numPr>
          <w:ilvl w:val="0"/>
          <w:numId w:val="42"/>
        </w:numPr>
      </w:pPr>
      <w:r>
        <w:rPr>
          <w:rFonts w:ascii="Aptos" w:hAnsi="Aptos" w:eastAsia="Aptos"/>
        </w:rPr>
        <w:t>Correct the underlying issue and reprocess failed or affected records.</w:t>
      </w:r>
    </w:p>
    <w:p>
      <w:pPr>
        <w:spacing w:before="0" w:after="160" w:line="280" w:lineRule="auto"/>
        <w:numPr>
          <w:ilvl w:val="0"/>
          <w:numId w:val="42"/>
        </w:numPr>
      </w:pPr>
      <w:r>
        <w:rPr>
          <w:rFonts w:ascii="Aptos" w:hAnsi="Aptos" w:eastAsia="Aptos"/>
        </w:rPr>
        <w:t>Resume Pensioner processing after validation.</w:t>
      </w:r>
    </w:p>
    <w:p>
      <w:pPr>
        <w:pStyle w:val="Heading1"/>
        <w:numPr>
          <w:ilvl w:val="0"/>
          <w:numId w:val="41"/>
        </w:numPr>
      </w:pPr>
      <w:r>
        <w:t>Hypercare</w:t>
      </w:r>
    </w:p>
    <w:p>
      <w:r>
        <w:rPr>
          <w:rFonts w:ascii="Aptos" w:hAnsi="Aptos" w:eastAsia="Aptos"/>
        </w:rPr>
        <w:t>A two-week hypercare period will follow production go-live. During hypercare, the project team will:</w:t>
      </w:r>
    </w:p>
    <w:p>
      <w:pPr>
        <w:spacing w:before="0" w:after="160" w:line="280" w:lineRule="auto"/>
        <w:numPr>
          <w:ilvl w:val="0"/>
          <w:numId w:val="42"/>
        </w:numPr>
      </w:pPr>
      <w:r>
        <w:rPr>
          <w:rFonts w:ascii="Aptos" w:hAnsi="Aptos" w:eastAsia="Aptos"/>
        </w:rPr>
        <w:t>Closely monitor Pensioner replication and review replication errors.</w:t>
      </w:r>
    </w:p>
    <w:p>
      <w:pPr>
        <w:spacing w:before="0" w:after="160" w:line="280" w:lineRule="auto"/>
        <w:numPr>
          <w:ilvl w:val="0"/>
          <w:numId w:val="42"/>
        </w:numPr>
      </w:pPr>
      <w:r>
        <w:rPr>
          <w:rFonts w:ascii="Aptos" w:hAnsi="Aptos" w:eastAsia="Aptos"/>
        </w:rPr>
        <w:t>Support reprocessing and resolve production defects.</w:t>
      </w:r>
    </w:p>
    <w:p>
      <w:pPr>
        <w:spacing w:before="0" w:after="160" w:line="280" w:lineRule="auto"/>
        <w:numPr>
          <w:ilvl w:val="0"/>
          <w:numId w:val="42"/>
        </w:numPr>
      </w:pPr>
      <w:r>
        <w:rPr>
          <w:rFonts w:ascii="Aptos" w:hAnsi="Aptos" w:eastAsia="Aptos"/>
        </w:rPr>
        <w:t>Validate ongoing stability and confirm readiness for steady-state support.</w:t>
      </w:r>
    </w:p>
    <w:p>
      <w:pPr>
        <w:pageBreakBefore/>
        <w:spacing w:before="3560" w:after="200"/>
      </w:pPr>
      <w:r>
        <w:rPr>
          <w:rFonts w:ascii="Aptos" w:hAnsi="Aptos" w:eastAsia="Aptos"/>
          <w:b/>
          <w:color w:val="2E74B5"/>
          <w:sz w:val="17"/>
        </w:rPr>
        <w:t>PART V</w:t>
      </w:r>
    </w:p>
    <w:p>
      <w:pPr>
        <w:pStyle w:val="PartTitle"/>
        <w:spacing w:after="260"/>
        <w:pBdr>
          <w:bottom w:val="single" w:sz="6" w:space="1" w:color="D9DEE5"/>
        </w:pBdr>
      </w:pPr>
      <w:r>
        <w:rPr>
          <w:rFonts w:ascii="Aptos Display" w:hAnsi="Aptos Display" w:eastAsia="Aptos Display"/>
          <w:b/>
          <w:color w:val="0B2545"/>
          <w:sz w:val="52"/>
        </w:rPr>
        <w:t>Governance and Delivery</w:t>
      </w:r>
    </w:p>
    <w:p>
      <w:r>
        <w:br w:type="page"/>
      </w:r>
    </w:p>
    <w:p>
      <w:pPr>
        <w:pStyle w:val="Heading1"/>
        <w:numPr>
          <w:ilvl w:val="0"/>
          <w:numId w:val="41"/>
        </w:numPr>
      </w:pPr>
      <w:r>
        <w:t>BOC Inputs and Dependencies</w:t>
      </w:r>
    </w:p>
    <w:tbl>
      <w:tblPr>
        <w:tblW w:type="dxa" w:w="9360"/>
        <w:jc w:val="left"/>
        <w:tblLayout w:type="fixed"/>
        <w:tblLook w:firstColumn="1" w:firstRow="1" w:lastColumn="0" w:lastRow="0" w:noHBand="0" w:noVBand="1" w:val="04A0"/>
        <w:tblInd w:type="dxa" w:w="1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350"/>
        <w:gridCol w:w="3610"/>
        <w:gridCol w:w="3400"/>
      </w:tblGrid>
      <w:tr>
        <w:trPr>
          <w:tblHeader w:val="true"/>
          <w:cantSplit w:val="true"/>
        </w:trPr>
        <w:tc>
          <w:tcPr>
            <w:tcW w:type="dxa" w:w="235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Input / dependency</w:t>
            </w:r>
          </w:p>
        </w:tc>
        <w:tc>
          <w:tcPr>
            <w:tcW w:type="dxa" w:w="361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BOC responsibility</w:t>
            </w:r>
          </w:p>
        </w:tc>
        <w:tc>
          <w:tcPr>
            <w:tcW w:type="dxa" w:w="340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Downstream use</w:t>
            </w:r>
          </w:p>
        </w:tc>
      </w:tr>
      <w:tr>
        <w:trPr>
          <w:cantSplit w:val="true"/>
        </w:trPr>
        <w:tc>
          <w:tcPr>
            <w:tcW w:type="dxa" w:w="23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Business scenarios</w:t>
            </w:r>
          </w:p>
        </w:tc>
        <w:tc>
          <w:tcPr>
            <w:tcW w:type="dxa" w:w="36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Define the scenarios to be validated.</w:t>
            </w:r>
          </w:p>
        </w:tc>
        <w:tc>
          <w:tcPr>
            <w:tcW w:type="dxa" w:w="34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EC team creates corresponding EC test cases and data.</w:t>
            </w:r>
          </w:p>
        </w:tc>
      </w:tr>
      <w:tr>
        <w:trPr>
          <w:cantSplit w:val="true"/>
        </w:trPr>
        <w:tc>
          <w:tcPr>
            <w:tcW w:type="dxa" w:w="23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IT0169 and IT9000</w:t>
            </w:r>
          </w:p>
        </w:tc>
        <w:tc>
          <w:tcPr>
            <w:tcW w:type="dxa" w:w="36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Provide business logic, field mappings, processing and validation requirements.</w:t>
            </w:r>
          </w:p>
        </w:tc>
        <w:tc>
          <w:tcPr>
            <w:tcW w:type="dxa" w:w="34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Required to finalize detailed implementation.</w:t>
            </w:r>
          </w:p>
        </w:tc>
      </w:tr>
      <w:tr>
        <w:trPr>
          <w:cantSplit w:val="true"/>
        </w:trPr>
        <w:tc>
          <w:tcPr>
            <w:tcW w:type="dxa" w:w="23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IT0006 country list</w:t>
            </w:r>
          </w:p>
        </w:tc>
        <w:tc>
          <w:tcPr>
            <w:tcW w:type="dxa" w:w="36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Provide the additional countries.</w:t>
            </w:r>
          </w:p>
        </w:tc>
        <w:tc>
          <w:tcPr>
            <w:tcW w:type="dxa" w:w="34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Required for configuration and test coverage.</w:t>
            </w:r>
          </w:p>
        </w:tc>
      </w:tr>
      <w:tr>
        <w:trPr>
          <w:cantSplit w:val="true"/>
        </w:trPr>
        <w:tc>
          <w:tcPr>
            <w:tcW w:type="dxa" w:w="23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UAT</w:t>
            </w:r>
          </w:p>
        </w:tc>
        <w:tc>
          <w:tcPr>
            <w:tcW w:type="dxa" w:w="36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Perform business acceptance validation.</w:t>
            </w:r>
          </w:p>
        </w:tc>
        <w:tc>
          <w:tcPr>
            <w:tcW w:type="dxa" w:w="34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Required for production approval.</w:t>
            </w:r>
          </w:p>
        </w:tc>
      </w:tr>
      <w:tr>
        <w:trPr>
          <w:cantSplit w:val="true"/>
        </w:trPr>
        <w:tc>
          <w:tcPr>
            <w:tcW w:type="dxa" w:w="23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Cutover validation</w:t>
            </w:r>
          </w:p>
        </w:tc>
        <w:tc>
          <w:tcPr>
            <w:tcW w:type="dxa" w:w="36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Perform business and payroll validation after project technical validation.</w:t>
            </w:r>
          </w:p>
        </w:tc>
        <w:tc>
          <w:tcPr>
            <w:tcW w:type="dxa" w:w="34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Required before ongoing Production scheduling is enabled.</w:t>
            </w:r>
          </w:p>
        </w:tc>
      </w:tr>
    </w:tbl>
    <w:p>
      <w:pPr>
        <w:spacing w:before="0" w:after="40"/>
      </w:pPr>
    </w:p>
    <w:p>
      <w:pPr>
        <w:pStyle w:val="Heading1"/>
        <w:numPr>
          <w:ilvl w:val="0"/>
          <w:numId w:val="41"/>
        </w:numPr>
      </w:pPr>
      <w:r>
        <w:t>Key Design Principles</w:t>
      </w:r>
    </w:p>
    <w:p>
      <w:pPr>
        <w:spacing w:before="0" w:after="160" w:line="280" w:lineRule="auto"/>
        <w:numPr>
          <w:ilvl w:val="0"/>
          <w:numId w:val="45"/>
        </w:numPr>
      </w:pPr>
      <w:r>
        <w:rPr>
          <w:rFonts w:ascii="Aptos" w:hAnsi="Aptos" w:eastAsia="Aptos"/>
        </w:rPr>
        <w:t>Protect the existing Active Employee production solution.</w:t>
      </w:r>
    </w:p>
    <w:p>
      <w:pPr>
        <w:spacing w:before="0" w:after="160" w:line="280" w:lineRule="auto"/>
        <w:numPr>
          <w:ilvl w:val="0"/>
          <w:numId w:val="45"/>
        </w:numPr>
      </w:pPr>
      <w:r>
        <w:rPr>
          <w:rFonts w:ascii="Aptos" w:hAnsi="Aptos" w:eastAsia="Aptos"/>
        </w:rPr>
        <w:t>Reuse the Phase 1 architecture wherever practical.</w:t>
      </w:r>
    </w:p>
    <w:p>
      <w:pPr>
        <w:spacing w:before="0" w:after="160" w:line="280" w:lineRule="auto"/>
        <w:numPr>
          <w:ilvl w:val="0"/>
          <w:numId w:val="45"/>
        </w:numPr>
      </w:pPr>
      <w:r>
        <w:rPr>
          <w:rFonts w:ascii="Aptos" w:hAnsi="Aptos" w:eastAsia="Aptos"/>
        </w:rPr>
        <w:t>Isolate Pensioner-specific processing through a dedicated Template Group.</w:t>
      </w:r>
    </w:p>
    <w:p>
      <w:pPr>
        <w:spacing w:before="0" w:after="160" w:line="280" w:lineRule="auto"/>
        <w:numPr>
          <w:ilvl w:val="0"/>
          <w:numId w:val="45"/>
        </w:numPr>
      </w:pPr>
      <w:r>
        <w:rPr>
          <w:rFonts w:ascii="Aptos" w:hAnsi="Aptos" w:eastAsia="Aptos"/>
        </w:rPr>
        <w:t>Do not enable SAP Concurrent Employment.</w:t>
      </w:r>
    </w:p>
    <w:p>
      <w:pPr>
        <w:spacing w:before="0" w:after="160" w:line="280" w:lineRule="auto"/>
        <w:numPr>
          <w:ilvl w:val="0"/>
          <w:numId w:val="45"/>
        </w:numPr>
      </w:pPr>
      <w:r>
        <w:rPr>
          <w:rFonts w:ascii="Aptos" w:hAnsi="Aptos" w:eastAsia="Aptos"/>
        </w:rPr>
        <w:t>Prefer one person with multiple PERNRs where technically feasible.</w:t>
      </w:r>
    </w:p>
    <w:p>
      <w:pPr>
        <w:spacing w:before="0" w:after="160" w:line="280" w:lineRule="auto"/>
        <w:numPr>
          <w:ilvl w:val="0"/>
          <w:numId w:val="45"/>
        </w:numPr>
      </w:pPr>
      <w:r>
        <w:rPr>
          <w:rFonts w:ascii="Aptos" w:hAnsi="Aptos" w:eastAsia="Aptos"/>
        </w:rPr>
        <w:t>Prioritize data correctness over multi-employment design complexity.</w:t>
      </w:r>
    </w:p>
    <w:p>
      <w:pPr>
        <w:spacing w:before="0" w:after="160" w:line="280" w:lineRule="auto"/>
        <w:numPr>
          <w:ilvl w:val="0"/>
          <w:numId w:val="45"/>
        </w:numPr>
      </w:pPr>
      <w:r>
        <w:rPr>
          <w:rFonts w:ascii="Aptos" w:hAnsi="Aptos" w:eastAsia="Aptos"/>
        </w:rPr>
        <w:t>Use FUT as the formal Plan A / Plan B decision gate.</w:t>
      </w:r>
    </w:p>
    <w:p>
      <w:pPr>
        <w:spacing w:before="0" w:after="160" w:line="280" w:lineRule="auto"/>
        <w:numPr>
          <w:ilvl w:val="0"/>
          <w:numId w:val="45"/>
        </w:numPr>
      </w:pPr>
      <w:r>
        <w:rPr>
          <w:rFonts w:ascii="Aptos" w:hAnsi="Aptos" w:eastAsia="Aptos"/>
        </w:rPr>
        <w:t>Move quickly to Plan B if Plan A creates unacceptable risk.</w:t>
      </w:r>
    </w:p>
    <w:p>
      <w:pPr>
        <w:spacing w:before="0" w:after="160" w:line="280" w:lineRule="auto"/>
        <w:numPr>
          <w:ilvl w:val="0"/>
          <w:numId w:val="45"/>
        </w:numPr>
      </w:pPr>
      <w:r>
        <w:rPr>
          <w:rFonts w:ascii="Aptos" w:hAnsi="Aptos" w:eastAsia="Aptos"/>
        </w:rPr>
        <w:t>Regression-test all BAdIs affected by Employment or Job Information logic.</w:t>
      </w:r>
    </w:p>
    <w:p>
      <w:pPr>
        <w:spacing w:before="0" w:after="160" w:line="280" w:lineRule="auto"/>
        <w:numPr>
          <w:ilvl w:val="0"/>
          <w:numId w:val="45"/>
        </w:numPr>
      </w:pPr>
      <w:r>
        <w:rPr>
          <w:rFonts w:ascii="Aptos" w:hAnsi="Aptos" w:eastAsia="Aptos"/>
        </w:rPr>
        <w:t>Reuse the existing monitoring, error-handling and support framework.</w:t>
      </w:r>
    </w:p>
    <w:p>
      <w:pPr>
        <w:spacing w:before="0" w:after="160" w:line="280" w:lineRule="auto"/>
        <w:numPr>
          <w:ilvl w:val="0"/>
          <w:numId w:val="45"/>
        </w:numPr>
      </w:pPr>
      <w:r>
        <w:rPr>
          <w:rFonts w:ascii="Aptos" w:hAnsi="Aptos" w:eastAsia="Aptos"/>
        </w:rPr>
        <w:t>Keep CPI and SOA Manager changes at zero unless an unexpected requirement emerges.</w:t>
      </w:r>
    </w:p>
    <w:p>
      <w:pPr>
        <w:pStyle w:val="Heading1"/>
        <w:numPr>
          <w:ilvl w:val="0"/>
          <w:numId w:val="41"/>
        </w:numPr>
      </w:pPr>
      <w:r>
        <w:t>Success Criteria</w:t>
      </w:r>
    </w:p>
    <w:p>
      <w:pPr>
        <w:pStyle w:val="Heading2"/>
        <w:numPr>
          <w:ilvl w:val="1"/>
          <w:numId w:val="41"/>
        </w:numPr>
      </w:pPr>
      <w:r>
        <w:t>Business and Population Outcomes</w:t>
      </w:r>
    </w:p>
    <w:p>
      <w:pPr>
        <w:spacing w:before="0" w:after="160" w:line="280" w:lineRule="auto"/>
        <w:numPr>
          <w:ilvl w:val="0"/>
          <w:numId w:val="42"/>
        </w:numPr>
      </w:pPr>
      <w:r>
        <w:rPr>
          <w:rFonts w:ascii="Aptos" w:hAnsi="Aptos" w:eastAsia="Aptos"/>
        </w:rPr>
        <w:t>Existing and future Pensioners replicate correctly in Production.</w:t>
      </w:r>
    </w:p>
    <w:p>
      <w:pPr>
        <w:spacing w:before="0" w:after="160" w:line="280" w:lineRule="auto"/>
        <w:numPr>
          <w:ilvl w:val="0"/>
          <w:numId w:val="42"/>
        </w:numPr>
      </w:pPr>
      <w:r>
        <w:rPr>
          <w:rFonts w:ascii="Aptos" w:hAnsi="Aptos" w:eastAsia="Aptos"/>
        </w:rPr>
        <w:t>Active Employees transition correctly to Pensioner status, including payroll-area changes.</w:t>
      </w:r>
    </w:p>
    <w:p>
      <w:pPr>
        <w:spacing w:before="0" w:after="160" w:line="280" w:lineRule="auto"/>
        <w:numPr>
          <w:ilvl w:val="0"/>
          <w:numId w:val="42"/>
        </w:numPr>
      </w:pPr>
      <w:r>
        <w:rPr>
          <w:rFonts w:ascii="Aptos" w:hAnsi="Aptos" w:eastAsia="Aptos"/>
        </w:rPr>
        <w:t>Survivors are created as Pensioners and linked through IT0032.</w:t>
      </w:r>
    </w:p>
    <w:p>
      <w:pPr>
        <w:spacing w:before="0" w:after="160" w:line="280" w:lineRule="auto"/>
        <w:numPr>
          <w:ilvl w:val="0"/>
          <w:numId w:val="42"/>
        </w:numPr>
      </w:pPr>
      <w:r>
        <w:rPr>
          <w:rFonts w:ascii="Aptos" w:hAnsi="Aptos" w:eastAsia="Aptos"/>
        </w:rPr>
        <w:t>Existing Pensioner conversion records are processed successfully.</w:t>
      </w:r>
    </w:p>
    <w:p>
      <w:pPr>
        <w:pStyle w:val="Heading2"/>
        <w:numPr>
          <w:ilvl w:val="1"/>
          <w:numId w:val="41"/>
        </w:numPr>
      </w:pPr>
      <w:r>
        <w:t>Technical Outcomes</w:t>
      </w:r>
    </w:p>
    <w:p>
      <w:pPr>
        <w:spacing w:before="0" w:after="160" w:line="280" w:lineRule="auto"/>
        <w:numPr>
          <w:ilvl w:val="0"/>
          <w:numId w:val="42"/>
        </w:numPr>
      </w:pPr>
      <w:r>
        <w:rPr>
          <w:rFonts w:ascii="Aptos" w:hAnsi="Aptos" w:eastAsia="Aptos"/>
        </w:rPr>
        <w:t>Plan A supports the required multi-PERNR model if retained; Plan B is technically viable if Plan A fails FUT.</w:t>
      </w:r>
    </w:p>
    <w:p>
      <w:pPr>
        <w:spacing w:before="0" w:after="160" w:line="280" w:lineRule="auto"/>
        <w:numPr>
          <w:ilvl w:val="0"/>
          <w:numId w:val="42"/>
        </w:numPr>
      </w:pPr>
      <w:r>
        <w:rPr>
          <w:rFonts w:ascii="Aptos" w:hAnsi="Aptos" w:eastAsia="Aptos"/>
        </w:rPr>
        <w:t>BAdI changes pass regression testing and Active Employee replication remains stable.</w:t>
      </w:r>
    </w:p>
    <w:p>
      <w:pPr>
        <w:spacing w:before="0" w:after="160" w:line="280" w:lineRule="auto"/>
        <w:numPr>
          <w:ilvl w:val="0"/>
          <w:numId w:val="42"/>
        </w:numPr>
      </w:pPr>
      <w:r>
        <w:rPr>
          <w:rFonts w:ascii="Aptos" w:hAnsi="Aptos" w:eastAsia="Aptos"/>
        </w:rPr>
        <w:t>IT0014, IT0015, IT0169, IT9000 and expanded IT0006 processing are implemented and validated after requirements are finalized.</w:t>
      </w:r>
    </w:p>
    <w:p>
      <w:pPr>
        <w:pStyle w:val="Heading2"/>
        <w:numPr>
          <w:ilvl w:val="1"/>
          <w:numId w:val="41"/>
        </w:numPr>
      </w:pPr>
      <w:r>
        <w:t>Operational Outcomes</w:t>
      </w:r>
    </w:p>
    <w:p>
      <w:pPr>
        <w:spacing w:before="0" w:after="160" w:line="280" w:lineRule="auto"/>
        <w:numPr>
          <w:ilvl w:val="0"/>
          <w:numId w:val="42"/>
        </w:numPr>
      </w:pPr>
      <w:r>
        <w:rPr>
          <w:rFonts w:ascii="Aptos" w:hAnsi="Aptos" w:eastAsia="Aptos"/>
        </w:rPr>
        <w:t>Ongoing EC-driven Pensioner replication operates reliably.</w:t>
      </w:r>
    </w:p>
    <w:p>
      <w:pPr>
        <w:spacing w:before="0" w:after="160" w:line="280" w:lineRule="auto"/>
        <w:numPr>
          <w:ilvl w:val="0"/>
          <w:numId w:val="42"/>
        </w:numPr>
      </w:pPr>
      <w:r>
        <w:rPr>
          <w:rFonts w:ascii="Aptos" w:hAnsi="Aptos" w:eastAsia="Aptos"/>
        </w:rPr>
        <w:t>Production operations stabilize through the two-week hypercare period.</w:t>
      </w:r>
    </w:p>
    <w:p>
      <w:pPr>
        <w:pStyle w:val="Heading1"/>
        <w:numPr>
          <w:ilvl w:val="0"/>
          <w:numId w:val="41"/>
        </w:numPr>
      </w:pPr>
      <w:r>
        <w:t>Key Risks</w:t>
      </w:r>
    </w:p>
    <w:tbl>
      <w:tblPr>
        <w:tblW w:type="dxa" w:w="9360"/>
        <w:jc w:val="left"/>
        <w:tblLayout w:type="fixed"/>
        <w:tblLook w:firstColumn="1" w:firstRow="1" w:lastColumn="0" w:lastRow="0" w:noHBand="0" w:noVBand="1" w:val="04A0"/>
        <w:tblInd w:type="dxa" w:w="1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450"/>
        <w:gridCol w:w="3060"/>
        <w:gridCol w:w="3850"/>
      </w:tblGrid>
      <w:tr>
        <w:trPr>
          <w:tblHeader w:val="true"/>
          <w:cantSplit w:val="true"/>
        </w:trPr>
        <w:tc>
          <w:tcPr>
            <w:tcW w:type="dxa" w:w="245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Risk</w:t>
            </w:r>
          </w:p>
        </w:tc>
        <w:tc>
          <w:tcPr>
            <w:tcW w:type="dxa" w:w="306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Potential impact</w:t>
            </w:r>
          </w:p>
        </w:tc>
        <w:tc>
          <w:tcPr>
            <w:tcW w:type="dxa" w:w="385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Mitigation</w:t>
            </w:r>
          </w:p>
        </w:tc>
      </w:tr>
      <w:tr>
        <w:trPr>
          <w:cantSplit w:val="true"/>
        </w:trPr>
        <w:tc>
          <w:tcPr>
            <w:tcW w:type="dxa" w:w="24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Multi-employment complexity</w:t>
            </w:r>
          </w:p>
        </w:tc>
        <w:tc>
          <w:tcPr>
            <w:tcW w:type="dxa" w:w="30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Existing logic assumes one employment.</w:t>
            </w:r>
          </w:p>
        </w:tc>
        <w:tc>
          <w:tcPr>
            <w:tcW w:type="dxa" w:w="38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Modify affected BAdIs; validate through FUT and regression.</w:t>
            </w:r>
          </w:p>
        </w:tc>
      </w:tr>
      <w:tr>
        <w:trPr>
          <w:cantSplit w:val="true"/>
        </w:trPr>
        <w:tc>
          <w:tcPr>
            <w:tcW w:type="dxa" w:w="24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Dual-template processing</w:t>
            </w:r>
          </w:p>
        </w:tc>
        <w:tc>
          <w:tcPr>
            <w:tcW w:type="dxa" w:w="30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Both Template Groups may evaluate the same person.</w:t>
            </w:r>
          </w:p>
        </w:tc>
        <w:tc>
          <w:tcPr>
            <w:tcW w:type="dxa" w:w="38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Validate outputs during FUT; move to Plan B if conflicts are material.</w:t>
            </w:r>
          </w:p>
        </w:tc>
      </w:tr>
      <w:tr>
        <w:trPr>
          <w:cantSplit w:val="true"/>
        </w:trPr>
        <w:tc>
          <w:tcPr>
            <w:tcW w:type="dxa" w:w="24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Active Employee regression</w:t>
            </w:r>
          </w:p>
        </w:tc>
        <w:tc>
          <w:tcPr>
            <w:tcW w:type="dxa" w:w="30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Phase 2 changes could affect the production baseline.</w:t>
            </w:r>
          </w:p>
        </w:tc>
        <w:tc>
          <w:tcPr>
            <w:tcW w:type="dxa" w:w="38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Require comprehensive Active Employee regression testing.</w:t>
            </w:r>
          </w:p>
        </w:tc>
      </w:tr>
      <w:tr>
        <w:trPr>
          <w:cantSplit w:val="true"/>
        </w:trPr>
        <w:tc>
          <w:tcPr>
            <w:tcW w:type="dxa" w:w="24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Plan B National ID</w:t>
            </w:r>
          </w:p>
        </w:tc>
        <w:tc>
          <w:tcPr>
            <w:tcW w:type="dxa" w:w="30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Duplicate National IDs may not be permitted across separate persons.</w:t>
            </w:r>
          </w:p>
        </w:tc>
        <w:tc>
          <w:tcPr>
            <w:tcW w:type="dxa" w:w="38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Confirm and validate required configuration before Plan B activation.</w:t>
            </w:r>
          </w:p>
        </w:tc>
      </w:tr>
      <w:tr>
        <w:trPr>
          <w:cantSplit w:val="true"/>
        </w:trPr>
        <w:tc>
          <w:tcPr>
            <w:tcW w:type="dxa" w:w="24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IT0169 and IT9000 requirements</w:t>
            </w:r>
          </w:p>
        </w:tc>
        <w:tc>
          <w:tcPr>
            <w:tcW w:type="dxa" w:w="30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Build cannot be finalized without defined logic and mapping.</w:t>
            </w:r>
          </w:p>
        </w:tc>
        <w:tc>
          <w:tcPr>
            <w:tcW w:type="dxa" w:w="38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BOC provides business logic, mappings and validation requirements.</w:t>
            </w:r>
          </w:p>
        </w:tc>
      </w:tr>
      <w:tr>
        <w:trPr>
          <w:cantSplit w:val="true"/>
        </w:trPr>
        <w:tc>
          <w:tcPr>
            <w:tcW w:type="dxa" w:w="24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IT0006 country scope</w:t>
            </w:r>
          </w:p>
        </w:tc>
        <w:tc>
          <w:tcPr>
            <w:tcW w:type="dxa" w:w="30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Configuration and testing remain incomplete.</w:t>
            </w:r>
          </w:p>
        </w:tc>
        <w:tc>
          <w:tcPr>
            <w:tcW w:type="dxa" w:w="38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BOC provides the final country list.</w:t>
            </w:r>
          </w:p>
        </w:tc>
      </w:tr>
    </w:tbl>
    <w:p>
      <w:pPr>
        <w:spacing w:before="0" w:after="40"/>
      </w:pPr>
    </w:p>
    <w:p>
      <w:pPr>
        <w:pStyle w:val="Heading1"/>
        <w:numPr>
          <w:ilvl w:val="0"/>
          <w:numId w:val="41"/>
        </w:numPr>
      </w:pPr>
      <w:r>
        <w:t>Open Items and Decisions Required</w:t>
      </w:r>
    </w:p>
    <w:p>
      <w:r>
        <w:rPr>
          <w:rFonts w:ascii="Aptos" w:hAnsi="Aptos" w:eastAsia="Aptos"/>
        </w:rPr>
        <w:t>The following items remain open. This register is the single location for draft questions and placeholders.</w:t>
      </w:r>
    </w:p>
    <w:tbl>
      <w:tblPr>
        <w:tblW w:type="dxa" w:w="9360"/>
        <w:jc w:val="left"/>
        <w:tblLayout w:type="fixed"/>
        <w:tblLook w:firstColumn="1" w:firstRow="1" w:lastColumn="0" w:lastRow="0" w:noHBand="0" w:noVBand="1" w:val="04A0"/>
        <w:tblInd w:type="dxa" w:w="1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950"/>
        <w:gridCol w:w="4900"/>
        <w:gridCol w:w="3510"/>
      </w:tblGrid>
      <w:tr>
        <w:trPr>
          <w:tblHeader w:val="true"/>
          <w:cantSplit w:val="true"/>
        </w:trPr>
        <w:tc>
          <w:tcPr>
            <w:tcW w:type="dxa" w:w="95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ID</w:t>
            </w:r>
          </w:p>
        </w:tc>
        <w:tc>
          <w:tcPr>
            <w:tcW w:type="dxa" w:w="490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Open item</w:t>
            </w:r>
          </w:p>
        </w:tc>
        <w:tc>
          <w:tcPr>
            <w:tcW w:type="dxa" w:w="351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Current status / owner</w:t>
            </w:r>
          </w:p>
        </w:tc>
      </w:tr>
      <w:tr>
        <w:trPr>
          <w:cantSplit w:val="true"/>
        </w:trPr>
        <w:tc>
          <w:tcPr>
            <w:tcW w:type="dxa" w:w="9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OI-01</w:t>
            </w:r>
          </w:p>
        </w:tc>
        <w:tc>
          <w:tcPr>
            <w:tcW w:type="dxa" w:w="4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Final Production go-live date</w:t>
            </w:r>
          </w:p>
        </w:tc>
        <w:tc>
          <w:tcPr>
            <w:tcW w:type="dxa" w:w="35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TBD</w:t>
            </w:r>
          </w:p>
        </w:tc>
      </w:tr>
      <w:tr>
        <w:trPr>
          <w:cantSplit w:val="true"/>
        </w:trPr>
        <w:tc>
          <w:tcPr>
            <w:tcW w:type="dxa" w:w="9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OI-02</w:t>
            </w:r>
          </w:p>
        </w:tc>
        <w:tc>
          <w:tcPr>
            <w:tcW w:type="dxa" w:w="4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Final Production FTSD</w:t>
            </w:r>
          </w:p>
        </w:tc>
        <w:tc>
          <w:tcPr>
            <w:tcW w:type="dxa" w:w="35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TBD; align through payroll and cutover planning</w:t>
            </w:r>
          </w:p>
        </w:tc>
      </w:tr>
      <w:tr>
        <w:trPr>
          <w:cantSplit w:val="true"/>
        </w:trPr>
        <w:tc>
          <w:tcPr>
            <w:tcW w:type="dxa" w:w="9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OI-03</w:t>
            </w:r>
          </w:p>
        </w:tc>
        <w:tc>
          <w:tcPr>
            <w:tcW w:type="dxa" w:w="4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Plan A or Plan B selection</w:t>
            </w:r>
          </w:p>
        </w:tc>
        <w:tc>
          <w:tcPr>
            <w:tcW w:type="dxa" w:w="35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Decision in early September FUT</w:t>
            </w:r>
          </w:p>
        </w:tc>
      </w:tr>
      <w:tr>
        <w:trPr>
          <w:cantSplit w:val="true"/>
        </w:trPr>
        <w:tc>
          <w:tcPr>
            <w:tcW w:type="dxa" w:w="9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OI-04</w:t>
            </w:r>
          </w:p>
        </w:tc>
        <w:tc>
          <w:tcPr>
            <w:tcW w:type="dxa" w:w="4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Duplicate National ID configuration</w:t>
            </w:r>
          </w:p>
        </w:tc>
        <w:tc>
          <w:tcPr>
            <w:tcW w:type="dxa" w:w="35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TBD; required for Plan B readiness</w:t>
            </w:r>
          </w:p>
        </w:tc>
      </w:tr>
      <w:tr>
        <w:trPr>
          <w:cantSplit w:val="true"/>
        </w:trPr>
        <w:tc>
          <w:tcPr>
            <w:tcW w:type="dxa" w:w="9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OI-05</w:t>
            </w:r>
          </w:p>
        </w:tc>
        <w:tc>
          <w:tcPr>
            <w:tcW w:type="dxa" w:w="4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IT0169 business logic and field mapping</w:t>
            </w:r>
          </w:p>
        </w:tc>
        <w:tc>
          <w:tcPr>
            <w:tcW w:type="dxa" w:w="35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BOC to provide</w:t>
            </w:r>
          </w:p>
        </w:tc>
      </w:tr>
      <w:tr>
        <w:trPr>
          <w:cantSplit w:val="true"/>
        </w:trPr>
        <w:tc>
          <w:tcPr>
            <w:tcW w:type="dxa" w:w="9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OI-06</w:t>
            </w:r>
          </w:p>
        </w:tc>
        <w:tc>
          <w:tcPr>
            <w:tcW w:type="dxa" w:w="4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IT9000 business logic and field mapping</w:t>
            </w:r>
          </w:p>
        </w:tc>
        <w:tc>
          <w:tcPr>
            <w:tcW w:type="dxa" w:w="35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BOC to provide</w:t>
            </w:r>
          </w:p>
        </w:tc>
      </w:tr>
      <w:tr>
        <w:trPr>
          <w:cantSplit w:val="true"/>
        </w:trPr>
        <w:tc>
          <w:tcPr>
            <w:tcW w:type="dxa" w:w="9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OI-07</w:t>
            </w:r>
          </w:p>
        </w:tc>
        <w:tc>
          <w:tcPr>
            <w:tcW w:type="dxa" w:w="4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IT0006 additional country list</w:t>
            </w:r>
          </w:p>
        </w:tc>
        <w:tc>
          <w:tcPr>
            <w:tcW w:type="dxa" w:w="35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BOC to provide</w:t>
            </w:r>
          </w:p>
        </w:tc>
      </w:tr>
      <w:tr>
        <w:trPr>
          <w:cantSplit w:val="true"/>
        </w:trPr>
        <w:tc>
          <w:tcPr>
            <w:tcW w:type="dxa" w:w="9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OI-08</w:t>
            </w:r>
          </w:p>
        </w:tc>
        <w:tc>
          <w:tcPr>
            <w:tcW w:type="dxa" w:w="4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Conversion Action Type</w:t>
            </w:r>
          </w:p>
        </w:tc>
        <w:tc>
          <w:tcPr>
            <w:tcW w:type="dxa" w:w="35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TBD</w:t>
            </w:r>
          </w:p>
        </w:tc>
      </w:tr>
      <w:tr>
        <w:trPr>
          <w:cantSplit w:val="true"/>
        </w:trPr>
        <w:tc>
          <w:tcPr>
            <w:tcW w:type="dxa" w:w="9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OI-09</w:t>
            </w:r>
          </w:p>
        </w:tc>
        <w:tc>
          <w:tcPr>
            <w:tcW w:type="dxa" w:w="4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Conversion Action Reason</w:t>
            </w:r>
          </w:p>
        </w:tc>
        <w:tc>
          <w:tcPr>
            <w:tcW w:type="dxa" w:w="35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TBD</w:t>
            </w:r>
          </w:p>
        </w:tc>
      </w:tr>
      <w:tr>
        <w:trPr>
          <w:cantSplit w:val="true"/>
        </w:trPr>
        <w:tc>
          <w:tcPr>
            <w:tcW w:type="dxa" w:w="9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OI-10</w:t>
            </w:r>
          </w:p>
        </w:tc>
        <w:tc>
          <w:tcPr>
            <w:tcW w:type="dxa" w:w="4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Conversion effective date</w:t>
            </w:r>
          </w:p>
        </w:tc>
        <w:tc>
          <w:tcPr>
            <w:tcW w:type="dxa" w:w="35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TBD; align to FTSD and cutover</w:t>
            </w:r>
          </w:p>
        </w:tc>
      </w:tr>
      <w:tr>
        <w:trPr>
          <w:cantSplit w:val="true"/>
        </w:trPr>
        <w:tc>
          <w:tcPr>
            <w:tcW w:type="dxa" w:w="9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OI-11</w:t>
            </w:r>
          </w:p>
        </w:tc>
        <w:tc>
          <w:tcPr>
            <w:tcW w:type="dxa" w:w="4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Final BOC business scenarios</w:t>
            </w:r>
          </w:p>
        </w:tc>
        <w:tc>
          <w:tcPr>
            <w:tcW w:type="dxa" w:w="35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BOC to provide</w:t>
            </w:r>
          </w:p>
        </w:tc>
      </w:tr>
      <w:tr>
        <w:trPr>
          <w:cantSplit w:val="true"/>
        </w:trPr>
        <w:tc>
          <w:tcPr>
            <w:tcW w:type="dxa" w:w="95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OI-12</w:t>
            </w:r>
          </w:p>
        </w:tc>
        <w:tc>
          <w:tcPr>
            <w:tcW w:type="dxa" w:w="49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Two additional Active Employee Time Infotype numbers</w:t>
            </w:r>
          </w:p>
        </w:tc>
        <w:tc>
          <w:tcPr>
            <w:tcW w:type="dxa" w:w="351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TBD</w:t>
            </w:r>
          </w:p>
        </w:tc>
      </w:tr>
    </w:tbl>
    <w:p>
      <w:pPr>
        <w:spacing w:before="0" w:after="40"/>
      </w:pPr>
    </w:p>
    <w:p>
      <w:pPr>
        <w:pStyle w:val="Heading1"/>
        <w:numPr>
          <w:ilvl w:val="0"/>
          <w:numId w:val="41"/>
        </w:numPr>
      </w:pPr>
      <w:r>
        <w:t>High-Level Timeline</w:t>
      </w:r>
    </w:p>
    <w:tbl>
      <w:tblPr>
        <w:tblW w:type="dxa" w:w="9360"/>
        <w:jc w:val="left"/>
        <w:tblLayout w:type="fixed"/>
        <w:tblLook w:firstColumn="1" w:firstRow="1" w:lastColumn="0" w:lastRow="0" w:noHBand="0" w:noVBand="1" w:val="04A0"/>
        <w:tblInd w:type="dxa" w:w="1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2000"/>
        <w:gridCol w:w="4300"/>
        <w:gridCol w:w="3060"/>
      </w:tblGrid>
      <w:tr>
        <w:trPr>
          <w:tblHeader w:val="true"/>
          <w:cantSplit w:val="true"/>
        </w:trPr>
        <w:tc>
          <w:tcPr>
            <w:tcW w:type="dxa" w:w="200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Period</w:t>
            </w:r>
          </w:p>
        </w:tc>
        <w:tc>
          <w:tcPr>
            <w:tcW w:type="dxa" w:w="430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Primary activity</w:t>
            </w:r>
          </w:p>
        </w:tc>
        <w:tc>
          <w:tcPr>
            <w:tcW w:type="dxa" w:w="3060"/>
            <w:shd w:fill="EAF2F8" w:val="clear"/>
            <w:vAlign w:val="center"/>
            <w:tcMar>
              <w:top w:w="80" w:type="dxa"/>
              <w:bottom w:w="80" w:type="dxa"/>
              <w:start w:w="120" w:type="dxa"/>
              <w:end w:w="120" w:type="dxa"/>
            </w:tcMar>
          </w:tcPr>
          <w:p>
            <w:pPr>
              <w:pStyle w:val="TableHeader"/>
            </w:pPr>
            <w:r/>
            <w:r>
              <w:rPr>
                <w:rFonts w:ascii="Aptos" w:hAnsi="Aptos" w:eastAsia="Aptos"/>
                <w:b/>
                <w:color w:val="0B2545"/>
                <w:sz w:val="19"/>
              </w:rPr>
              <w:t>Gate / outcome</w:t>
            </w:r>
          </w:p>
        </w:tc>
      </w:tr>
      <w:tr>
        <w:trPr>
          <w:cantSplit w:val="true"/>
        </w:trPr>
        <w:tc>
          <w:tcPr>
            <w:tcW w:type="dxa" w:w="20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August 2026</w:t>
            </w:r>
          </w:p>
        </w:tc>
        <w:tc>
          <w:tcPr>
            <w:tcW w:type="dxa" w:w="43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Development, configuration, BAdI changes and unit testing</w:t>
            </w:r>
          </w:p>
        </w:tc>
        <w:tc>
          <w:tcPr>
            <w:tcW w:type="dxa" w:w="30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Build ready for FUT</w:t>
            </w:r>
          </w:p>
        </w:tc>
      </w:tr>
      <w:tr>
        <w:trPr>
          <w:cantSplit w:val="true"/>
        </w:trPr>
        <w:tc>
          <w:tcPr>
            <w:tcW w:type="dxa" w:w="20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Early September 2026</w:t>
            </w:r>
          </w:p>
        </w:tc>
        <w:tc>
          <w:tcPr>
            <w:tcW w:type="dxa" w:w="43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FUT and multi-employment validation</w:t>
            </w:r>
          </w:p>
        </w:tc>
        <w:tc>
          <w:tcPr>
            <w:tcW w:type="dxa" w:w="30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Plan A / Plan B decision</w:t>
            </w:r>
          </w:p>
        </w:tc>
      </w:tr>
      <w:tr>
        <w:trPr>
          <w:cantSplit w:val="true"/>
        </w:trPr>
        <w:tc>
          <w:tcPr>
            <w:tcW w:type="dxa" w:w="20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September 2026</w:t>
            </w:r>
          </w:p>
        </w:tc>
        <w:tc>
          <w:tcPr>
            <w:tcW w:type="dxa" w:w="43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Complete FUT, regression and defect resolution</w:t>
            </w:r>
          </w:p>
        </w:tc>
        <w:tc>
          <w:tcPr>
            <w:tcW w:type="dxa" w:w="30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Selected design ready for SIT</w:t>
            </w:r>
          </w:p>
        </w:tc>
      </w:tr>
      <w:tr>
        <w:trPr>
          <w:cantSplit w:val="true"/>
        </w:trPr>
        <w:tc>
          <w:tcPr>
            <w:tcW w:type="dxa" w:w="20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October 2026</w:t>
            </w:r>
          </w:p>
        </w:tc>
        <w:tc>
          <w:tcPr>
            <w:tcW w:type="dxa" w:w="43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SIT, end-to-end validation and stabilization</w:t>
            </w:r>
          </w:p>
        </w:tc>
        <w:tc>
          <w:tcPr>
            <w:tcW w:type="dxa" w:w="30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Production candidate stable</w:t>
            </w:r>
          </w:p>
        </w:tc>
      </w:tr>
      <w:tr>
        <w:trPr>
          <w:cantSplit w:val="true"/>
        </w:trPr>
        <w:tc>
          <w:tcPr>
            <w:tcW w:type="dxa" w:w="20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November 2026</w:t>
            </w:r>
          </w:p>
        </w:tc>
        <w:tc>
          <w:tcPr>
            <w:tcW w:type="dxa" w:w="43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UAT, readiness, cutover and go-live</w:t>
            </w:r>
          </w:p>
        </w:tc>
        <w:tc>
          <w:tcPr>
            <w:tcW w:type="dxa" w:w="30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Production acceptance</w:t>
            </w:r>
          </w:p>
        </w:tc>
      </w:tr>
      <w:tr>
        <w:trPr>
          <w:cantSplit w:val="true"/>
        </w:trPr>
        <w:tc>
          <w:tcPr>
            <w:tcW w:type="dxa" w:w="20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Post go-live</w:t>
            </w:r>
          </w:p>
        </w:tc>
        <w:tc>
          <w:tcPr>
            <w:tcW w:type="dxa" w:w="430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Two-week hypercare</w:t>
            </w:r>
          </w:p>
        </w:tc>
        <w:tc>
          <w:tcPr>
            <w:tcW w:type="dxa" w:w="3060"/>
            <w:shd w:fill="FFFFFF" w:val="clear"/>
            <w:vAlign w:val="center"/>
            <w:tcMar>
              <w:top w:w="80" w:type="dxa"/>
              <w:bottom w:w="80" w:type="dxa"/>
              <w:start w:w="120" w:type="dxa"/>
              <w:end w:w="120" w:type="dxa"/>
            </w:tcMar>
          </w:tcPr>
          <w:p>
            <w:pPr>
              <w:pStyle w:val="TableText"/>
            </w:pPr>
            <w:r/>
            <w:r>
              <w:rPr>
                <w:rFonts w:ascii="Aptos" w:hAnsi="Aptos" w:eastAsia="Aptos"/>
                <w:b w:val="0"/>
                <w:color w:val="111827"/>
                <w:sz w:val="19"/>
              </w:rPr>
              <w:t>Transition to steady-state support</w:t>
            </w:r>
          </w:p>
        </w:tc>
      </w:tr>
    </w:tbl>
    <w:p>
      <w:pPr>
        <w:spacing w:before="0" w:after="40"/>
      </w:pPr>
    </w:p>
    <w:p>
      <w:r>
        <w:br w:type="page"/>
      </w:r>
    </w:p>
    <w:p>
      <w:pPr>
        <w:pStyle w:val="Heading1"/>
        <w:numPr>
          <w:ilvl w:val="0"/>
          <w:numId w:val="41"/>
        </w:numPr>
      </w:pPr>
      <w:r>
        <w:t>Next Steps</w:t>
      </w:r>
    </w:p>
    <w:p>
      <w:pPr>
        <w:spacing w:before="0" w:after="160" w:line="280" w:lineRule="auto"/>
        <w:numPr>
          <w:ilvl w:val="0"/>
          <w:numId w:val="46"/>
        </w:numPr>
      </w:pPr>
      <w:r>
        <w:rPr>
          <w:rFonts w:ascii="Aptos" w:hAnsi="Aptos" w:eastAsia="Aptos"/>
        </w:rPr>
        <w:t>Finalize BOC business scenarios.</w:t>
      </w:r>
    </w:p>
    <w:p>
      <w:pPr>
        <w:spacing w:before="0" w:after="160" w:line="280" w:lineRule="auto"/>
        <w:numPr>
          <w:ilvl w:val="0"/>
          <w:numId w:val="46"/>
        </w:numPr>
      </w:pPr>
      <w:r>
        <w:rPr>
          <w:rFonts w:ascii="Aptos" w:hAnsi="Aptos" w:eastAsia="Aptos"/>
        </w:rPr>
        <w:t>Confirm IT0169 requirements and field mappings.</w:t>
      </w:r>
    </w:p>
    <w:p>
      <w:pPr>
        <w:spacing w:before="0" w:after="160" w:line="280" w:lineRule="auto"/>
        <w:numPr>
          <w:ilvl w:val="0"/>
          <w:numId w:val="46"/>
        </w:numPr>
      </w:pPr>
      <w:r>
        <w:rPr>
          <w:rFonts w:ascii="Aptos" w:hAnsi="Aptos" w:eastAsia="Aptos"/>
        </w:rPr>
        <w:t>Confirm IT9000 requirements and field mappings.</w:t>
      </w:r>
    </w:p>
    <w:p>
      <w:pPr>
        <w:spacing w:before="0" w:after="160" w:line="280" w:lineRule="auto"/>
        <w:numPr>
          <w:ilvl w:val="0"/>
          <w:numId w:val="46"/>
        </w:numPr>
      </w:pPr>
      <w:r>
        <w:rPr>
          <w:rFonts w:ascii="Aptos" w:hAnsi="Aptos" w:eastAsia="Aptos"/>
        </w:rPr>
        <w:t>Obtain the IT0006 additional country list.</w:t>
      </w:r>
    </w:p>
    <w:p>
      <w:pPr>
        <w:spacing w:before="0" w:after="160" w:line="280" w:lineRule="auto"/>
        <w:numPr>
          <w:ilvl w:val="0"/>
          <w:numId w:val="46"/>
        </w:numPr>
      </w:pPr>
      <w:r>
        <w:rPr>
          <w:rFonts w:ascii="Aptos" w:hAnsi="Aptos" w:eastAsia="Aptos"/>
        </w:rPr>
        <w:t>Complete Employment and Job Information BAdI changes.</w:t>
      </w:r>
    </w:p>
    <w:p>
      <w:pPr>
        <w:spacing w:before="0" w:after="160" w:line="280" w:lineRule="auto"/>
        <w:numPr>
          <w:ilvl w:val="0"/>
          <w:numId w:val="46"/>
        </w:numPr>
      </w:pPr>
      <w:r>
        <w:rPr>
          <w:rFonts w:ascii="Aptos" w:hAnsi="Aptos" w:eastAsia="Aptos"/>
        </w:rPr>
        <w:t>Prepare FUT multi-employment scenarios and execute Plan A validation in early September.</w:t>
      </w:r>
    </w:p>
    <w:p>
      <w:pPr>
        <w:spacing w:before="0" w:after="160" w:line="280" w:lineRule="auto"/>
        <w:numPr>
          <w:ilvl w:val="0"/>
          <w:numId w:val="46"/>
        </w:numPr>
      </w:pPr>
      <w:r>
        <w:rPr>
          <w:rFonts w:ascii="Aptos" w:hAnsi="Aptos" w:eastAsia="Aptos"/>
        </w:rPr>
        <w:t>Finalize the Plan A / Plan B decision before October SIT.</w:t>
      </w:r>
    </w:p>
    <w:p>
      <w:pPr>
        <w:spacing w:before="0" w:after="160" w:line="280" w:lineRule="auto"/>
        <w:numPr>
          <w:ilvl w:val="0"/>
          <w:numId w:val="46"/>
        </w:numPr>
      </w:pPr>
      <w:r>
        <w:rPr>
          <w:rFonts w:ascii="Aptos" w:hAnsi="Aptos" w:eastAsia="Aptos"/>
        </w:rPr>
        <w:t>Confirm the Production FTSD and go-live date.</w:t>
      </w:r>
    </w:p>
    <w:p>
      <w:pPr>
        <w:spacing w:before="0" w:after="160" w:line="280" w:lineRule="auto"/>
        <w:numPr>
          <w:ilvl w:val="0"/>
          <w:numId w:val="46"/>
        </w:numPr>
      </w:pPr>
      <w:r>
        <w:rPr>
          <w:rFonts w:ascii="Aptos" w:hAnsi="Aptos" w:eastAsia="Aptos"/>
        </w:rPr>
        <w:t>Define the conversion Action Type, Action Reason and effective date.</w:t>
      </w:r>
    </w:p>
    <w:p>
      <w:pPr>
        <w:spacing w:before="0" w:after="160" w:line="280" w:lineRule="auto"/>
        <w:numPr>
          <w:ilvl w:val="0"/>
          <w:numId w:val="46"/>
        </w:numPr>
      </w:pPr>
      <w:r>
        <w:rPr>
          <w:rFonts w:ascii="Aptos" w:hAnsi="Aptos" w:eastAsia="Aptos"/>
        </w:rPr>
        <w:t>Prepare the cutover conversion population and validation plan.</w:t>
      </w:r>
    </w:p>
    <w:sectPr w:rsidR="00FC693F" w:rsidRPr="0006063C" w:rsidSect="00034616">
      <w:headerReference w:type="default" r:id="rId9"/>
      <w:footerReference w:type="default" r:id="rId10"/>
      <w:headerReference w:type="first" r:id="rId11"/>
      <w:footerReference w:type="first" r:id="rId12"/>
      <w:pgSz w:w="12240" w:h="15840"/>
      <w:pgMar w:top="1238" w:right="1469" w:bottom="1181" w:left="1469" w:header="605"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Aptos" w:hAnsi="Aptos" w:eastAsia="Aptos"/>
        <w:color w:val="667085"/>
        <w:sz w:val="16"/>
      </w:rPr>
      <w:t xml:space="preserve">DRAFT  |  VERSION 0.7  |  </w:t>
    </w:r>
    <w:r>
      <w:fldChar w:fldCharType="begin"/>
    </w:r>
    <w:r>
      <w:instrText xml:space="preserve">PAGE</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Aptos" w:hAnsi="Aptos" w:eastAsia="Aptos"/>
        <w:b/>
        <w:color w:val="667085"/>
        <w:sz w:val="16"/>
      </w:rPr>
      <w:t>BANK OF CANADA  |  PENSIONER REPLICATION INTEGRATION STRATEGY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multilevel"/>
    <w:lvl w:ilvl="0">
      <w:start w:val="1"/>
      <w:numFmt w:val="decimal"/>
      <w:lvlText w:val="%1."/>
      <w:suff w:val="space"/>
      <w:pStyle w:val="Heading1"/>
      <w:pPr>
        <w:tabs>
          <w:tab w:val="num" w:pos="0"/>
        </w:tabs>
        <w:ind w:left="0" w:hanging="0"/>
        <w:spacing w:before="0" w:after="160" w:line="240" w:lineRule="auto"/>
      </w:pPr>
    </w:lvl>
    <w:lvl w:ilvl="1">
      <w:start w:val="1"/>
      <w:lvlRestart w:val="1"/>
      <w:numFmt w:val="decimal"/>
      <w:lvlText w:val="%1.%2"/>
      <w:suff w:val="space"/>
      <w:pStyle w:val="Heading2"/>
      <w:pPr>
        <w:tabs>
          <w:tab w:val="num" w:pos="0"/>
        </w:tabs>
        <w:ind w:left="0" w:hanging="0"/>
        <w:spacing w:before="0" w:after="120" w:line="240" w:lineRule="auto"/>
      </w:pPr>
    </w:lvl>
    <w:lvl w:ilvl="2">
      <w:start w:val="1"/>
      <w:lvlRestart w:val="2"/>
      <w:numFmt w:val="decimal"/>
      <w:lvlText w:val="%1.%2.%3"/>
      <w:suff w:val="space"/>
      <w:pStyle w:val="Heading3"/>
      <w:pPr>
        <w:tabs>
          <w:tab w:val="num" w:pos="0"/>
        </w:tabs>
        <w:ind w:left="0" w:hanging="0"/>
        <w:spacing w:before="0" w:after="80" w:line="240" w:lineRule="auto"/>
      </w:pPr>
    </w:lvl>
  </w:abstractNum>
  <w:abstractNum w:abstractNumId="42">
    <w:multiLevelType w:val="multilevel"/>
    <w:lvl w:ilvl="0">
      <w:start w:val="1"/>
      <w:numFmt w:val="bullet"/>
      <w:lvlText w:val="•"/>
      <w:suff w:val="space"/>
      <w:pPr>
        <w:tabs>
          <w:tab w:val="num" w:pos="720"/>
        </w:tabs>
        <w:ind w:left="720" w:hanging="360"/>
        <w:spacing w:before="0" w:after="160" w:line="280" w:lineRule="auto"/>
      </w:pPr>
    </w:lvl>
    <w:lvl w:ilvl="1">
      <w:start w:val="1"/>
      <w:numFmt w:val="bullet"/>
      <w:lvlText w:val="o"/>
      <w:suff w:val="space"/>
      <w:pPr>
        <w:tabs>
          <w:tab w:val="num" w:pos="1080"/>
        </w:tabs>
        <w:ind w:left="1080" w:hanging="360"/>
        <w:spacing w:before="0" w:after="120" w:line="280" w:lineRule="auto"/>
      </w:pPr>
    </w:lvl>
  </w:abstractNum>
  <w:abstractNum w:abstractNumId="43">
    <w:multiLevelType w:val="multilevel"/>
    <w:lvl w:ilvl="0">
      <w:start w:val="1"/>
      <w:numFmt w:val="decimal"/>
      <w:lvlText w:val="%1."/>
      <w:suff w:val="space"/>
      <w:pPr>
        <w:tabs>
          <w:tab w:val="num" w:pos="720"/>
        </w:tabs>
        <w:ind w:left="720" w:hanging="360"/>
        <w:spacing w:before="0" w:after="160" w:line="280" w:lineRule="auto"/>
      </w:pPr>
    </w:lvl>
  </w:abstractNum>
  <w:num w:numId="41">
    <w:abstractNumId w:val="41"/>
  </w:num>
  <w:num w:numId="42">
    <w:abstractNumId w:val="42"/>
  </w:num>
  <w:num w:numId="43">
    <w:abstractNumId w:val="43"/>
  </w:num>
  <w:num w:numId="44">
    <w:abstractNumId w:val="43"/>
    <w:lvlOverride w:ilvl="0">
      <w:startOverride w:val="1"/>
    </w:lvlOverride>
  </w:num>
  <w:num w:numId="45">
    <w:abstractNumId w:val="43"/>
    <w:lvlOverride w:ilvl="0">
      <w:startOverride w:val="1"/>
    </w:lvlOverride>
  </w:num>
  <w:num w:numId="46">
    <w:abstractNumId w:val="4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40" w:line="274" w:lineRule="auto"/>
    </w:pPr>
    <w:rPr>
      <w:rFonts w:ascii="Aptos" w:hAnsi="Aptos" w:eastAsia="Aptos" w:cs="Aptos"/>
      <w:b w:val="0"/>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60" w:after="240" w:line="240" w:lineRule="auto"/>
      <w:outlineLvl w:val="0"/>
    </w:pPr>
    <w:rPr>
      <w:rFonts w:asciiTheme="majorHAnsi" w:eastAsiaTheme="majorEastAsia" w:hAnsiTheme="majorHAnsi" w:cstheme="majorBidi" w:ascii="Aptos Display" w:hAnsi="Aptos Display" w:eastAsia="Aptos" w:cs="Aptos"/>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440" w:after="240" w:line="240" w:lineRule="auto"/>
      <w:outlineLvl w:val="1"/>
    </w:pPr>
    <w:rPr>
      <w:rFonts w:asciiTheme="majorHAnsi" w:eastAsiaTheme="majorEastAsia" w:hAnsiTheme="majorHAnsi" w:cstheme="majorBidi" w:ascii="Aptos Display" w:hAnsi="Aptos Display" w:eastAsia="Aptos" w:cs="Aptos"/>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400" w:after="200" w:line="240" w:lineRule="auto"/>
      <w:outlineLvl w:val="2"/>
    </w:pPr>
    <w:rPr>
      <w:rFonts w:asciiTheme="majorHAnsi" w:eastAsiaTheme="majorEastAsia" w:hAnsiTheme="majorHAnsi" w:cstheme="majorBidi" w:ascii="Aptos Display" w:hAnsi="Aptos Display" w:eastAsia="Aptos" w:cs="Aptos"/>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Heading1"/>
    <w:pPr>
      <w:keepNext/>
      <w:spacing w:before="0" w:after="200"/>
    </w:pPr>
    <w:rPr>
      <w:rFonts w:ascii="Aptos" w:hAnsi="Aptos" w:eastAsia="Aptos" w:cs="Aptos"/>
      <w:b/>
      <w:color w:val="0B2545"/>
      <w:sz w:val="36"/>
    </w:rPr>
  </w:style>
  <w:style w:type="paragraph" w:customStyle="1" w:styleId="InputLabel">
    <w:name w:val="Input Label"/>
    <w:basedOn w:val="Normal"/>
    <w:pPr>
      <w:keepNext/>
      <w:spacing w:before="0" w:after="80"/>
    </w:pPr>
    <w:rPr>
      <w:rFonts w:ascii="Aptos" w:hAnsi="Aptos" w:eastAsia="Aptos" w:cs="Aptos"/>
      <w:b/>
      <w:color w:val="7A5A00"/>
      <w:sz w:val="19"/>
    </w:rPr>
  </w:style>
  <w:style w:type="paragraph" w:customStyle="1" w:styleId="ResponsePlaceholder">
    <w:name w:val="Response Placeholder"/>
    <w:basedOn w:val="Normal"/>
    <w:pPr>
      <w:spacing w:before="80" w:after="0"/>
    </w:pPr>
    <w:rPr>
      <w:rFonts w:ascii="Aptos" w:hAnsi="Aptos" w:eastAsia="Aptos" w:cs="Aptos"/>
      <w:b w:val="0"/>
      <w:i/>
      <w:color w:val="667085"/>
      <w:sz w:val="20"/>
    </w:rPr>
  </w:style>
  <w:style w:type="paragraph" w:customStyle="1" w:styleId="TableText">
    <w:name w:val="Table Text"/>
    <w:basedOn w:val="Normal"/>
    <w:pPr>
      <w:spacing w:before="0" w:after="20" w:line="252" w:lineRule="auto"/>
    </w:pPr>
    <w:rPr>
      <w:rFonts w:ascii="Aptos" w:hAnsi="Aptos" w:eastAsia="Aptos" w:cs="Aptos"/>
      <w:b w:val="0"/>
      <w:color w:val="111827"/>
      <w:sz w:val="18"/>
    </w:rPr>
  </w:style>
  <w:style w:type="paragraph" w:customStyle="1" w:styleId="TableHeader">
    <w:name w:val="Table Header"/>
    <w:basedOn w:val="TableText"/>
    <w:pPr>
      <w:keepNext/>
      <w:spacing w:after="0"/>
    </w:pPr>
    <w:rPr>
      <w:rFonts w:ascii="Aptos" w:hAnsi="Aptos" w:eastAsia="Aptos" w:cs="Aptos"/>
      <w:b/>
      <w:color w:val="0B2545"/>
      <w:sz w:val="18"/>
    </w:rPr>
  </w:style>
  <w:style w:type="paragraph" w:customStyle="1" w:styleId="PartTitle">
    <w:name w:val="Part Title"/>
    <w:basedOn w:val="Normal"/>
    <w:pPr>
      <w:keepLines/>
      <w:spacing w:before="0" w:after="280" w:line="240" w:lineRule="auto"/>
    </w:pPr>
    <w:rPr>
      <w:rFonts w:ascii="Aptos Display" w:hAnsi="Aptos Display"/>
      <w:b/>
      <w:color w:val="2E74B5"/>
      <w:sz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of Canada Pensioner Replication Integration Strategy</dc:title>
  <dc:subject>Phase 2 working draft</dc:subject>
  <dc:creator/>
  <cp:keywords>Bank of Canada; pensioner replication; Employee Central; CPI; BIB; S/4HANA HRM</cp:keywords>
  <dc:description>Version 0.7 clean draft with Aptos typography, an updateable table of contents and standalone divider pages for Parts I–V.</dc:description>
  <cp:lastModifiedBy/>
  <cp:revision>1</cp:revision>
  <dcterms:created xsi:type="dcterms:W3CDTF">2013-12-23T23:15:00Z</dcterms:created>
  <dcterms:modified xsi:type="dcterms:W3CDTF">2013-12-23T23:15:00Z</dcterms:modified>
  <cp:category/>
</cp:coreProperties>
</file>