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Statement — Checklist of Items for Reports of Observational Studies</w:t>
      </w:r>
    </w:p>
    <w:p>
      <w:pPr>
        <w:jc w:val="center"/>
      </w:pPr>
      <w:r>
        <w:rPr>
          <w:i/>
          <w:sz w:val="20"/>
        </w:rPr>
        <w:t>Manuscript: Association of KDIGO creatinine-based AKI staging with 30-day mortality in critically ill patients: a dual-cohort retrospective study with phenotype analysis and locked-model external validation (MIMIC-IV v3.1 and eICU-CRD)</w:t>
        <w:br/>
      </w:r>
    </w:p>
    <w:p>
      <w:pPr>
        <w:jc w:val="center"/>
      </w:pPr>
      <w:r>
        <w:rPr>
          <w:sz w:val="18"/>
        </w:rPr>
        <w:t>Completed by: Jiqiang Liu, Dengke Wu   |   Date: 2026-09-23</w:t>
      </w:r>
    </w:p>
    <w:p>
      <w:r>
        <w:t>Note: This study additionally complies with TRIPOD guidance for the locked-model external validation component (Model C transported without refitting), reported in Results (External Validation) and Table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4032"/>
        <w:gridCol w:w="4032"/>
        <w:gridCol w:w="720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STROBE Recommendation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Location in manuscript (section/paragraph/table/figure)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Page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Title and Abstract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4032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Indicate the study's design with a commonly used term in the title or in the abstract.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Title; Abstract (Design: retrospective dual-cohort study)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Introduction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4032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Explain the scientific background and rationale for the investigation being reported.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Introduction, paragraphs 1-3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State specific objectives, including any prespecified hypotheses.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Introduction, final paragraph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4032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Present key elements of study design early in the paper.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Methods, Study Design and Data Sources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Describe the setting, locations, and relevant dates, including periods of recruitment, exposure, follow-up, and data collection.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Methods, Study Design and Data Sources (MIMIC-IV 2008-2022; eICU-CRD 2014-2015)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(a) Cohorts: Give the eligibility criteria, and the sources and methods of selection of participants.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Methods, Cohort Construction; Results, Cohort Assembly (Figure 1)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Clearly define all outcomes, exposures, predictors, potential confounders, and effect modifiers.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Methods, Outcomes; KDIGO Staging; Covariates; Statistical Analysis (subgroups/interactions)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For each variable of interest, give sources of data and details of methods of assessment (measurement).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Methods, Data Sources; KDIGO Staging; Non-renal SOFA; Covariates (laboratory itemids, procedureevents, ICD codes)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Describe any efforts to address potential sources of bias.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 (patient-level cohorts, temporal windows, non-renal SOFA, hierarchical baseline, 24-h landmark); Discussion, Strengths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Explain how missing data were addressed.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Methods, Baseline Creatinine (hierarchy); Results, Cohort Assembly (exclusions for missing baseline/window creatinine); Table S1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Explain how quantitative variables were handled in the analyses. (If applicable, describe which groupings were chosen and why.)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 (age per decade; non-renal SOFA continuous; SOFA tertiles in subgroup analysis)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(a) Describe all statistical methods, including those used to control for confounding; (b) Describe any methods used to examine subgroups and interactions; (c) Explain how missing data were addressed; (d) If applicable, describe analytical methods taking account of sampling strategy; (e) Describe any sensitivity analyses.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Methods, Statistical Analysis (Cox models A/B/C, Schoenfeld PH tests, time-stratified Cox, locked-model external validation, subgroup/interaction tests, four sensitivity analyses: pre-admission baseline, eGFR-75 back-calculation, subgroups, transient vs persistent phenotype)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Results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4032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(a) Report numbers of individuals at each stage of study. Give reasons for non-participation at each stage. (b) Consider use of a flow diagram.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Results, Cohort Assembly; Figure 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(a) Give characteristics of study participants and information on exposures and potential confounders. (b) Indicate number of participants with missing data for each variable of interest.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Table 1; Table S1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Report numbers of outcome events or summary measures over time.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Results, Crude Mortality (stage-specific 30-day mortality); Figure 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(a) Give unadjusted estimates and, if applicable, confounder-adjusted estimates and their precision. (b) Report category boundaries when continuous variables were categorized. (c) If relevant, consider translating estimates of relative risk into absolute risk for a meaningful time period.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Table 2 (Models A/B/C HRs with 95% CIs); Table 3 (time-stratified HRs); Results (tertile absolute mortality 19.9/32.1/52.4%)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Report other analyses done - e.g., analyses of subgroups and interactions, and sensitivity analyses.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Results, Sensitivity Analyses; Figure S2; Tables S2-S4; Figure S3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Discussion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4032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Summarize key results with reference to study objectives.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Discussion, first paragraph (Key Findings)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Discuss limitations of the study, taking into account sources of potential bias or imprecision.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Discussion, Strengths and Limitations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Give a cautious overall interpretation of results considering objectives, limitations, multiplicity of analyses, results from similar studies, and other relevant evidence.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Discussion, paragraphs 2-7 (comparison with AKI-EPI, FINNAKI, Lin et al. CKJ 2025)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Discuss the generalisability (external validity) of the study results.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Discussion, locked-model external validation paragraph (C-index transport, cross-cohort HR ratio 1.00)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Other information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4032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Give the source of funding and the role of the funders for the present study.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Declarations, Funding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Describe the role of the study funders, if any, in study design; collection, analysis, and interpretation of data; writing of the report; and the decision to submit the report for publication.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Declarations, Funding (funders had no role)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