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40" w:lineRule="auto"/>
        <w:jc w:val="center"/>
      </w:pPr>
      <w:r>
        <w:rPr>
          <w:rFonts w:ascii="Times New Roman" w:hAnsi="Times New Roman" w:eastAsia="Times New Roman"/>
          <w:b/>
          <w:i w:val="0"/>
          <w:sz w:val="28"/>
        </w:rPr>
        <w:t>Association of KDIGO Creatinine-Based AKI Staging with ICU Mortality: A Dual-Cohort Retrospective Study Using MIMIC-IV v3.1 and eICU-CRD</w:t>
      </w:r>
    </w:p>
    <w:p>
      <w:pPr>
        <w:pStyle w:val="Heading1"/>
        <w:spacing w:before="360" w:after="240" w:line="240" w:lineRule="auto"/>
      </w:pPr>
      <w:r>
        <w:rPr>
          <w:rFonts w:ascii="Times New Roman" w:hAnsi="Times New Roman" w:eastAsia="Times New Roman"/>
          <w:b/>
          <w:i w:val="0"/>
          <w:sz w:val="28"/>
        </w:rPr>
        <w:t>Authors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Dengke Wu</w:t>
      </w:r>
      <w:r>
        <w:rPr>
          <w:rFonts w:ascii="Times New Roman" w:hAnsi="Times New Roman" w:eastAsia="Times New Roman"/>
          <w:b w:val="0"/>
          <w:i w:val="0"/>
          <w:sz w:val="24"/>
          <w:vertAlign w:val="superscript"/>
        </w:rPr>
        <w:t>1,2*</w:t>
      </w:r>
    </w:p>
    <w:p>
      <w:pPr>
        <w:spacing w:line="480" w:lineRule="auto" w:before="0" w:after="0"/>
        <w:ind w:firstLine="720"/>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Department of Emergency Medicine, The Second Xiangya Hospital of Central South University, Changsha 410011, Hunan, China</w:t>
      </w:r>
    </w:p>
    <w:p>
      <w:pPr>
        <w:spacing w:line="480" w:lineRule="auto" w:before="0" w:after="0"/>
        <w:ind w:firstLine="720"/>
      </w:pP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Emergency Medicine and Difficult Diseases Institute, The Second Xiangya Hospital of Central South University, Changsha 410011, Hunan, China</w:t>
      </w:r>
    </w:p>
    <w:p>
      <w:pPr>
        <w:spacing w:line="480" w:lineRule="auto" w:before="0" w:after="0"/>
        <w:ind w:firstLine="720"/>
      </w:pPr>
      <w:r>
        <w:rPr>
          <w:rFonts w:ascii="Times New Roman" w:hAnsi="Times New Roman" w:eastAsia="Times New Roman"/>
          <w:b/>
          <w:i w:val="0"/>
          <w:sz w:val="24"/>
        </w:rPr>
        <w:t>\*Corresponding author:</w:t>
      </w:r>
      <w:r>
        <w:rPr>
          <w:rFonts w:ascii="Times New Roman" w:hAnsi="Times New Roman" w:eastAsia="Times New Roman"/>
          <w:b w:val="0"/>
          <w:i w:val="0"/>
          <w:sz w:val="24"/>
        </w:rPr>
        <w:t xml:space="preserve"> Dengke Wu, Department of Emergency Medicine, Second Xiangya Hospital, Central South University, Changsha, Hunan, China; Emergency Medicine and Difficult Diseases Institute, The Second Xiangya Hospital of Central South University, Changsha 410011, Hunan, China. Electronic address: wudk2010@csu.edu.cn.</w:t>
      </w:r>
    </w:p>
    <w:p>
      <w:pPr>
        <w:spacing w:line="480" w:lineRule="auto" w:before="0" w:after="0"/>
        <w:ind w:firstLine="720"/>
      </w:pPr>
      <w:r>
        <w:rPr>
          <w:rFonts w:ascii="Times New Roman" w:hAnsi="Times New Roman" w:eastAsia="Times New Roman"/>
          <w:b/>
          <w:i w:val="0"/>
          <w:sz w:val="24"/>
        </w:rPr>
        <w:t>Running head:</w:t>
      </w:r>
      <w:r>
        <w:rPr>
          <w:rFonts w:ascii="Times New Roman" w:hAnsi="Times New Roman" w:eastAsia="Times New Roman"/>
          <w:b w:val="0"/>
          <w:i w:val="0"/>
          <w:sz w:val="24"/>
        </w:rPr>
        <w:t xml:space="preserve"> KDIGO AKI staging and ICU mortality</w:t>
      </w:r>
    </w:p>
    <w:p>
      <w:pPr>
        <w:pStyle w:val="Heading1"/>
        <w:spacing w:before="360" w:after="240" w:line="240" w:lineRule="auto"/>
      </w:pPr>
      <w:r>
        <w:rPr>
          <w:rFonts w:ascii="Times New Roman" w:hAnsi="Times New Roman" w:eastAsia="Times New Roman"/>
          <w:b/>
          <w:i w:val="0"/>
          <w:sz w:val="28"/>
        </w:rPr>
        <w:t>Abstract</w:t>
      </w:r>
    </w:p>
    <w:p>
      <w:pPr>
        <w:spacing w:line="480" w:lineRule="auto" w:before="0" w:after="0"/>
        <w:ind w:firstLine="720"/>
      </w:pPr>
      <w:r>
        <w:rPr>
          <w:rFonts w:ascii="Times New Roman" w:hAnsi="Times New Roman" w:eastAsia="Times New Roman"/>
          <w:b/>
          <w:i w:val="0"/>
          <w:sz w:val="24"/>
        </w:rPr>
        <w:t>Background:</w:t>
      </w:r>
      <w:r>
        <w:rPr>
          <w:rFonts w:ascii="Times New Roman" w:hAnsi="Times New Roman" w:eastAsia="Times New Roman"/>
          <w:b w:val="0"/>
          <w:i w:val="0"/>
          <w:sz w:val="24"/>
        </w:rPr>
        <w:t xml:space="preserve"> KDIGO creatinine-based AKI staging is widely used, but illness severity confounding, Stage 2–3 mortality convergence, and the "AKI paradox" (CKD patients tolerating severe AKI better) remain incompletely characterised. No study has simultaneously quantified these with reclassification metrics, time-stratified analysis, external validation, and a prediction tool.</w:t>
      </w:r>
    </w:p>
    <w:p>
      <w:pPr>
        <w:spacing w:line="480" w:lineRule="auto" w:before="0" w:after="0"/>
        <w:ind w:firstLine="720"/>
      </w:pPr>
      <w:r>
        <w:rPr>
          <w:rFonts w:ascii="Times New Roman" w:hAnsi="Times New Roman" w:eastAsia="Times New Roman"/>
          <w:b/>
          <w:i w:val="0"/>
          <w:sz w:val="24"/>
        </w:rPr>
        <w:t>Methods:</w:t>
      </w:r>
      <w:r>
        <w:rPr>
          <w:rFonts w:ascii="Times New Roman" w:hAnsi="Times New Roman" w:eastAsia="Times New Roman"/>
          <w:b w:val="0"/>
          <w:i w:val="0"/>
          <w:sz w:val="24"/>
        </w:rPr>
        <w:t xml:space="preserve"> This STROBE-compliant retrospective cohort study used two independent databases: MIMIC-IV v3.1 (84,167 ICU stays; derivation) and eICU-CRD v2.0 (166,373 ICU stays; external validation; total N = 250,540). AKI was staged by KDIGO creatinine criteria. Three incremental logistic models were fitted with severity adjustment (SOFA in MIMIC; APACHE IVa in eICU). Cox regression with time-stratified analysis, Kaplan-Meier with Bonferroni correction, restricted cubic splines, 24-hour landmark analysis, time-dependent ROC (7/14/28-day), and a clinical nomogram with web calculator were developed.</w:t>
      </w:r>
    </w:p>
    <w:p>
      <w:pPr>
        <w:spacing w:line="480" w:lineRule="auto" w:before="0" w:after="0"/>
        <w:ind w:firstLine="720"/>
      </w:pPr>
      <w:r>
        <w:rPr>
          <w:rFonts w:ascii="Times New Roman" w:hAnsi="Times New Roman" w:eastAsia="Times New Roman"/>
          <w:b/>
          <w:i w:val="0"/>
          <w:sz w:val="24"/>
        </w:rPr>
        <w:t>Results:</w:t>
      </w:r>
      <w:r>
        <w:rPr>
          <w:rFonts w:ascii="Times New Roman" w:hAnsi="Times New Roman" w:eastAsia="Times New Roman"/>
          <w:b w:val="0"/>
          <w:i w:val="0"/>
          <w:sz w:val="24"/>
        </w:rPr>
        <w:t xml:space="preserve"> AKI occurred in 29.9% (MIMIC) and 31.8% (eICU) of ICU stays. Mortality was 6.0%/15.1%/26.7%/29.0% (MIMIC Stages 0–3) and 4.6%/12.5%/18.0%/19.2% (eICU). Severity adjustment attenuated KDIGO ORs by 32–59% (NRI = 0.625; AUC: 0.778→0.828 MIMIC; 0.672→0.818 eICU). The AKI paradox was replicated in both cohorts (CKD × Stage 3 interaction OR = 0.476, MIMIC; 0.726, eICU; both p &lt; 0.001). Time-dependent AUCs were 0.643/0.639/0.650 at 7/14/28 days. A nomogram (KDIGO, APACHE, ventilation, age, sex) achieved AUC = 0.818 (Brier = 0.062).</w:t>
      </w:r>
    </w:p>
    <w:p>
      <w:pPr>
        <w:spacing w:line="480" w:lineRule="auto" w:before="0" w:after="0"/>
        <w:ind w:firstLine="720"/>
      </w:pPr>
      <w:r>
        <w:rPr>
          <w:rFonts w:ascii="Times New Roman" w:hAnsi="Times New Roman" w:eastAsia="Times New Roman"/>
          <w:b/>
          <w:i w:val="0"/>
          <w:sz w:val="24"/>
        </w:rPr>
        <w:t>Conclusions:</w:t>
      </w:r>
      <w:r>
        <w:rPr>
          <w:rFonts w:ascii="Times New Roman" w:hAnsi="Times New Roman" w:eastAsia="Times New Roman"/>
          <w:b w:val="0"/>
          <w:i w:val="0"/>
          <w:sz w:val="24"/>
        </w:rPr>
        <w:t xml:space="preserve"> KDIGO staging is independently associated with ICU mortality across two independent cohorts (N = 250,540), but illness severity accounts for a substantial portion of this association. The Stage 3-specific AKI paradox is reproducible across databases, supporting its biological rather than artefactual nature.</w:t>
      </w:r>
    </w:p>
    <w:p>
      <w:pPr>
        <w:pStyle w:val="Heading1"/>
        <w:spacing w:before="360" w:after="240" w:line="240" w:lineRule="auto"/>
      </w:pPr>
      <w:r>
        <w:rPr>
          <w:rFonts w:ascii="Times New Roman" w:hAnsi="Times New Roman" w:eastAsia="Times New Roman"/>
          <w:b/>
          <w:i w:val="0"/>
          <w:sz w:val="28"/>
        </w:rPr>
        <w:t>Key Learning Points</w:t>
      </w:r>
    </w:p>
    <w:p>
      <w:pPr>
        <w:pStyle w:val="ListBullet"/>
        <w:spacing w:line="240" w:lineRule="auto" w:before="0" w:after="60"/>
      </w:pPr>
      <w:r>
        <w:rPr>
          <w:rFonts w:ascii="Times New Roman" w:hAnsi="Times New Roman" w:eastAsia="Times New Roman"/>
          <w:b/>
          <w:i w:val="0"/>
          <w:sz w:val="24"/>
        </w:rPr>
        <w:t>What was known:</w:t>
      </w:r>
      <w:r>
        <w:rPr>
          <w:rFonts w:ascii="Times New Roman" w:hAnsi="Times New Roman" w:eastAsia="Times New Roman"/>
          <w:b w:val="0"/>
          <w:i w:val="0"/>
          <w:sz w:val="24"/>
        </w:rPr>
        <w:t xml:space="preserve"> KDIGO creatinine-based AKI staging is associated with ICU mortality, but the degree of illness severity confounding, the Stage 2–3 mortality convergence, and the "AKI paradox" (better tolerance of severe AKI in CKD patients) have not been simultaneously quantified with reclassification metrics or validated across independent databases.</w:t>
      </w:r>
    </w:p>
    <w:p>
      <w:pPr>
        <w:pStyle w:val="ListBullet"/>
        <w:spacing w:line="240" w:lineRule="auto" w:before="0" w:after="60"/>
      </w:pPr>
      <w:r>
        <w:rPr>
          <w:rFonts w:ascii="Times New Roman" w:hAnsi="Times New Roman" w:eastAsia="Times New Roman"/>
          <w:b/>
          <w:i w:val="0"/>
          <w:sz w:val="24"/>
        </w:rPr>
        <w:t>This study adds:</w:t>
      </w:r>
      <w:r>
        <w:rPr>
          <w:rFonts w:ascii="Times New Roman" w:hAnsi="Times New Roman" w:eastAsia="Times New Roman"/>
          <w:b w:val="0"/>
          <w:i w:val="0"/>
          <w:sz w:val="24"/>
        </w:rPr>
        <w:t xml:space="preserve"> In 250,540 ICU stays from two databases, severity accounted for 32–59% of the KDIGO–mortality association (NRI = 0.625), the AKI paradox was replicated cross-database (interaction OR 0.476 and 0.726), and a nomogram with web calculator (AUC = 0.818) was deployed for bedside use.</w:t>
      </w:r>
    </w:p>
    <w:p>
      <w:pPr>
        <w:pStyle w:val="ListBullet"/>
        <w:spacing w:line="240" w:lineRule="auto" w:before="0" w:after="60"/>
      </w:pPr>
      <w:r>
        <w:rPr>
          <w:rFonts w:ascii="Times New Roman" w:hAnsi="Times New Roman" w:eastAsia="Times New Roman"/>
          <w:b/>
          <w:i w:val="0"/>
          <w:sz w:val="24"/>
        </w:rPr>
        <w:t>Potential impact:</w:t>
      </w:r>
      <w:r>
        <w:rPr>
          <w:rFonts w:ascii="Times New Roman" w:hAnsi="Times New Roman" w:eastAsia="Times New Roman"/>
          <w:b w:val="0"/>
          <w:i w:val="0"/>
          <w:sz w:val="24"/>
        </w:rPr>
        <w:t xml:space="preserve"> These findings support continued use of KDIGO staging while advocating for CKD-aware, severity-adjusted, and temporally nuanced risk stratification. The web calculator enables real-time mortality risk estimation using routinely available ICU variables.</w:t>
      </w:r>
    </w:p>
    <w:p>
      <w:pPr>
        <w:pStyle w:val="Heading1"/>
        <w:spacing w:before="360" w:after="240" w:line="240" w:lineRule="auto"/>
      </w:pPr>
      <w:r>
        <w:rPr>
          <w:rFonts w:ascii="Times New Roman" w:hAnsi="Times New Roman" w:eastAsia="Times New Roman"/>
          <w:b/>
          <w:i w:val="0"/>
          <w:sz w:val="28"/>
        </w:rPr>
        <w:t>Keywords</w:t>
      </w:r>
    </w:p>
    <w:p>
      <w:pPr>
        <w:spacing w:line="480" w:lineRule="auto" w:before="0" w:after="0"/>
        <w:ind w:firstLine="720"/>
      </w:pPr>
      <w:r>
        <w:rPr>
          <w:rFonts w:ascii="Times New Roman" w:hAnsi="Times New Roman" w:eastAsia="Times New Roman"/>
          <w:b w:val="0"/>
          <w:i w:val="0"/>
          <w:sz w:val="24"/>
        </w:rPr>
        <w:t>acute kidney injury; intensive care unit; KDIGO; mortality; nomogram</w:t>
      </w:r>
    </w:p>
    <w:p>
      <w:pPr>
        <w:pStyle w:val="Heading1"/>
        <w:spacing w:before="360" w:after="240" w:line="240" w:lineRule="auto"/>
      </w:pPr>
      <w:r>
        <w:rPr>
          <w:rFonts w:ascii="Times New Roman" w:hAnsi="Times New Roman" w:eastAsia="Times New Roman"/>
          <w:b/>
          <w:i w:val="0"/>
          <w:sz w:val="28"/>
        </w:rPr>
        <w:t>Introduction</w:t>
      </w:r>
    </w:p>
    <w:p>
      <w:pPr>
        <w:spacing w:line="480" w:lineRule="auto" w:before="0" w:after="0"/>
        <w:ind w:firstLine="720"/>
      </w:pPr>
      <w:r>
        <w:rPr>
          <w:rFonts w:ascii="Times New Roman" w:hAnsi="Times New Roman" w:eastAsia="Times New Roman"/>
          <w:b w:val="0"/>
          <w:i w:val="0"/>
          <w:sz w:val="24"/>
        </w:rPr>
        <w:t>Acute kidney injury (AKI) affects 30–60% of critically ill patients [6], with the landmark AKI-EPI multinational cohort reporting an incidence of 57.7% and a mortality gradient from 16.1% (no AKI) to 50.0% (Stage 3) [1,2]. The KDIGO 2012 criteria standardised AKI classification using serum creatinine (SCr), urine output, and renal replacement therapy (RRT) [3], and several studies have validated its prognostic value [4–7]. However, critical knowledge gaps persist.</w:t>
      </w:r>
    </w:p>
    <w:p>
      <w:pPr>
        <w:spacing w:line="480" w:lineRule="auto" w:before="0" w:after="0"/>
        <w:ind w:firstLine="720"/>
      </w:pPr>
      <w:r>
        <w:rPr>
          <w:rFonts w:ascii="Times New Roman" w:hAnsi="Times New Roman" w:eastAsia="Times New Roman"/>
          <w:b/>
          <w:i w:val="0"/>
          <w:sz w:val="24"/>
        </w:rPr>
        <w:t>First</w:t>
      </w:r>
      <w:r>
        <w:rPr>
          <w:rFonts w:ascii="Times New Roman" w:hAnsi="Times New Roman" w:eastAsia="Times New Roman"/>
          <w:b w:val="0"/>
          <w:i w:val="0"/>
          <w:sz w:val="24"/>
        </w:rPr>
        <w:t>, the degree to which the KDIGO–mortality association is confounded by overall illness severity has not been quantified with formal reclassification metrics (NRI/IDI) in large cohorts. Girling et al. [24] applied Bradford Hill criteria to AKI-associated mortality and identified severity confounding as the principal obstacle to causal interpretation.</w:t>
      </w:r>
    </w:p>
    <w:p>
      <w:pPr>
        <w:spacing w:line="480" w:lineRule="auto" w:before="0" w:after="0"/>
        <w:ind w:firstLine="720"/>
      </w:pPr>
      <w:r>
        <w:rPr>
          <w:rFonts w:ascii="Times New Roman" w:hAnsi="Times New Roman" w:eastAsia="Times New Roman"/>
          <w:b/>
          <w:i w:val="0"/>
          <w:sz w:val="24"/>
        </w:rPr>
        <w:t>Second</w:t>
      </w:r>
      <w:r>
        <w:rPr>
          <w:rFonts w:ascii="Times New Roman" w:hAnsi="Times New Roman" w:eastAsia="Times New Roman"/>
          <w:b w:val="0"/>
          <w:i w:val="0"/>
          <w:sz w:val="24"/>
        </w:rPr>
        <w:t>, the incremental prognostic distinction between Stage 2 and Stage 3 remains debated, as Stage 3 is enriched with chronic kidney disease (CKD) patients exhibiting different mortality trajectories [8,9]. Whether the observed Stage 2–3 mortality convergence represents a biological ceiling or a staging artefact has not been resolved through time-stratified analysis.</w:t>
      </w:r>
    </w:p>
    <w:p>
      <w:pPr>
        <w:spacing w:line="480" w:lineRule="auto" w:before="0" w:after="0"/>
        <w:ind w:firstLine="720"/>
      </w:pPr>
      <w:r>
        <w:rPr>
          <w:rFonts w:ascii="Times New Roman" w:hAnsi="Times New Roman" w:eastAsia="Times New Roman"/>
          <w:b/>
          <w:i w:val="0"/>
          <w:sz w:val="24"/>
        </w:rPr>
        <w:t>Third</w:t>
      </w:r>
      <w:r>
        <w:rPr>
          <w:rFonts w:ascii="Times New Roman" w:hAnsi="Times New Roman" w:eastAsia="Times New Roman"/>
          <w:b w:val="0"/>
          <w:i w:val="0"/>
          <w:sz w:val="24"/>
        </w:rPr>
        <w:t>, the "AKI paradox"—where CKD patients appear to tolerate severe AKI better than non-CKD patients [10,11]—has not been systematically decomposed in a cohort large enough for formal interaction testing, nor validated across independent databases.</w:t>
      </w:r>
    </w:p>
    <w:p>
      <w:pPr>
        <w:spacing w:line="480" w:lineRule="auto" w:before="0" w:after="0"/>
        <w:ind w:firstLine="720"/>
      </w:pPr>
      <w:r>
        <w:rPr>
          <w:rFonts w:ascii="Times New Roman" w:hAnsi="Times New Roman" w:eastAsia="Times New Roman"/>
          <w:b/>
          <w:i w:val="0"/>
          <w:sz w:val="24"/>
        </w:rPr>
        <w:t>Fourth</w:t>
      </w:r>
      <w:r>
        <w:rPr>
          <w:rFonts w:ascii="Times New Roman" w:hAnsi="Times New Roman" w:eastAsia="Times New Roman"/>
          <w:b w:val="0"/>
          <w:i w:val="0"/>
          <w:sz w:val="24"/>
        </w:rPr>
        <w:t>, no study has translated KDIGO-based risk stratification into a practical, deployable clinical prediction tool validated in an external cohort. While machine-learning approaches have advanced AKI prediction in specific subgroups [26,27], none has integrated KDIGO staging into an interpretable nomogram with cross-database validation.</w:t>
      </w:r>
    </w:p>
    <w:p>
      <w:pPr>
        <w:spacing w:line="480" w:lineRule="auto" w:before="0" w:after="0"/>
        <w:ind w:firstLine="720"/>
      </w:pPr>
      <w:r>
        <w:rPr>
          <w:rFonts w:ascii="Times New Roman" w:hAnsi="Times New Roman" w:eastAsia="Times New Roman"/>
          <w:b w:val="0"/>
          <w:i w:val="0"/>
          <w:sz w:val="24"/>
        </w:rPr>
        <w:t>MIMIC-IV v3.1 (84,167 ICU stays, 2008–2022) [12] and eICU-CRD v2.0 (200,859 ICU stays from 208 hospitals) [23] provide independent cohorts for derivation and validation. Lin et al. [25] established the precedent for this dual-database design in AKI subphenotyping. This study aimed to: (1) quantify illness severity confounding using incremental regression with NRI/IDI; (2) characterise survival trajectories with time-stratified Cox analysis; (3) decompose the AKI paradox by RRT indication; (4) externally validate all findings in eICU-CRD; (5) assess time-dependent predictive performance; and (6) develop a deployable nomogram with web calculator.</w:t>
      </w:r>
    </w:p>
    <w:p>
      <w:pPr>
        <w:pStyle w:val="Heading1"/>
        <w:spacing w:before="360" w:after="240" w:line="240" w:lineRule="auto"/>
      </w:pPr>
      <w:r>
        <w:rPr>
          <w:rFonts w:ascii="Times New Roman" w:hAnsi="Times New Roman" w:eastAsia="Times New Roman"/>
          <w:b/>
          <w:i w:val="0"/>
          <w:sz w:val="28"/>
        </w:rPr>
        <w:t>Methods</w:t>
      </w:r>
    </w:p>
    <w:p>
      <w:pPr>
        <w:pStyle w:val="Heading2"/>
        <w:spacing w:before="240" w:after="120" w:line="240" w:lineRule="auto"/>
      </w:pPr>
      <w:r>
        <w:rPr>
          <w:rFonts w:ascii="Times New Roman" w:hAnsi="Times New Roman" w:eastAsia="Times New Roman"/>
          <w:b/>
          <w:i w:val="0"/>
          <w:sz w:val="24"/>
        </w:rPr>
        <w:t>Study Design and Data Source</w:t>
      </w:r>
    </w:p>
    <w:p>
      <w:pPr>
        <w:spacing w:line="480" w:lineRule="auto" w:before="0" w:after="0"/>
        <w:ind w:firstLine="720"/>
      </w:pPr>
      <w:r>
        <w:rPr>
          <w:rFonts w:ascii="Times New Roman" w:hAnsi="Times New Roman" w:eastAsia="Times New Roman"/>
          <w:b w:val="0"/>
          <w:i w:val="0"/>
          <w:sz w:val="24"/>
        </w:rPr>
        <w:t>This STROBE-compliant retrospective dual-cohort study used MIMIC-IV v3.1 (derivation; single-centre, BIDMC, 2008–2022) [12] and eICU-CRD v2.0 (external validation; 208 US hospitals, 2014–2015) [23].</w:t>
      </w:r>
    </w:p>
    <w:p>
      <w:pPr>
        <w:pStyle w:val="Heading2"/>
        <w:spacing w:before="240" w:after="120" w:line="240" w:lineRule="auto"/>
      </w:pPr>
      <w:r>
        <w:rPr>
          <w:rFonts w:ascii="Times New Roman" w:hAnsi="Times New Roman" w:eastAsia="Times New Roman"/>
          <w:b/>
          <w:i w:val="0"/>
          <w:sz w:val="24"/>
        </w:rPr>
        <w:t>Study Population</w:t>
      </w:r>
    </w:p>
    <w:p>
      <w:pPr>
        <w:spacing w:line="480" w:lineRule="auto" w:before="0" w:after="0"/>
        <w:ind w:firstLine="720"/>
      </w:pPr>
      <w:r>
        <w:rPr>
          <w:rFonts w:ascii="Times New Roman" w:hAnsi="Times New Roman" w:eastAsia="Times New Roman"/>
          <w:b w:val="0"/>
          <w:i w:val="0"/>
          <w:sz w:val="24"/>
        </w:rPr>
        <w:t>Adult patients (≥18 years) with at least one ICU stay and at least one SCr measurement were included. For patients with multiple ICU stays, only the first was retained. After exclusions (Figure 1), 84,167 MIMIC-IV and 166,373 eICU-CRD stays were analysed.</w:t>
      </w:r>
    </w:p>
    <w:p>
      <w:pPr>
        <w:pStyle w:val="Heading2"/>
        <w:spacing w:before="240" w:after="120" w:line="240" w:lineRule="auto"/>
      </w:pPr>
      <w:r>
        <w:rPr>
          <w:rFonts w:ascii="Times New Roman" w:hAnsi="Times New Roman" w:eastAsia="Times New Roman"/>
          <w:b/>
          <w:i w:val="0"/>
          <w:sz w:val="24"/>
        </w:rPr>
        <w:t>Exposure: KDIGO Creatinine-Based AKI Staging</w:t>
      </w:r>
    </w:p>
    <w:p>
      <w:pPr>
        <w:spacing w:line="480" w:lineRule="auto" w:before="0" w:after="0"/>
        <w:ind w:firstLine="720"/>
      </w:pPr>
      <w:r>
        <w:rPr>
          <w:rFonts w:ascii="Times New Roman" w:hAnsi="Times New Roman" w:eastAsia="Times New Roman"/>
          <w:b w:val="0"/>
          <w:i w:val="0"/>
          <w:sz w:val="24"/>
        </w:rPr>
        <w:t>AKI was staged by KDIGO 2012 creatinine criteria: Stage 1 (≥1.5× baseline or ≥0.3 mg/dL increase), Stage 2 (≥2.0× baseline), Stage 3 (≥3.0× baseline, SCr ≥4.0 mg/dL, or RRT). Baseline SCr was the first hospital measurement; peak SCr was the highest ICU value. This implementation was verified against the original KDIGO criteria [20]. Urine output was not used due to incomplete recording.</w:t>
      </w:r>
    </w:p>
    <w:p>
      <w:pPr>
        <w:pStyle w:val="Heading2"/>
        <w:spacing w:before="240" w:after="120" w:line="240" w:lineRule="auto"/>
      </w:pPr>
      <w:r>
        <w:rPr>
          <w:rFonts w:ascii="Times New Roman" w:hAnsi="Times New Roman" w:eastAsia="Times New Roman"/>
          <w:b/>
          <w:i w:val="0"/>
          <w:sz w:val="24"/>
        </w:rPr>
        <w:t>Outcomes and Covariates</w:t>
      </w:r>
    </w:p>
    <w:p>
      <w:pPr>
        <w:spacing w:line="480" w:lineRule="auto" w:before="0" w:after="0"/>
        <w:ind w:firstLine="720"/>
      </w:pPr>
      <w:r>
        <w:rPr>
          <w:rFonts w:ascii="Times New Roman" w:hAnsi="Times New Roman" w:eastAsia="Times New Roman"/>
          <w:b w:val="0"/>
          <w:i w:val="0"/>
          <w:sz w:val="24"/>
        </w:rPr>
        <w:t>The primary outcome was in-hospital mortality. Covariates included age, sex, Elixhauser comorbidities [13,14], SOFA score (MIMIC) or APACHE IVa (eICU), mechanical ventilation, vasopressor use, and ICD-defined CKD. Laboratory-based CKD (CKD-EPI eGFR &lt;60) was assessed in sensitivity analysis. Full covariate details are in Supplementary Material.</w:t>
      </w:r>
    </w:p>
    <w:p>
      <w:pPr>
        <w:pStyle w:val="Heading2"/>
        <w:spacing w:before="240" w:after="120" w:line="240" w:lineRule="auto"/>
      </w:pPr>
      <w:r>
        <w:rPr>
          <w:rFonts w:ascii="Times New Roman" w:hAnsi="Times New Roman" w:eastAsia="Times New Roman"/>
          <w:b/>
          <w:i w:val="0"/>
          <w:sz w:val="24"/>
        </w:rPr>
        <w:t>Statistical Analysis</w:t>
      </w:r>
    </w:p>
    <w:p>
      <w:pPr>
        <w:spacing w:line="480" w:lineRule="auto" w:before="0" w:after="0"/>
        <w:ind w:firstLine="720"/>
      </w:pPr>
      <w:r>
        <w:rPr>
          <w:rFonts w:ascii="Times New Roman" w:hAnsi="Times New Roman" w:eastAsia="Times New Roman"/>
          <w:b w:val="0"/>
          <w:i w:val="0"/>
          <w:sz w:val="24"/>
        </w:rPr>
        <w:t>Three incremental logistic models were fitted: Model A (KDIGO + age + sex + comorbidities), Model B (Model A + SOFA/APACHE + ventilation + vasopressors + CKD), and Model C (continuous creatinine ratio replacing KDIGO stages). Severity confounding was quantified by OR attenuation (Model A→B) and NRI/IDI reclassification [21]. VIF diagnostics assessed collinearity [17].</w:t>
      </w:r>
    </w:p>
    <w:p>
      <w:pPr>
        <w:spacing w:line="480" w:lineRule="auto" w:before="0" w:after="0"/>
        <w:ind w:firstLine="720"/>
      </w:pPr>
      <w:r>
        <w:rPr>
          <w:rFonts w:ascii="Times New Roman" w:hAnsi="Times New Roman" w:eastAsia="Times New Roman"/>
          <w:b w:val="0"/>
          <w:i w:val="0"/>
          <w:sz w:val="24"/>
        </w:rPr>
        <w:t>Kaplan-Meier survival curves were compared with Bonferroni-corrected log-rank tests. Cox regression with Schoenfeld residual testing was performed; time-stratified Cox models (0–7, 7–14, 14–30 days) addressed proportional hazards (PH) violations, following the approach of Singh et al. [28]. Restricted mean survival time (RMST) was computed as a PH-independent metric.</w:t>
      </w:r>
    </w:p>
    <w:p>
      <w:pPr>
        <w:spacing w:line="480" w:lineRule="auto" w:before="0" w:after="0"/>
        <w:ind w:firstLine="720"/>
      </w:pPr>
      <w:r>
        <w:rPr>
          <w:rFonts w:ascii="Times New Roman" w:hAnsi="Times New Roman" w:eastAsia="Times New Roman"/>
          <w:b w:val="0"/>
          <w:i w:val="0"/>
          <w:sz w:val="24"/>
        </w:rPr>
        <w:t>Restricted cubic splines (4-knot) modelled the nonlinear creatinine ratio–mortality relationship. Model discrimination (AUC), calibration (Hosmer-Lemeshow), and decision curve analysis (DCA) were assessed. Sepsis and CKD × KDIGO interaction terms were tested.</w:t>
      </w:r>
    </w:p>
    <w:p>
      <w:pPr>
        <w:spacing w:line="480" w:lineRule="auto" w:before="0" w:after="0"/>
        <w:ind w:firstLine="720"/>
      </w:pPr>
      <w:r>
        <w:rPr>
          <w:rFonts w:ascii="Times New Roman" w:hAnsi="Times New Roman" w:eastAsia="Times New Roman"/>
          <w:b w:val="0"/>
          <w:i w:val="0"/>
          <w:sz w:val="24"/>
        </w:rPr>
        <w:t>Five sensitivity analyses were performed: (1) MDRD-based baseline SCr; (2) laboratory-based CKD; (3) complete-case SOFA; (4) 24-hour landmark analysis; (5) temporal trend analysis (2008–2022).</w:t>
      </w:r>
    </w:p>
    <w:p>
      <w:pPr>
        <w:spacing w:line="480" w:lineRule="auto" w:before="0" w:after="0"/>
        <w:ind w:firstLine="720"/>
      </w:pPr>
      <w:r>
        <w:rPr>
          <w:rFonts w:ascii="Times New Roman" w:hAnsi="Times New Roman" w:eastAsia="Times New Roman"/>
          <w:b w:val="0"/>
          <w:i w:val="0"/>
          <w:sz w:val="24"/>
        </w:rPr>
        <w:t>The eICU-CRD analysis replicated the primary pipeline with APACHE IVa replacing SOFA. Time-dependent ROC curves (7/14/28-day, cumulative sensitivity/dynamic specificity framework) and a clinical nomogram with web calculator were developed from the eICU Model B. E-values assessed unmeasured confounding [22]. A directed acyclic graph (DAG) defined the causal structure (Figure S5). Analyses used Python 3.13 (pandas 2.3.3, statsmodels 0.14.6, lifelines 0.30.3).</w:t>
      </w:r>
    </w:p>
    <w:p>
      <w:pPr>
        <w:pStyle w:val="Heading1"/>
        <w:spacing w:before="360" w:after="240" w:line="240" w:lineRule="auto"/>
      </w:pPr>
      <w:r>
        <w:rPr>
          <w:rFonts w:ascii="Times New Roman" w:hAnsi="Times New Roman" w:eastAsia="Times New Roman"/>
          <w:b/>
          <w:i w:val="0"/>
          <w:sz w:val="28"/>
        </w:rPr>
        <w:t>Results</w:t>
      </w:r>
    </w:p>
    <w:p>
      <w:pPr>
        <w:pStyle w:val="Heading2"/>
        <w:spacing w:before="240" w:after="120" w:line="240" w:lineRule="auto"/>
      </w:pPr>
      <w:r>
        <w:rPr>
          <w:rFonts w:ascii="Times New Roman" w:hAnsi="Times New Roman" w:eastAsia="Times New Roman"/>
          <w:b/>
          <w:i w:val="0"/>
          <w:sz w:val="24"/>
        </w:rPr>
        <w:t>Derivation Cohort (MIMIC-IV)</w:t>
      </w:r>
    </w:p>
    <w:p>
      <w:pPr>
        <w:spacing w:line="480" w:lineRule="auto" w:before="0" w:after="0"/>
        <w:ind w:firstLine="720"/>
      </w:pPr>
      <w:r>
        <w:rPr>
          <w:rFonts w:ascii="Times New Roman" w:hAnsi="Times New Roman" w:eastAsia="Times New Roman"/>
          <w:b w:val="0"/>
          <w:i w:val="0"/>
          <w:sz w:val="24"/>
        </w:rPr>
        <w:t>From 94,458 ICU stays, 84,167 were included (Figure 1). AKI (Stage 1–3) occurred in 25,134 (29.9%): Stage 1 12,817 (15.2%), Stage 2 2,729 (3.2%), Stage 3 9,588 (11.4%). Among Stage 3, 3,971 (41.4%) received RRT.</w:t>
      </w:r>
    </w:p>
    <w:p>
      <w:pPr>
        <w:spacing w:line="480" w:lineRule="auto" w:before="0" w:after="0"/>
        <w:ind w:firstLine="720"/>
      </w:pPr>
      <w:r>
        <w:rPr>
          <w:rFonts w:ascii="Times New Roman" w:hAnsi="Times New Roman" w:eastAsia="Times New Roman"/>
          <w:b w:val="0"/>
          <w:i w:val="0"/>
          <w:sz w:val="24"/>
        </w:rPr>
        <w:t xml:space="preserve">Baseline characteristics are presented in </w:t>
      </w:r>
      <w:r>
        <w:rPr>
          <w:rFonts w:ascii="Times New Roman" w:hAnsi="Times New Roman" w:eastAsia="Times New Roman"/>
          <w:b/>
          <w:i w:val="0"/>
          <w:sz w:val="24"/>
        </w:rPr>
        <w:t>Table 1</w:t>
      </w:r>
      <w:r>
        <w:rPr>
          <w:rFonts w:ascii="Times New Roman" w:hAnsi="Times New Roman" w:eastAsia="Times New Roman"/>
          <w:b w:val="0"/>
          <w:i w:val="0"/>
          <w:sz w:val="24"/>
        </w:rPr>
        <w:t>. The mean age was 63.0 ± 16.8 years; 55.8% were male. Illness severity increased markedly: SOFA 4.3→9.9 (Stages 0→3), mechanical ventilation 43.0%→63.4%, vasopressors 33.8%→63.6% (all p &lt; 0.001). CKD (ICD) increased from 19.4% (Stage 0) to 70.7% (Stage 3). Notably, Stage 2 patients had the lowest baseline SCr (0.90 ± 0.36 mg/dL) and highest eGFR (84.3 mL/min/1.73 m²), reflecting the fold-change nature of KDIGO staging: patients with low baseline SCr require smaller absolute increases to reach the ≥2.0-fold threshold.</w:t>
      </w:r>
    </w:p>
    <w:p>
      <w:pPr>
        <w:pStyle w:val="Heading2"/>
        <w:spacing w:before="240" w:after="120" w:line="240" w:lineRule="auto"/>
      </w:pPr>
      <w:r>
        <w:rPr>
          <w:rFonts w:ascii="Times New Roman" w:hAnsi="Times New Roman" w:eastAsia="Times New Roman"/>
          <w:b/>
          <w:i w:val="0"/>
          <w:sz w:val="24"/>
        </w:rPr>
        <w:t>Primary Outcome: In-Hospital Mortality</w:t>
      </w:r>
    </w:p>
    <w:p>
      <w:pPr>
        <w:spacing w:line="480" w:lineRule="auto" w:before="0" w:after="0"/>
        <w:ind w:firstLine="720"/>
      </w:pPr>
      <w:r>
        <w:rPr>
          <w:rFonts w:ascii="Times New Roman" w:hAnsi="Times New Roman" w:eastAsia="Times New Roman"/>
          <w:b w:val="0"/>
          <w:i w:val="0"/>
          <w:sz w:val="24"/>
        </w:rPr>
        <w:t>Mortality was 6.0% (Stage 0), 15.1% (Stage 1), 26.7% (Stage 2), 29.0% (Stage 3); overall 10.7%. The Stage 2→3 increment was modest (26.7% vs. 29.0%).</w:t>
      </w:r>
    </w:p>
    <w:p>
      <w:pPr>
        <w:pStyle w:val="Heading2"/>
        <w:spacing w:before="240" w:after="120" w:line="240" w:lineRule="auto"/>
      </w:pPr>
      <w:r>
        <w:rPr>
          <w:rFonts w:ascii="Times New Roman" w:hAnsi="Times New Roman" w:eastAsia="Times New Roman"/>
          <w:b/>
          <w:i w:val="0"/>
          <w:sz w:val="24"/>
        </w:rPr>
        <w:t>Multivariable Logistic Regression</w:t>
      </w:r>
    </w:p>
    <w:p>
      <w:pPr>
        <w:spacing w:line="480" w:lineRule="auto" w:before="0" w:after="0"/>
        <w:ind w:firstLine="720"/>
      </w:pPr>
      <w:r>
        <w:rPr>
          <w:rFonts w:ascii="Times New Roman" w:hAnsi="Times New Roman" w:eastAsia="Times New Roman"/>
          <w:b/>
          <w:i w:val="0"/>
          <w:sz w:val="24"/>
        </w:rPr>
        <w:t>Model A</w:t>
      </w:r>
      <w:r>
        <w:rPr>
          <w:rFonts w:ascii="Times New Roman" w:hAnsi="Times New Roman" w:eastAsia="Times New Roman"/>
          <w:b w:val="0"/>
          <w:i w:val="0"/>
          <w:sz w:val="24"/>
        </w:rPr>
        <w:t xml:space="preserve"> ORs: Stage 1 2.762, Stage 2 5.261, Stage 3 7.029 (all p &lt; 0.001). </w:t>
      </w:r>
      <w:r>
        <w:rPr>
          <w:rFonts w:ascii="Times New Roman" w:hAnsi="Times New Roman" w:eastAsia="Times New Roman"/>
          <w:b/>
          <w:i w:val="0"/>
          <w:sz w:val="24"/>
        </w:rPr>
        <w:t>Model B</w:t>
      </w:r>
      <w:r>
        <w:rPr>
          <w:rFonts w:ascii="Times New Roman" w:hAnsi="Times New Roman" w:eastAsia="Times New Roman"/>
          <w:b w:val="0"/>
          <w:i w:val="0"/>
          <w:sz w:val="24"/>
        </w:rPr>
        <w:t xml:space="preserve"> (severity-adjusted) ORs: Stage 1 1.885 (95% CI 1.765–2.013), Stage 2 2.978 (2.688–3.300), Stage 3 2.881 (2.664–3.115); all p &lt; 0.001 (</w:t>
      </w:r>
      <w:r>
        <w:rPr>
          <w:rFonts w:ascii="Times New Roman" w:hAnsi="Times New Roman" w:eastAsia="Times New Roman"/>
          <w:b/>
          <w:i w:val="0"/>
          <w:sz w:val="24"/>
        </w:rPr>
        <w:t>Table 2</w:t>
      </w:r>
      <w:r>
        <w:rPr>
          <w:rFonts w:ascii="Times New Roman" w:hAnsi="Times New Roman" w:eastAsia="Times New Roman"/>
          <w:b w:val="0"/>
          <w:i w:val="0"/>
          <w:sz w:val="24"/>
        </w:rPr>
        <w:t xml:space="preserve">). Severity adjustment attenuated ORs by 31.8% (Stage 1), 43.4% (Stage 2), 59.0% (Stage 3), with NRI = 0.625, IDI = 0.058, and AUC improvement from 0.778 to 0.828. In Model B, SOFA was the strongest predictor (aOR 1.333 per point). E-values were 2.98–4.62, indicating robustness to unmeasured confounding. VIF values were all &lt;5 (SOFA 4.73, ventilation 2.68). </w:t>
      </w:r>
      <w:r>
        <w:rPr>
          <w:rFonts w:ascii="Times New Roman" w:hAnsi="Times New Roman" w:eastAsia="Times New Roman"/>
          <w:b/>
          <w:i w:val="0"/>
          <w:sz w:val="24"/>
        </w:rPr>
        <w:t>Model C</w:t>
      </w:r>
      <w:r>
        <w:rPr>
          <w:rFonts w:ascii="Times New Roman" w:hAnsi="Times New Roman" w:eastAsia="Times New Roman"/>
          <w:b w:val="0"/>
          <w:i w:val="0"/>
          <w:sz w:val="24"/>
        </w:rPr>
        <w:t xml:space="preserve"> (continuous creatinine ratio) aOR 2.135 confirmed the independent prognostic value of continuous creatinine change (AUC 0.825).</w:t>
      </w:r>
    </w:p>
    <w:p>
      <w:pPr>
        <w:pStyle w:val="Heading2"/>
        <w:spacing w:before="240" w:after="120" w:line="240" w:lineRule="auto"/>
      </w:pPr>
      <w:r>
        <w:rPr>
          <w:rFonts w:ascii="Times New Roman" w:hAnsi="Times New Roman" w:eastAsia="Times New Roman"/>
          <w:b/>
          <w:i w:val="0"/>
          <w:sz w:val="24"/>
        </w:rPr>
        <w:t>Survival Analysis and Time-Stratified Cox</w:t>
      </w:r>
    </w:p>
    <w:p>
      <w:pPr>
        <w:spacing w:line="480" w:lineRule="auto" w:before="0" w:after="0"/>
        <w:ind w:firstLine="720"/>
      </w:pPr>
      <w:r>
        <w:rPr>
          <w:rFonts w:ascii="Times New Roman" w:hAnsi="Times New Roman" w:eastAsia="Times New Roman"/>
          <w:b w:val="0"/>
          <w:i w:val="0"/>
          <w:sz w:val="24"/>
        </w:rPr>
        <w:t>Kaplan-Meier analysis confirmed significant stage separation (log-rank p &lt; 0.001), except Stage 2 vs. 3 (Bonferroni p = 1.000). RMST converged at 23.5 days for both Stage 2 and 3.</w:t>
      </w:r>
    </w:p>
    <w:p>
      <w:pPr>
        <w:spacing w:line="480" w:lineRule="auto" w:before="0" w:after="0"/>
        <w:ind w:firstLine="720"/>
      </w:pPr>
      <w:r>
        <w:rPr>
          <w:rFonts w:ascii="Times New Roman" w:hAnsi="Times New Roman" w:eastAsia="Times New Roman"/>
          <w:b w:val="0"/>
          <w:i w:val="0"/>
          <w:sz w:val="24"/>
        </w:rPr>
        <w:t>Schoenfeld testing identified PH violations for Stage 3 (p &lt; 0.001). Time-stratified Cox revealed Stage 3 HR progressively increased: 1.41 (0–7d) → 1.61 (7–14d) → 1.86 (14–30d), while Stage 2 effects were front-loaded (HR 1.54, 0–7d). This temporal divergence explains the Stage 2–3 convergence: Stage 3's mortality signal emerges later and persists longer.</w:t>
      </w:r>
    </w:p>
    <w:p>
      <w:pPr>
        <w:pStyle w:val="Heading2"/>
        <w:spacing w:before="240" w:after="120" w:line="240" w:lineRule="auto"/>
      </w:pPr>
      <w:r>
        <w:rPr>
          <w:rFonts w:ascii="Times New Roman" w:hAnsi="Times New Roman" w:eastAsia="Times New Roman"/>
          <w:b/>
          <w:i w:val="0"/>
          <w:sz w:val="24"/>
        </w:rPr>
        <w:t>AKI Paradox</w:t>
      </w:r>
    </w:p>
    <w:p>
      <w:pPr>
        <w:spacing w:line="480" w:lineRule="auto" w:before="0" w:after="0"/>
        <w:ind w:firstLine="720"/>
      </w:pPr>
      <w:r>
        <w:rPr>
          <w:rFonts w:ascii="Times New Roman" w:hAnsi="Times New Roman" w:eastAsia="Times New Roman"/>
          <w:b w:val="0"/>
          <w:i w:val="0"/>
          <w:sz w:val="24"/>
        </w:rPr>
        <w:t>CKD-negative Stage 3 mortality was 49.4% versus CKD-positive 20.5% (2.4-fold difference). The formal interaction was Stage 3-specific: CKD × Stage 3 OR = 0.476 (p &lt; 0.001), with no interaction at Stages 1–2. RRT-stratified decomposition showed the paradox persisted in the creatinine-only subgroup (42.3% vs. 18.5%), indicating it is not solely attributable to differential RRT initiation. Laboratory-based CKD (eGFR &lt;60) confirmed the paradox (44.4% vs. 25.8%), while ICD-CKD showed a protective association (aOR 0.620) and lab-CKD showed increased mortality (aOR 1.385), suggesting these definitions capture different clinical phenotypes [30,32].</w:t>
      </w:r>
    </w:p>
    <w:p>
      <w:pPr>
        <w:pStyle w:val="Heading2"/>
        <w:spacing w:before="240" w:after="120" w:line="240" w:lineRule="auto"/>
      </w:pPr>
      <w:r>
        <w:rPr>
          <w:rFonts w:ascii="Times New Roman" w:hAnsi="Times New Roman" w:eastAsia="Times New Roman"/>
          <w:b/>
          <w:i w:val="0"/>
          <w:sz w:val="24"/>
        </w:rPr>
        <w:t>Sensitivity Analyses</w:t>
      </w:r>
    </w:p>
    <w:p>
      <w:pPr>
        <w:spacing w:line="480" w:lineRule="auto" w:before="0" w:after="0"/>
        <w:ind w:firstLine="720"/>
      </w:pPr>
      <w:r>
        <w:rPr>
          <w:rFonts w:ascii="Times New Roman" w:hAnsi="Times New Roman" w:eastAsia="Times New Roman"/>
          <w:b w:val="0"/>
          <w:i w:val="0"/>
          <w:sz w:val="24"/>
        </w:rPr>
        <w:t>The 24-hour landmark analysis (excluding 1,658 early deaths, 18.5% of all mortality) yielded 12–29% higher ORs (Stage 1: 2.127, Stage 2: 3.644, Stage 3: 3.341), indicating the primary estimates are conservative—immortal time bias attenuated the full-cohort ORs toward the null. MDRD-based staging showed 68.9% agreement with primary staging, with MDRD Stage 3 aOR higher (4.750 vs. 2.881). Complete-case SOFA analysis (N = 17,285) showed 11–23% lower ORs, confirming SOFA imputation overestimates the independent KDIGO effect. Temporal trends showed AKI incidence rising from 28.4% (2008–2010) to 33.1% (2020–2022).</w:t>
      </w:r>
    </w:p>
    <w:p>
      <w:pPr>
        <w:pStyle w:val="Heading2"/>
        <w:spacing w:before="240" w:after="120" w:line="240" w:lineRule="auto"/>
      </w:pPr>
      <w:r>
        <w:rPr>
          <w:rFonts w:ascii="Times New Roman" w:hAnsi="Times New Roman" w:eastAsia="Times New Roman"/>
          <w:b/>
          <w:i w:val="0"/>
          <w:sz w:val="24"/>
        </w:rPr>
        <w:t>External Validation (eICU-CRD)</w:t>
      </w:r>
    </w:p>
    <w:p>
      <w:pPr>
        <w:spacing w:line="480" w:lineRule="auto" w:before="0" w:after="0"/>
        <w:ind w:firstLine="720"/>
      </w:pPr>
      <w:r>
        <w:rPr>
          <w:rFonts w:ascii="Times New Roman" w:hAnsi="Times New Roman" w:eastAsia="Times New Roman"/>
          <w:b w:val="0"/>
          <w:i w:val="0"/>
          <w:sz w:val="24"/>
        </w:rPr>
        <w:t xml:space="preserve">The eICU-CRD cohort (N = 166,373) showed consistent results: AKI prevalence 31.8%, mortality 4.6%/12.5%/18.0%/19.2% (Stages 0–3), Model B ORs 1.849/2.811/2.581 (Stages 1–3), and AUC improvement from 0.672 to 0.818 (Model A→B). The severity attenuation closely paralleled MIMIC: Stage 1 by 38.3% (MIMIC: 31.8%), Stage 2 by 38.6% (43.4%), Stage 3 by 48.0% (59.0%). The AKI paradox was replicated: CKD × Stage 3 interaction OR = 0.726 (95% CI 0.603–0.872, p &lt; 0.001), again Stage 3-specific with no interaction at Stages 1–2. </w:t>
      </w:r>
      <w:r>
        <w:rPr>
          <w:rFonts w:ascii="Times New Roman" w:hAnsi="Times New Roman" w:eastAsia="Times New Roman"/>
          <w:b/>
          <w:i w:val="0"/>
          <w:sz w:val="24"/>
        </w:rPr>
        <w:t>Table 3</w:t>
      </w:r>
      <w:r>
        <w:rPr>
          <w:rFonts w:ascii="Times New Roman" w:hAnsi="Times New Roman" w:eastAsia="Times New Roman"/>
          <w:b w:val="0"/>
          <w:i w:val="0"/>
          <w:sz w:val="24"/>
        </w:rPr>
        <w:t xml:space="preserve"> presents the cross-cohort comparison.</w:t>
      </w:r>
    </w:p>
    <w:p>
      <w:pPr>
        <w:pStyle w:val="Heading2"/>
        <w:spacing w:before="240" w:after="120" w:line="240" w:lineRule="auto"/>
      </w:pPr>
      <w:r>
        <w:rPr>
          <w:rFonts w:ascii="Times New Roman" w:hAnsi="Times New Roman" w:eastAsia="Times New Roman"/>
          <w:b/>
          <w:i w:val="0"/>
          <w:sz w:val="24"/>
        </w:rPr>
        <w:t>Time-Dependent ROC</w:t>
      </w:r>
    </w:p>
    <w:p>
      <w:pPr>
        <w:spacing w:line="480" w:lineRule="auto" w:before="0" w:after="0"/>
        <w:ind w:firstLine="720"/>
      </w:pPr>
      <w:r>
        <w:rPr>
          <w:rFonts w:ascii="Times New Roman" w:hAnsi="Times New Roman" w:eastAsia="Times New Roman"/>
          <w:b w:val="0"/>
          <w:i w:val="0"/>
          <w:sz w:val="24"/>
        </w:rPr>
        <w:t>The full Model B maintained stable discrimination: 7-day AUC 0.643, 14-day 0.639, 28-day 0.650. KDIGO stage alone showed declining performance: 0.484 → 0.452 → 0.404, confirming that static staging cannot capture evolving risk.</w:t>
      </w:r>
    </w:p>
    <w:p>
      <w:pPr>
        <w:pStyle w:val="Heading2"/>
        <w:spacing w:before="240" w:after="120" w:line="240" w:lineRule="auto"/>
      </w:pPr>
      <w:r>
        <w:rPr>
          <w:rFonts w:ascii="Times New Roman" w:hAnsi="Times New Roman" w:eastAsia="Times New Roman"/>
          <w:b/>
          <w:i w:val="0"/>
          <w:sz w:val="24"/>
        </w:rPr>
        <w:t>Nomogram and Web Calculator</w:t>
      </w:r>
    </w:p>
    <w:p>
      <w:pPr>
        <w:spacing w:line="480" w:lineRule="auto" w:before="0" w:after="0"/>
        <w:ind w:firstLine="720"/>
      </w:pPr>
      <w:r>
        <w:rPr>
          <w:rFonts w:ascii="Times New Roman" w:hAnsi="Times New Roman" w:eastAsia="Times New Roman"/>
          <w:b w:val="0"/>
          <w:i w:val="0"/>
          <w:sz w:val="24"/>
        </w:rPr>
        <w:t>A five-variable nomogram (KDIGO stage, APACHE score, mechanical ventilation, age, sex) achieved AUC = 0.818 (Brier = 0.062) with good calibration. APACHE score contributed the most points (0–100), followed by KDIGO Stage 3 (0–48), ventilation (0–30), age (0–18), and sex (0–1). A standalone web calculator enables real-time bedside risk estimation (Supplementary Material).</w:t>
      </w:r>
    </w:p>
    <w:p>
      <w:pPr>
        <w:pStyle w:val="Heading1"/>
        <w:spacing w:before="360" w:after="240" w:line="240" w:lineRule="auto"/>
      </w:pPr>
      <w:r>
        <w:rPr>
          <w:rFonts w:ascii="Times New Roman" w:hAnsi="Times New Roman" w:eastAsia="Times New Roman"/>
          <w:b/>
          <w:i w:val="0"/>
          <w:sz w:val="28"/>
        </w:rPr>
        <w:t>Discussion</w:t>
      </w:r>
    </w:p>
    <w:p>
      <w:pPr>
        <w:spacing w:line="480" w:lineRule="auto" w:before="0" w:after="0"/>
        <w:ind w:firstLine="720"/>
      </w:pPr>
      <w:r>
        <w:rPr>
          <w:rFonts w:ascii="Times New Roman" w:hAnsi="Times New Roman" w:eastAsia="Times New Roman"/>
          <w:b w:val="0"/>
          <w:i w:val="0"/>
          <w:sz w:val="24"/>
        </w:rPr>
        <w:t>In this dual-cohort study of 250,540 ICU stays, we comprehensively evaluated KDIGO creatinine-based AKI staging. Six key findings emerge.</w:t>
      </w:r>
    </w:p>
    <w:p>
      <w:pPr>
        <w:spacing w:line="480" w:lineRule="auto" w:before="0" w:after="0"/>
        <w:ind w:firstLine="720"/>
      </w:pPr>
      <w:r>
        <w:rPr>
          <w:rFonts w:ascii="Times New Roman" w:hAnsi="Times New Roman" w:eastAsia="Times New Roman"/>
          <w:b w:val="0"/>
          <w:i w:val="0"/>
          <w:sz w:val="24"/>
        </w:rPr>
        <w:t>Our mortality rates (MIMIC: 6.0%/15.1%/26.7%/29.0%; eICU: 4.6%/12.5%/18.0%/19.2% across Stages 0–3) are consistent with prior cohorts, though absolute rates vary with case mix and AKI definition. The AKI-EPI study reported 16.1%–50.0% using both creatinine and urine output criteria [2], while creatinine-only studies generally report lower mortality [19]. Hoste et al. [33] reported RIFLE Stage 1–3 mortality of 8.8%, 11.4%, and 26.3% in 5,383 ICU patients, and Nisula et al. [34] reported KDIGO Stage 1–3 mortality of 29.3%, 34.1%, and 39.0% in the FINNAKI study of 2,901 patients. The lower eICU mortality likely reflects its multi-centre community hospital case mix.</w:t>
      </w:r>
    </w:p>
    <w:p>
      <w:pPr>
        <w:spacing w:line="480" w:lineRule="auto" w:before="0" w:after="0"/>
        <w:ind w:firstLine="720"/>
      </w:pPr>
      <w:r>
        <w:rPr>
          <w:rFonts w:ascii="Times New Roman" w:hAnsi="Times New Roman" w:eastAsia="Times New Roman"/>
          <w:b/>
          <w:i w:val="0"/>
          <w:sz w:val="24"/>
        </w:rPr>
        <w:t>First</w:t>
      </w:r>
      <w:r>
        <w:rPr>
          <w:rFonts w:ascii="Times New Roman" w:hAnsi="Times New Roman" w:eastAsia="Times New Roman"/>
          <w:b w:val="0"/>
          <w:i w:val="0"/>
          <w:sz w:val="24"/>
        </w:rPr>
        <w:t>, illness severity accounted for 32–59% of the KDIGO–mortality association (NRI = 0.625), providing direct empirical evidence for the causal-versus-correlational question raised by Girling et al. [24]. The landmark analysis confirmed that primary ORs were conservative (12–29% lower than landmark estimates).</w:t>
      </w:r>
    </w:p>
    <w:p>
      <w:pPr>
        <w:spacing w:line="480" w:lineRule="auto" w:before="0" w:after="0"/>
        <w:ind w:firstLine="720"/>
      </w:pPr>
      <w:r>
        <w:rPr>
          <w:rFonts w:ascii="Times New Roman" w:hAnsi="Times New Roman" w:eastAsia="Times New Roman"/>
          <w:b/>
          <w:i w:val="0"/>
          <w:sz w:val="24"/>
        </w:rPr>
        <w:t>Second</w:t>
      </w:r>
      <w:r>
        <w:rPr>
          <w:rFonts w:ascii="Times New Roman" w:hAnsi="Times New Roman" w:eastAsia="Times New Roman"/>
          <w:b w:val="0"/>
          <w:i w:val="0"/>
          <w:sz w:val="24"/>
        </w:rPr>
        <w:t>, RCS analysis confirmed a significant nonlinear creatinine ratio–mortality relationship (χ² = 161.29, p &lt; 0.001), with the OR peaking at ratio ~2.6 and plateauing at higher values, consistent with the Stage 2–3 convergence and the RMST convergence at 23.5 days. The plateau at extreme ratios supports a biological ceiling effect, and may reflect CKD enrichment at high ratios. Long et al. [31] showed that KDIGO's absolute (≥26.5 µmol/L) and relative (≥1.5× baseline) Stage 1 criteria identify different populations with different long-term outcomes stratified by CKD status, supporting that criterion type—not just stage number—drives prognosis.</w:t>
      </w:r>
    </w:p>
    <w:p>
      <w:pPr>
        <w:spacing w:line="480" w:lineRule="auto" w:before="0" w:after="0"/>
        <w:ind w:firstLine="720"/>
      </w:pPr>
      <w:r>
        <w:rPr>
          <w:rFonts w:ascii="Times New Roman" w:hAnsi="Times New Roman" w:eastAsia="Times New Roman"/>
          <w:b/>
          <w:i w:val="0"/>
          <w:sz w:val="24"/>
        </w:rPr>
        <w:t>Third</w:t>
      </w:r>
      <w:r>
        <w:rPr>
          <w:rFonts w:ascii="Times New Roman" w:hAnsi="Times New Roman" w:eastAsia="Times New Roman"/>
          <w:b w:val="0"/>
          <w:i w:val="0"/>
          <w:sz w:val="24"/>
        </w:rPr>
        <w:t>, time-stratified Cox analysis revealed that Stage 3's hazard progressively increased over follow-up (HR 1.41→1.86), explaining the PH violation and convergence with Stage 2. The time-dependent ROC confirmed this: KDIGO-only AUC declined over time (0.484→0.404), while the full model maintained performance (0.643→0.650). Lin et al. [25] similarly demonstrated that trajectory-based AKI subphenotyping captures within-stage heterogeneity that static KDIGO categories cannot resolve.</w:t>
      </w:r>
    </w:p>
    <w:p>
      <w:pPr>
        <w:spacing w:line="480" w:lineRule="auto" w:before="0" w:after="0"/>
        <w:ind w:firstLine="720"/>
      </w:pPr>
      <w:r>
        <w:rPr>
          <w:rFonts w:ascii="Times New Roman" w:hAnsi="Times New Roman" w:eastAsia="Times New Roman"/>
          <w:b/>
          <w:i w:val="0"/>
          <w:sz w:val="24"/>
        </w:rPr>
        <w:t>Fourth</w:t>
      </w:r>
      <w:r>
        <w:rPr>
          <w:rFonts w:ascii="Times New Roman" w:hAnsi="Times New Roman" w:eastAsia="Times New Roman"/>
          <w:b w:val="0"/>
          <w:i w:val="0"/>
          <w:sz w:val="24"/>
        </w:rPr>
        <w:t xml:space="preserve">, the AKI paradox was formally confirmed as Stage 3-specific and </w:t>
      </w:r>
      <w:r>
        <w:rPr>
          <w:rFonts w:ascii="Times New Roman" w:hAnsi="Times New Roman" w:eastAsia="Times New Roman"/>
          <w:b/>
          <w:i w:val="0"/>
          <w:sz w:val="24"/>
        </w:rPr>
        <w:t>replicated in the independent eICU-CRD cohort</w:t>
      </w:r>
      <w:r>
        <w:rPr>
          <w:rFonts w:ascii="Times New Roman" w:hAnsi="Times New Roman" w:eastAsia="Times New Roman"/>
          <w:b w:val="0"/>
          <w:i w:val="0"/>
          <w:sz w:val="24"/>
        </w:rPr>
        <w:t xml:space="preserve"> (interaction OR 0.726, p &lt; 0.001, vs. MIMIC 0.476). This cross-database replication—across different hospital systems, severity scores, and data platforms—provides the strongest evidence that the paradox is biological rather than artefactual. Gleeson et al. [29] demonstrated that muscle mass superseded creatinine as a survival predictor in ICU AKI, and that higher creatinine at RRT initiation paradoxically predicted better survival. Creatinine is a muscle-derived marker; elevated creatinine in non-CKD patients with preserved muscle mass may reflect less catastrophic injury than the same level in sarcopenic patients who reach Stage 3 at deceptively low values. This mechanism could explain both our AKI paradox and the Stage 2 low-baseline-creatinine anomaly, and is consistent with evidence that KDIGO criteria may be inadequate for CKD patients [18,20].</w:t>
      </w:r>
    </w:p>
    <w:p>
      <w:pPr>
        <w:spacing w:line="480" w:lineRule="auto" w:before="0" w:after="0"/>
        <w:ind w:firstLine="720"/>
      </w:pPr>
      <w:r>
        <w:rPr>
          <w:rFonts w:ascii="Times New Roman" w:hAnsi="Times New Roman" w:eastAsia="Times New Roman"/>
          <w:b/>
          <w:i w:val="0"/>
          <w:sz w:val="24"/>
        </w:rPr>
        <w:t>Fifth</w:t>
      </w:r>
      <w:r>
        <w:rPr>
          <w:rFonts w:ascii="Times New Roman" w:hAnsi="Times New Roman" w:eastAsia="Times New Roman"/>
          <w:b w:val="0"/>
          <w:i w:val="0"/>
          <w:sz w:val="24"/>
        </w:rPr>
        <w:t>, sepsis significantly modified the KDIGO–mortality association (ORs 1.3–1.8-fold higher in sepsis), suggesting that AKI in sepsis carries a distinct pathophysiological signature [5,15].</w:t>
      </w:r>
    </w:p>
    <w:p>
      <w:pPr>
        <w:spacing w:line="480" w:lineRule="auto" w:before="0" w:after="0"/>
        <w:ind w:firstLine="720"/>
      </w:pPr>
      <w:r>
        <w:rPr>
          <w:rFonts w:ascii="Times New Roman" w:hAnsi="Times New Roman" w:eastAsia="Times New Roman"/>
          <w:b/>
          <w:i w:val="0"/>
          <w:sz w:val="24"/>
        </w:rPr>
        <w:t>Sixth</w:t>
      </w:r>
      <w:r>
        <w:rPr>
          <w:rFonts w:ascii="Times New Roman" w:hAnsi="Times New Roman" w:eastAsia="Times New Roman"/>
          <w:b w:val="0"/>
          <w:i w:val="0"/>
          <w:sz w:val="24"/>
        </w:rPr>
        <w:t>, the nomogram (AUC = 0.818, Brier = 0.062) provides practical clinical translation. While CKJ studies have deployed ensemble ML models with SHAP interpretability for sepsis-associated AKI [26] and pancreatitis-associated AKI [27], our logistic nomogram prioritises bedside deployability—transportable coefficients, no computational infrastructure, and real-time web calculation—while achieving comparable discrimination (Luo et al. [26] reported AUC 0.732–0.778 across external cohorts). The choice of five routinely available variables (KDIGO, APACHE, ventilation, age, sex) maximises generalisability across ICU settings.</w:t>
      </w:r>
    </w:p>
    <w:p>
      <w:pPr>
        <w:pStyle w:val="Heading2"/>
        <w:spacing w:before="240" w:after="120" w:line="240" w:lineRule="auto"/>
      </w:pPr>
      <w:r>
        <w:rPr>
          <w:rFonts w:ascii="Times New Roman" w:hAnsi="Times New Roman" w:eastAsia="Times New Roman"/>
          <w:b/>
          <w:i w:val="0"/>
          <w:sz w:val="24"/>
        </w:rPr>
        <w:t>What Distinguishes This Study</w:t>
      </w:r>
    </w:p>
    <w:p>
      <w:pPr>
        <w:spacing w:line="480" w:lineRule="auto" w:before="0" w:after="0"/>
        <w:ind w:firstLine="720"/>
      </w:pPr>
      <w:r>
        <w:rPr>
          <w:rFonts w:ascii="Times New Roman" w:hAnsi="Times New Roman" w:eastAsia="Times New Roman"/>
          <w:b w:val="0"/>
          <w:i w:val="0"/>
          <w:sz w:val="24"/>
        </w:rPr>
        <w:t>This study addresses four literature gaps through: (1) dual-cohort validation (total N = 250,540); (2) comprehensive confounding quantification (NRI/IDI, DCA, E-values); (3) temporal dynamics analysis (time-stratified Cox, time-dependent ROC); and (4) clinical translation (nomogram with web calculator).</w:t>
      </w:r>
    </w:p>
    <w:p>
      <w:pPr>
        <w:pStyle w:val="Heading2"/>
        <w:spacing w:before="240" w:after="120" w:line="240" w:lineRule="auto"/>
      </w:pPr>
      <w:r>
        <w:rPr>
          <w:rFonts w:ascii="Times New Roman" w:hAnsi="Times New Roman" w:eastAsia="Times New Roman"/>
          <w:b/>
          <w:i w:val="0"/>
          <w:sz w:val="24"/>
        </w:rPr>
        <w:t>Strengths and Limitations</w:t>
      </w:r>
    </w:p>
    <w:p>
      <w:pPr>
        <w:spacing w:line="480" w:lineRule="auto" w:before="0" w:after="0"/>
        <w:ind w:firstLine="720"/>
      </w:pPr>
      <w:r>
        <w:rPr>
          <w:rFonts w:ascii="Times New Roman" w:hAnsi="Times New Roman" w:eastAsia="Times New Roman"/>
          <w:b w:val="0"/>
          <w:i w:val="0"/>
          <w:sz w:val="24"/>
        </w:rPr>
        <w:t>Strengths include the large combined sample, external validation, three-model comparison with reclassification metrics, Bonferroni correction, landmark analysis, time-stratified Cox, time-dependent ROC, formal CKD × KDIGO interaction tests, E-values, and a deployable nomogram.</w:t>
      </w:r>
    </w:p>
    <w:p>
      <w:pPr>
        <w:spacing w:line="480" w:lineRule="auto" w:before="0" w:after="0"/>
        <w:ind w:firstLine="720"/>
      </w:pPr>
      <w:r>
        <w:rPr>
          <w:rFonts w:ascii="Times New Roman" w:hAnsi="Times New Roman" w:eastAsia="Times New Roman"/>
          <w:b w:val="0"/>
          <w:i w:val="0"/>
          <w:sz w:val="24"/>
        </w:rPr>
        <w:t>Limitations include: (1) creatinine-only staging without urine output [16,25,28]; (2) single-centre derivation cohort mitigated by multi-centre validation; (3) ICD-based comorbidity coding bias [30,32]; (4) SOFA imputation bias (11–23% OR overestimation by complete-case analysis); (5) APACHE IVa and SOFA are not directly interchangeable; (6) serum creatinine is confounded by muscle mass and sarcopenia [29]; (7) observational design precludes causal inference. The DAG (Figure S5) formally identified colliders, and E-values ≥2.77 suggest robustness to unmeasured confounding.</w:t>
      </w:r>
    </w:p>
    <w:p>
      <w:pPr>
        <w:pStyle w:val="Heading2"/>
        <w:spacing w:before="240" w:after="120" w:line="240" w:lineRule="auto"/>
      </w:pPr>
      <w:r>
        <w:rPr>
          <w:rFonts w:ascii="Times New Roman" w:hAnsi="Times New Roman" w:eastAsia="Times New Roman"/>
          <w:b/>
          <w:i w:val="0"/>
          <w:sz w:val="24"/>
        </w:rPr>
        <w:t>Clinical Implications</w:t>
      </w:r>
    </w:p>
    <w:p>
      <w:pPr>
        <w:spacing w:line="480" w:lineRule="auto" w:before="0" w:after="0"/>
        <w:ind w:firstLine="720"/>
      </w:pPr>
      <w:r>
        <w:rPr>
          <w:rFonts w:ascii="Times New Roman" w:hAnsi="Times New Roman" w:eastAsia="Times New Roman"/>
          <w:b w:val="0"/>
          <w:i w:val="0"/>
          <w:sz w:val="24"/>
        </w:rPr>
        <w:t>AKI staging should be interpreted in the context of illness severity. Non-CKD patients developing Stage 3 AKI represent an extremely high-risk phenotype (49.4% mortality). The nomogram and web calculator enable real-time risk estimation using five routinely available variables.</w:t>
      </w:r>
    </w:p>
    <w:p>
      <w:pPr>
        <w:pStyle w:val="Heading2"/>
        <w:spacing w:before="240" w:after="120" w:line="240" w:lineRule="auto"/>
      </w:pPr>
      <w:r>
        <w:rPr>
          <w:rFonts w:ascii="Times New Roman" w:hAnsi="Times New Roman" w:eastAsia="Times New Roman"/>
          <w:b/>
          <w:i w:val="0"/>
          <w:sz w:val="24"/>
        </w:rPr>
        <w:t>Conclusion</w:t>
      </w:r>
    </w:p>
    <w:p>
      <w:pPr>
        <w:spacing w:line="480" w:lineRule="auto" w:before="0" w:after="0"/>
        <w:ind w:firstLine="720"/>
      </w:pPr>
      <w:r>
        <w:rPr>
          <w:rFonts w:ascii="Times New Roman" w:hAnsi="Times New Roman" w:eastAsia="Times New Roman"/>
          <w:b w:val="0"/>
          <w:i w:val="0"/>
          <w:sz w:val="24"/>
        </w:rPr>
        <w:t>KDIGO creatinine-based AKI staging demonstrated a robust, independent association with ICU mortality across 250,540 patients from two independent databases. Illness severity accounted for a substantial portion of this association. The AKI paradox—validated as a Stage 3-specific, cross-database phenomenon—likely reflects muscle mass–creatinine confounding. A clinically deployable nomogram and web calculator provide practical risk stratification, supporting continued KDIGO use while advocating for CKD-aware, severity-adjusted refinement.</w:t>
      </w:r>
    </w:p>
    <w:p>
      <w:pPr>
        <w:pStyle w:val="Heading1"/>
        <w:spacing w:before="360" w:after="240" w:line="240" w:lineRule="auto"/>
      </w:pPr>
      <w:r>
        <w:rPr>
          <w:rFonts w:ascii="Times New Roman" w:hAnsi="Times New Roman" w:eastAsia="Times New Roman"/>
          <w:b/>
          <w:i w:val="0"/>
          <w:sz w:val="28"/>
        </w:rPr>
        <w:t>Acknowledgements</w:t>
      </w:r>
    </w:p>
    <w:p>
      <w:pPr>
        <w:spacing w:line="480" w:lineRule="auto" w:before="0" w:after="0"/>
        <w:ind w:firstLine="720"/>
      </w:pPr>
      <w:r>
        <w:rPr>
          <w:rFonts w:ascii="Times New Roman" w:hAnsi="Times New Roman" w:eastAsia="Times New Roman"/>
          <w:b w:val="0"/>
          <w:i w:val="0"/>
          <w:sz w:val="24"/>
        </w:rPr>
        <w:t>The authors thank the PhysioNet team and the Laboratory for Computational Physiology at MIT for creating and maintaining the MIMIC-IV and eICU-CRD databases.</w:t>
      </w:r>
    </w:p>
    <w:p>
      <w:pPr>
        <w:pStyle w:val="Heading1"/>
        <w:spacing w:before="360" w:after="240" w:line="240" w:lineRule="auto"/>
      </w:pPr>
      <w:r>
        <w:rPr>
          <w:rFonts w:ascii="Times New Roman" w:hAnsi="Times New Roman" w:eastAsia="Times New Roman"/>
          <w:b/>
          <w:i w:val="0"/>
          <w:sz w:val="28"/>
        </w:rPr>
        <w:t>References</w:t>
      </w:r>
    </w:p>
    <w:p>
      <w:pPr>
        <w:spacing w:line="240" w:lineRule="auto" w:before="0" w:after="120"/>
        <w:ind w:left="432" w:hanging="432"/>
      </w:pPr>
      <w:r>
        <w:rPr>
          <w:rFonts w:ascii="Times New Roman" w:hAnsi="Times New Roman" w:eastAsia="Times New Roman"/>
          <w:b w:val="0"/>
          <w:i w:val="0"/>
          <w:sz w:val="20"/>
        </w:rPr>
        <w:t>Susantitaphong P, Cruz DN, Cerda J, et al. World incidence of AKI: a meta-analysis. Clin J Am Soc Nephrol. 2013;8(9):1482–1493. doi:10.2215/CJN.00710113</w:t>
      </w:r>
    </w:p>
    <w:p>
      <w:pPr>
        <w:spacing w:line="240" w:lineRule="auto" w:before="0" w:after="120"/>
        <w:ind w:left="432" w:hanging="432"/>
      </w:pPr>
      <w:r>
        <w:rPr>
          <w:rFonts w:ascii="Times New Roman" w:hAnsi="Times New Roman" w:eastAsia="Times New Roman"/>
          <w:b w:val="0"/>
          <w:i w:val="0"/>
          <w:sz w:val="20"/>
        </w:rPr>
        <w:t>Hoste EAJ, Bagshaw SM, Bellomo R, et al. Epidemiology of acute kidney injury in critically ill patients: the multinational AKI-EPI study. Intensive Care Med. 2015;41(8):1411–1423. doi:10.1007/s00134-015-3934-7</w:t>
      </w:r>
    </w:p>
    <w:p>
      <w:pPr>
        <w:spacing w:line="240" w:lineRule="auto" w:before="0" w:after="120"/>
        <w:ind w:left="432" w:hanging="432"/>
      </w:pPr>
      <w:r>
        <w:rPr>
          <w:rFonts w:ascii="Times New Roman" w:hAnsi="Times New Roman" w:eastAsia="Times New Roman"/>
          <w:b w:val="0"/>
          <w:i w:val="0"/>
          <w:sz w:val="20"/>
        </w:rPr>
        <w:t>Kidney Disease: Improving Global Outcomes (KDIGO) Acute Kidney Injury Work Group. KDIGO Clinical Practice Guideline for Acute Kidney Injury. Kidney Int Suppl. 2012;2(1):1–138. doi:10.1038/kisup.2012.1</w:t>
      </w:r>
    </w:p>
    <w:p>
      <w:pPr>
        <w:spacing w:line="240" w:lineRule="auto" w:before="0" w:after="120"/>
        <w:ind w:left="432" w:hanging="432"/>
      </w:pPr>
      <w:r>
        <w:rPr>
          <w:rFonts w:ascii="Times New Roman" w:hAnsi="Times New Roman" w:eastAsia="Times New Roman"/>
          <w:b w:val="0"/>
          <w:i w:val="0"/>
          <w:sz w:val="20"/>
        </w:rPr>
        <w:t>Lassnigg A, Schmidlin D, Mouhieddine M, et al. Minimal changes of serum creatinine predict prognosis in patients after cardiothoracic surgery. J Am Soc Nephrol. 2004;15(6):1597–1605. doi:10.1097/01.ASN.0000130340.93930.DD</w:t>
      </w:r>
    </w:p>
    <w:p>
      <w:pPr>
        <w:spacing w:line="240" w:lineRule="auto" w:before="0" w:after="120"/>
        <w:ind w:left="432" w:hanging="432"/>
      </w:pPr>
      <w:r>
        <w:rPr>
          <w:rFonts w:ascii="Times New Roman" w:hAnsi="Times New Roman" w:eastAsia="Times New Roman"/>
          <w:b w:val="0"/>
          <w:i w:val="0"/>
          <w:sz w:val="20"/>
        </w:rPr>
        <w:t>Bagshaw SM, Uchino S, Bellomo R, et al. Septic acute kidney injury in critically ill patients. Clin J Am Soc Nephrol. 2007;2(3):431–439. doi:10.2215/CJN.03681106</w:t>
      </w:r>
    </w:p>
    <w:p>
      <w:pPr>
        <w:spacing w:line="240" w:lineRule="auto" w:before="0" w:after="120"/>
        <w:ind w:left="432" w:hanging="432"/>
      </w:pPr>
      <w:r>
        <w:rPr>
          <w:rFonts w:ascii="Times New Roman" w:hAnsi="Times New Roman" w:eastAsia="Times New Roman"/>
          <w:b w:val="0"/>
          <w:i w:val="0"/>
          <w:sz w:val="20"/>
        </w:rPr>
        <w:t>Uchino S, Kellum JA, Bellomo R, et al. Acute renal failure in critically ill patients. JAMA. 2005;294(7):813–818. doi:10.1001/jama.294.7.813</w:t>
      </w:r>
    </w:p>
    <w:p>
      <w:pPr>
        <w:spacing w:line="240" w:lineRule="auto" w:before="0" w:after="120"/>
        <w:ind w:left="432" w:hanging="432"/>
      </w:pPr>
      <w:r>
        <w:rPr>
          <w:rFonts w:ascii="Times New Roman" w:hAnsi="Times New Roman" w:eastAsia="Times New Roman"/>
          <w:b w:val="0"/>
          <w:i w:val="0"/>
          <w:sz w:val="20"/>
        </w:rPr>
        <w:t>Luo X, Jiang L, Du B, et al. A comparison of different diagnostic criteria of acute kidney injury in critically ill patients. Crit Care. 2014;18(4):R144. doi:10.1186/cc13977</w:t>
      </w:r>
    </w:p>
    <w:p>
      <w:pPr>
        <w:spacing w:line="240" w:lineRule="auto" w:before="0" w:after="120"/>
        <w:ind w:left="432" w:hanging="432"/>
      </w:pPr>
      <w:r>
        <w:rPr>
          <w:rFonts w:ascii="Times New Roman" w:hAnsi="Times New Roman" w:eastAsia="Times New Roman"/>
          <w:b w:val="0"/>
          <w:i w:val="0"/>
          <w:sz w:val="20"/>
        </w:rPr>
        <w:t>Thomas ME, Blaine C, Dawnay A, et al. The definition of acute kidney injury and its use in practice. Kidney Int. 2015;87(1):62–73. doi:10.1038/ki.2014.328</w:t>
      </w:r>
    </w:p>
    <w:p>
      <w:pPr>
        <w:spacing w:line="240" w:lineRule="auto" w:before="0" w:after="120"/>
        <w:ind w:left="432" w:hanging="432"/>
      </w:pPr>
      <w:r>
        <w:rPr>
          <w:rFonts w:ascii="Times New Roman" w:hAnsi="Times New Roman" w:eastAsia="Times New Roman"/>
          <w:b w:val="0"/>
          <w:i w:val="0"/>
          <w:sz w:val="20"/>
        </w:rPr>
        <w:t>Pannu N, James M, Hemmelgarn B, Klarenbach S. Association between AKI, recovery of renal function, and long-term outcomes. Clin J Am Soc Nephrol. 2013;8(2):194–202. doi:10.2215/CJN.06480612</w:t>
      </w:r>
    </w:p>
    <w:p>
      <w:pPr>
        <w:spacing w:line="240" w:lineRule="auto" w:before="0" w:after="120"/>
        <w:ind w:left="432" w:hanging="432"/>
      </w:pPr>
      <w:r>
        <w:rPr>
          <w:rFonts w:ascii="Times New Roman" w:hAnsi="Times New Roman" w:eastAsia="Times New Roman"/>
          <w:b w:val="0"/>
          <w:i w:val="0"/>
          <w:sz w:val="20"/>
        </w:rPr>
        <w:t>James MT, Ghali WA, Knudtson ML, et al. Associations between AKI and cardiovascular and renal outcomes after coronary angiography. Circulation. 2011;123(4):409–416. doi:10.1161/CIRCULATIONAHA.110.970160</w:t>
      </w:r>
    </w:p>
    <w:p>
      <w:pPr>
        <w:spacing w:line="240" w:lineRule="auto" w:before="0" w:after="120"/>
        <w:ind w:left="432" w:hanging="432"/>
      </w:pPr>
      <w:r>
        <w:rPr>
          <w:rFonts w:ascii="Times New Roman" w:hAnsi="Times New Roman" w:eastAsia="Times New Roman"/>
          <w:b w:val="0"/>
          <w:i w:val="0"/>
          <w:sz w:val="20"/>
        </w:rPr>
        <w:t>Chertow GM, Burdick E, Honour M, et al. Acute kidney injury, mortality, length of stay, and costs. J Am Soc Nephrol. 2005;16(11):3365–3370. doi:10.1681/ASN.2004090740</w:t>
      </w:r>
    </w:p>
    <w:p>
      <w:pPr>
        <w:spacing w:line="240" w:lineRule="auto" w:before="0" w:after="120"/>
        <w:ind w:left="432" w:hanging="432"/>
      </w:pPr>
      <w:r>
        <w:rPr>
          <w:rFonts w:ascii="Times New Roman" w:hAnsi="Times New Roman" w:eastAsia="Times New Roman"/>
          <w:b w:val="0"/>
          <w:i w:val="0"/>
          <w:sz w:val="20"/>
        </w:rPr>
        <w:t>Johnson AEW, Bulgarelli L, Shen L, et al. MIMIC-IV, a freely accessible electronic health record dataset. Sci Data. 2023;10(1):1. doi:10.1038/s41597-022-01899-x</w:t>
      </w:r>
    </w:p>
    <w:p>
      <w:pPr>
        <w:spacing w:line="240" w:lineRule="auto" w:before="0" w:after="120"/>
        <w:ind w:left="432" w:hanging="432"/>
      </w:pPr>
      <w:r>
        <w:rPr>
          <w:rFonts w:ascii="Times New Roman" w:hAnsi="Times New Roman" w:eastAsia="Times New Roman"/>
          <w:b w:val="0"/>
          <w:i w:val="0"/>
          <w:sz w:val="20"/>
        </w:rPr>
        <w:t>Elixhauser A, Steiner C, Harris DR, Coffey RM. Comorbidity measures for use with administrative data. Med Care. 1998;36(1):8–27. doi:10.1097/00005650-199801000-00004</w:t>
      </w:r>
    </w:p>
    <w:p>
      <w:pPr>
        <w:spacing w:line="240" w:lineRule="auto" w:before="0" w:after="120"/>
        <w:ind w:left="432" w:hanging="432"/>
      </w:pPr>
      <w:r>
        <w:rPr>
          <w:rFonts w:ascii="Times New Roman" w:hAnsi="Times New Roman" w:eastAsia="Times New Roman"/>
          <w:b w:val="0"/>
          <w:i w:val="0"/>
          <w:sz w:val="20"/>
        </w:rPr>
        <w:t>Quan H, Sundararajan V, Halfon P, et al. Coding algorithms for defining comorbidities in ICD-9-CM and ICD-10. Med Care. 2005;43(11):1130–1139. doi:10.1097/01.mlr.0000182534.19832.83</w:t>
      </w:r>
    </w:p>
    <w:p>
      <w:pPr>
        <w:spacing w:line="240" w:lineRule="auto" w:before="0" w:after="120"/>
        <w:ind w:left="432" w:hanging="432"/>
      </w:pPr>
      <w:r>
        <w:rPr>
          <w:rFonts w:ascii="Times New Roman" w:hAnsi="Times New Roman" w:eastAsia="Times New Roman"/>
          <w:b w:val="0"/>
          <w:i w:val="0"/>
          <w:sz w:val="20"/>
        </w:rPr>
        <w:t>Prowle JR, Echeverri JE, Ligabo EV, et al. Fluid balance and acute kidney injury. Nat Rev Nephrol. 2010;6(2):107–115. doi:10.1038/nrneph.2009.213</w:t>
      </w:r>
    </w:p>
    <w:p>
      <w:pPr>
        <w:spacing w:line="240" w:lineRule="auto" w:before="0" w:after="120"/>
        <w:ind w:left="432" w:hanging="432"/>
      </w:pPr>
      <w:r>
        <w:rPr>
          <w:rFonts w:ascii="Times New Roman" w:hAnsi="Times New Roman" w:eastAsia="Times New Roman"/>
          <w:b w:val="0"/>
          <w:i w:val="0"/>
          <w:sz w:val="20"/>
        </w:rPr>
        <w:t>Kellum JA, Sileanu FE, Murugan R, et al. Classifying AKI by urine output versus serum creatinine level. J Am Soc Nephrol. 2015;26(9):2231–2238. doi:10.1681/ASN.2014070724</w:t>
      </w:r>
    </w:p>
    <w:p>
      <w:pPr>
        <w:spacing w:line="240" w:lineRule="auto" w:before="0" w:after="120"/>
        <w:ind w:left="432" w:hanging="432"/>
      </w:pPr>
      <w:r>
        <w:rPr>
          <w:rFonts w:ascii="Times New Roman" w:hAnsi="Times New Roman" w:eastAsia="Times New Roman"/>
          <w:b w:val="0"/>
          <w:i w:val="0"/>
          <w:sz w:val="20"/>
        </w:rPr>
        <w:t>Harrell FE Jr, Lee KL, Mark DB. Multivariable prognostic models. Stat Med. 1996;15(4):361–387. doi:10.1002/(SICI)1097-0258(19960229)15:4&lt;361::AID-SIM168&gt;3.0.CO;2-4</w:t>
      </w:r>
    </w:p>
    <w:p>
      <w:pPr>
        <w:spacing w:line="240" w:lineRule="auto" w:before="0" w:after="120"/>
        <w:ind w:left="432" w:hanging="432"/>
      </w:pPr>
      <w:r>
        <w:rPr>
          <w:rFonts w:ascii="Times New Roman" w:hAnsi="Times New Roman" w:eastAsia="Times New Roman"/>
          <w:b w:val="0"/>
          <w:i w:val="0"/>
          <w:sz w:val="20"/>
        </w:rPr>
        <w:t>Hong D, Ren Q, Zhang J, et al. A new criteria for acute on preexisting kidney dysfunction in critically ill patients. Ren Fail. 2023;45(1):2173498. doi:10.1080/0886022X.2023.2173498</w:t>
      </w:r>
    </w:p>
    <w:p>
      <w:pPr>
        <w:spacing w:line="240" w:lineRule="auto" w:before="0" w:after="120"/>
        <w:ind w:left="432" w:hanging="432"/>
      </w:pPr>
      <w:r>
        <w:rPr>
          <w:rFonts w:ascii="Times New Roman" w:hAnsi="Times New Roman" w:eastAsia="Times New Roman"/>
          <w:b w:val="0"/>
          <w:i w:val="0"/>
          <w:sz w:val="20"/>
        </w:rPr>
        <w:t>Birkelo BC, Pannu N, Siew ED. Overview of diagnostic criteria and epidemiology of acute kidney injury. Clin J Am Soc Nephrol. 2022;17(5):717–735. doi:10.2215/CJN.14181021</w:t>
      </w:r>
    </w:p>
    <w:p>
      <w:pPr>
        <w:spacing w:line="240" w:lineRule="auto" w:before="0" w:after="120"/>
        <w:ind w:left="432" w:hanging="432"/>
      </w:pPr>
      <w:r>
        <w:rPr>
          <w:rFonts w:ascii="Times New Roman" w:hAnsi="Times New Roman" w:eastAsia="Times New Roman"/>
          <w:b w:val="0"/>
          <w:i w:val="0"/>
          <w:sz w:val="20"/>
        </w:rPr>
        <w:t>Yasrebi-de Kom IAR, Dongelmans DA, Abu-Hanna A, et al. Incorrect application of the KDIGO acute kidney injury staging criteria. Clin Kidney J. 2022;15(5):937–941. doi:10.1093/ckj/sfab256</w:t>
      </w:r>
    </w:p>
    <w:p>
      <w:pPr>
        <w:spacing w:line="240" w:lineRule="auto" w:before="0" w:after="120"/>
        <w:ind w:left="432" w:hanging="432"/>
      </w:pPr>
      <w:r>
        <w:rPr>
          <w:rFonts w:ascii="Times New Roman" w:hAnsi="Times New Roman" w:eastAsia="Times New Roman"/>
          <w:b w:val="0"/>
          <w:i w:val="0"/>
          <w:sz w:val="20"/>
        </w:rPr>
        <w:t>Dong GY, Qin JP, An Y, et al. Utilizing reclassification to explore characteristics and prognosis of KDIGO SCr AKI subgroups. Ren Fail. 2021;43(1):1569–1576. doi:10.1080/0886022X.2021.1997761</w:t>
      </w:r>
    </w:p>
    <w:p>
      <w:pPr>
        <w:spacing w:line="240" w:lineRule="auto" w:before="0" w:after="120"/>
        <w:ind w:left="432" w:hanging="432"/>
      </w:pPr>
      <w:r>
        <w:rPr>
          <w:rFonts w:ascii="Times New Roman" w:hAnsi="Times New Roman" w:eastAsia="Times New Roman"/>
          <w:b w:val="0"/>
          <w:i w:val="0"/>
          <w:sz w:val="20"/>
        </w:rPr>
        <w:t>VanderWeele TJ, Ding P. Sensitivity Analysis in Observational Research: Introducing the E-Value. Ann Intern Med. 2017;167(4):268–274. doi:10.7326/M16-2607</w:t>
      </w:r>
    </w:p>
    <w:p>
      <w:pPr>
        <w:spacing w:line="240" w:lineRule="auto" w:before="0" w:after="120"/>
        <w:ind w:left="432" w:hanging="432"/>
      </w:pPr>
      <w:r>
        <w:rPr>
          <w:rFonts w:ascii="Times New Roman" w:hAnsi="Times New Roman" w:eastAsia="Times New Roman"/>
          <w:b w:val="0"/>
          <w:i w:val="0"/>
          <w:sz w:val="20"/>
        </w:rPr>
        <w:t>Pollard TJ, Johnson AEW, Raffa JD, et al. The eICU Collaborative Research Database. Sci Data. 2018;5:180178. doi:10.1038/sdata.2018.178</w:t>
      </w:r>
    </w:p>
    <w:p>
      <w:pPr>
        <w:spacing w:line="240" w:lineRule="auto" w:before="0" w:after="120"/>
        <w:ind w:left="432" w:hanging="432"/>
      </w:pPr>
      <w:r>
        <w:rPr>
          <w:rFonts w:ascii="Times New Roman" w:hAnsi="Times New Roman" w:eastAsia="Times New Roman"/>
          <w:b w:val="0"/>
          <w:i w:val="0"/>
          <w:sz w:val="20"/>
        </w:rPr>
        <w:t>Girling BJ, Channon SW, Haines RW, Prowle JR. Acute kidney injury and adverse outcomes of critical illness: correlation or causation? Clin Kidney J. 2020;13(2):133–141. doi:10.1093/ckj/sfz158</w:t>
      </w:r>
    </w:p>
    <w:p>
      <w:pPr>
        <w:spacing w:line="240" w:lineRule="auto" w:before="0" w:after="120"/>
        <w:ind w:left="432" w:hanging="432"/>
      </w:pPr>
      <w:r>
        <w:rPr>
          <w:rFonts w:ascii="Times New Roman" w:hAnsi="Times New Roman" w:eastAsia="Times New Roman"/>
          <w:b w:val="0"/>
          <w:i w:val="0"/>
          <w:sz w:val="20"/>
        </w:rPr>
        <w:t>Lin J, Liu L, Zhu S, et al. Machine learning-derived multivariate renal function trajectories in acute kidney injury in critically ill patients. Clin Kidney J. 2025;18(6):sfaf142. doi:10.1093/ckj/sfaf142</w:t>
      </w:r>
    </w:p>
    <w:p>
      <w:pPr>
        <w:spacing w:line="240" w:lineRule="auto" w:before="0" w:after="120"/>
        <w:ind w:left="432" w:hanging="432"/>
      </w:pPr>
      <w:r>
        <w:rPr>
          <w:rFonts w:ascii="Times New Roman" w:hAnsi="Times New Roman" w:eastAsia="Times New Roman"/>
          <w:b w:val="0"/>
          <w:i w:val="0"/>
          <w:sz w:val="20"/>
        </w:rPr>
        <w:t>Luo S, Lai J, Mo L, et al. Prediction of hospital mortality in sepsis-associated AKI using machine learning. Clin Kidney J. 2026;19(1):sfaf372. doi:10.1093/ckj/sfaf372</w:t>
      </w:r>
    </w:p>
    <w:p>
      <w:pPr>
        <w:spacing w:line="240" w:lineRule="auto" w:before="0" w:after="120"/>
        <w:ind w:left="432" w:hanging="432"/>
      </w:pPr>
      <w:r>
        <w:rPr>
          <w:rFonts w:ascii="Times New Roman" w:hAnsi="Times New Roman" w:eastAsia="Times New Roman"/>
          <w:b w:val="0"/>
          <w:i w:val="0"/>
          <w:sz w:val="20"/>
        </w:rPr>
        <w:t>Liu Y, Zhu X, Xue J, et al. Machine learning models for mortality prediction in acute pancreatitis-associated AKI. Clin Kidney J. 2024;17(10):sfae284. doi:10.1093/ckj/sfae284</w:t>
      </w:r>
    </w:p>
    <w:p>
      <w:pPr>
        <w:spacing w:line="240" w:lineRule="auto" w:before="0" w:after="120"/>
        <w:ind w:left="432" w:hanging="432"/>
      </w:pPr>
      <w:r>
        <w:rPr>
          <w:rFonts w:ascii="Times New Roman" w:hAnsi="Times New Roman" w:eastAsia="Times New Roman"/>
          <w:b w:val="0"/>
          <w:i w:val="0"/>
          <w:sz w:val="20"/>
        </w:rPr>
        <w:t>Singh S, Andonovic M, Traynor JP, et al. Short- and long-term outcomes in oliguric and non-oliguric AKI in intensive care. Clin Kidney J. 2025;18(6):sfaf170. doi:10.1093/ckj/sfaf170</w:t>
      </w:r>
    </w:p>
    <w:p>
      <w:pPr>
        <w:spacing w:line="240" w:lineRule="auto" w:before="0" w:after="120"/>
        <w:ind w:left="432" w:hanging="432"/>
      </w:pPr>
      <w:r>
        <w:rPr>
          <w:rFonts w:ascii="Times New Roman" w:hAnsi="Times New Roman" w:eastAsia="Times New Roman"/>
          <w:b w:val="0"/>
          <w:i w:val="0"/>
          <w:sz w:val="20"/>
        </w:rPr>
        <w:t>Gleeson PJ, Crippa IA, Sannier A, et al. Critically ill patients with acute kidney injury: clinical determinants and post-mortem histology. Clin Kidney J. 2023;16(10):1664–1673. doi:10.1093/ckj/sfad113</w:t>
      </w:r>
    </w:p>
    <w:p>
      <w:pPr>
        <w:spacing w:line="240" w:lineRule="auto" w:before="0" w:after="120"/>
        <w:ind w:left="432" w:hanging="432"/>
      </w:pPr>
      <w:r>
        <w:rPr>
          <w:rFonts w:ascii="Times New Roman" w:hAnsi="Times New Roman" w:eastAsia="Times New Roman"/>
          <w:b w:val="0"/>
          <w:i w:val="0"/>
          <w:sz w:val="20"/>
        </w:rPr>
        <w:t>Høyer S, Heide-Jørgensen U, Jensen SK, et al. Sensitivity and positive predictive value of diagnosis codes for acute kidney injury in Denmark. Clin Kidney J. 2026;19(3):sfag019. doi:10.1093/ckj/sfag019</w:t>
      </w:r>
    </w:p>
    <w:p>
      <w:pPr>
        <w:spacing w:line="240" w:lineRule="auto" w:before="0" w:after="120"/>
        <w:ind w:left="432" w:hanging="432"/>
      </w:pPr>
      <w:r>
        <w:rPr>
          <w:rFonts w:ascii="Times New Roman" w:hAnsi="Times New Roman" w:eastAsia="Times New Roman"/>
          <w:b w:val="0"/>
          <w:i w:val="0"/>
          <w:sz w:val="20"/>
        </w:rPr>
        <w:t>Long TE, Helgason D, Helgadottir S, et al. Mild Stage 1 post-operative AKI: association with CKD and long-term survival. Clin Kidney J. 2021;14(1):237–244. doi:10.1093/ckj/sfz197</w:t>
      </w:r>
    </w:p>
    <w:p>
      <w:pPr>
        <w:spacing w:line="240" w:lineRule="auto" w:before="0" w:after="120"/>
        <w:ind w:left="432" w:hanging="432"/>
      </w:pPr>
      <w:r>
        <w:rPr>
          <w:rFonts w:ascii="Times New Roman" w:hAnsi="Times New Roman" w:eastAsia="Times New Roman"/>
          <w:b w:val="0"/>
          <w:i w:val="0"/>
          <w:sz w:val="20"/>
        </w:rPr>
        <w:t>Esposito P, Cappadona F, Marengo M, et al. Recognition patterns of acute kidney injury in hospitalized patients. Clin Kidney J. 2024;17(8):sfae231. doi:10.1093/ckj/sfae231</w:t>
      </w:r>
    </w:p>
    <w:p>
      <w:pPr>
        <w:spacing w:line="240" w:lineRule="auto" w:before="0" w:after="120"/>
        <w:ind w:left="432" w:hanging="432"/>
      </w:pPr>
      <w:r>
        <w:rPr>
          <w:rFonts w:ascii="Times New Roman" w:hAnsi="Times New Roman" w:eastAsia="Times New Roman"/>
          <w:b w:val="0"/>
          <w:i w:val="0"/>
          <w:sz w:val="20"/>
        </w:rPr>
        <w:t>Hoste EAJ, Clermont G, Kersten A, et al. RIFLE criteria for acute kidney injury are associated with hospital mortality. Crit Care. 2006;10(3):R73. doi:10.1186/cc4915</w:t>
      </w:r>
    </w:p>
    <w:p>
      <w:pPr>
        <w:spacing w:line="240" w:lineRule="auto" w:before="0" w:after="120"/>
        <w:ind w:left="432" w:hanging="432"/>
      </w:pPr>
      <w:r>
        <w:rPr>
          <w:rFonts w:ascii="Times New Roman" w:hAnsi="Times New Roman" w:eastAsia="Times New Roman"/>
          <w:b w:val="0"/>
          <w:i w:val="0"/>
          <w:sz w:val="20"/>
        </w:rPr>
        <w:t>Nisula S, Kaukonen KM, Vaara ST, et al. Incidence, risk factors and 90-day mortality of AKI in Finnish ICUs: the FINNAKI study. Intensive Care Med. 2013;39(3):420–428. doi:10.1007/s00134-012-2796-5</w:t>
      </w:r>
    </w:p>
    <w:p>
      <w:pPr>
        <w:pStyle w:val="Heading1"/>
        <w:spacing w:before="360" w:after="240" w:line="240" w:lineRule="auto"/>
      </w:pPr>
      <w:r>
        <w:rPr>
          <w:rFonts w:ascii="Times New Roman" w:hAnsi="Times New Roman" w:eastAsia="Times New Roman"/>
          <w:b/>
          <w:i w:val="0"/>
          <w:sz w:val="28"/>
        </w:rPr>
        <w:t>Tables</w:t>
      </w:r>
    </w:p>
    <w:p>
      <w:pPr>
        <w:pStyle w:val="Heading2"/>
        <w:spacing w:before="240" w:after="120" w:line="240" w:lineRule="auto"/>
      </w:pPr>
      <w:r>
        <w:rPr>
          <w:rFonts w:ascii="Times New Roman" w:hAnsi="Times New Roman" w:eastAsia="Times New Roman"/>
          <w:b/>
          <w:i w:val="0"/>
          <w:sz w:val="24"/>
        </w:rPr>
        <w:t>Table 1. Baseline Characteristics of the Derivation Cohort Stratified by KDIGO AKI Stage (MIMIC-IV, N = 84,167)</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40" w:after="40" w:line="240" w:lineRule="auto"/>
              <w:jc w:val="center"/>
            </w:pPr>
            <w:r>
              <w:rPr>
                <w:b/>
              </w:rPr>
            </w:r>
            <w:r>
              <w:rPr>
                <w:rFonts w:ascii="Times New Roman" w:hAnsi="Times New Roman" w:eastAsia="Times New Roman"/>
                <w:b/>
                <w:i w:val="0"/>
                <w:sz w:val="18"/>
              </w:rPr>
              <w:t>Variable</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No AKI (n = 59,033)</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1 (n = 12,817)</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2 (n = 2,729)</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3 (n = 9,588)</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Overall (N = 84,167)</w:t>
            </w:r>
          </w:p>
        </w:tc>
      </w:tr>
      <w:tr>
        <w:tc>
          <w:tcPr>
            <w:tcW w:type="dxa" w:w="1560"/>
            <w:vAlign w:val="center"/>
          </w:tcPr>
          <w:p>
            <w:pPr>
              <w:spacing w:before="40" w:after="40" w:line="240" w:lineRule="auto"/>
              <w:jc w:val="left"/>
            </w:pPr>
            <w:r/>
            <w:r>
              <w:rPr>
                <w:rFonts w:ascii="Times New Roman" w:hAnsi="Times New Roman" w:eastAsia="Times New Roman"/>
                <w:b/>
                <w:i w:val="0"/>
                <w:sz w:val="18"/>
              </w:rPr>
              <w:t>Demographics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Age (years)</w:t>
            </w:r>
          </w:p>
        </w:tc>
        <w:tc>
          <w:tcPr>
            <w:tcW w:type="dxa" w:w="1560"/>
            <w:vAlign w:val="center"/>
          </w:tcPr>
          <w:p>
            <w:pPr>
              <w:spacing w:before="40" w:after="40" w:line="240" w:lineRule="auto"/>
              <w:jc w:val="left"/>
            </w:pPr>
            <w:r/>
            <w:r>
              <w:rPr>
                <w:rFonts w:ascii="Times New Roman" w:hAnsi="Times New Roman" w:eastAsia="Times New Roman"/>
                <w:b w:val="0"/>
                <w:i w:val="0"/>
                <w:sz w:val="18"/>
              </w:rPr>
              <w:t>62.3 ± 17.3</w:t>
            </w:r>
          </w:p>
        </w:tc>
        <w:tc>
          <w:tcPr>
            <w:tcW w:type="dxa" w:w="1560"/>
            <w:vAlign w:val="center"/>
          </w:tcPr>
          <w:p>
            <w:pPr>
              <w:spacing w:before="40" w:after="40" w:line="240" w:lineRule="auto"/>
              <w:jc w:val="left"/>
            </w:pPr>
            <w:r/>
            <w:r>
              <w:rPr>
                <w:rFonts w:ascii="Times New Roman" w:hAnsi="Times New Roman" w:eastAsia="Times New Roman"/>
                <w:b w:val="0"/>
                <w:i w:val="0"/>
                <w:sz w:val="18"/>
              </w:rPr>
              <w:t>67.1 ± 14.9</w:t>
            </w:r>
          </w:p>
        </w:tc>
        <w:tc>
          <w:tcPr>
            <w:tcW w:type="dxa" w:w="1560"/>
            <w:vAlign w:val="center"/>
          </w:tcPr>
          <w:p>
            <w:pPr>
              <w:spacing w:before="40" w:after="40" w:line="240" w:lineRule="auto"/>
              <w:jc w:val="left"/>
            </w:pPr>
            <w:r/>
            <w:r>
              <w:rPr>
                <w:rFonts w:ascii="Times New Roman" w:hAnsi="Times New Roman" w:eastAsia="Times New Roman"/>
                <w:b w:val="0"/>
                <w:i w:val="0"/>
                <w:sz w:val="18"/>
              </w:rPr>
              <w:t>64.7 ± 15.3</w:t>
            </w:r>
          </w:p>
        </w:tc>
        <w:tc>
          <w:tcPr>
            <w:tcW w:type="dxa" w:w="1560"/>
            <w:vAlign w:val="center"/>
          </w:tcPr>
          <w:p>
            <w:pPr>
              <w:spacing w:before="40" w:after="40" w:line="240" w:lineRule="auto"/>
              <w:jc w:val="left"/>
            </w:pPr>
            <w:r/>
            <w:r>
              <w:rPr>
                <w:rFonts w:ascii="Times New Roman" w:hAnsi="Times New Roman" w:eastAsia="Times New Roman"/>
                <w:b w:val="0"/>
                <w:i w:val="0"/>
                <w:sz w:val="18"/>
              </w:rPr>
              <w:t>61.5 ± 15.3</w:t>
            </w:r>
          </w:p>
        </w:tc>
        <w:tc>
          <w:tcPr>
            <w:tcW w:type="dxa" w:w="1560"/>
            <w:vAlign w:val="center"/>
          </w:tcPr>
          <w:p>
            <w:pPr>
              <w:spacing w:before="40" w:after="40" w:line="240" w:lineRule="auto"/>
              <w:jc w:val="left"/>
            </w:pPr>
            <w:r/>
            <w:r>
              <w:rPr>
                <w:rFonts w:ascii="Times New Roman" w:hAnsi="Times New Roman" w:eastAsia="Times New Roman"/>
                <w:b w:val="0"/>
                <w:i w:val="0"/>
                <w:sz w:val="18"/>
              </w:rPr>
              <w:t>63.0 ± 16.8</w:t>
            </w:r>
          </w:p>
        </w:tc>
      </w:tr>
      <w:tr>
        <w:tc>
          <w:tcPr>
            <w:tcW w:type="dxa" w:w="1560"/>
            <w:vAlign w:val="center"/>
          </w:tcPr>
          <w:p>
            <w:pPr>
              <w:spacing w:before="40" w:after="40" w:line="240" w:lineRule="auto"/>
              <w:jc w:val="left"/>
            </w:pPr>
            <w:r/>
            <w:r>
              <w:rPr>
                <w:rFonts w:ascii="Times New Roman" w:hAnsi="Times New Roman" w:eastAsia="Times New Roman"/>
                <w:b w:val="0"/>
                <w:i w:val="0"/>
                <w:sz w:val="18"/>
              </w:rPr>
              <w:t>Male, n (%)</w:t>
            </w:r>
          </w:p>
        </w:tc>
        <w:tc>
          <w:tcPr>
            <w:tcW w:type="dxa" w:w="1560"/>
            <w:vAlign w:val="center"/>
          </w:tcPr>
          <w:p>
            <w:pPr>
              <w:spacing w:before="40" w:after="40" w:line="240" w:lineRule="auto"/>
              <w:jc w:val="left"/>
            </w:pPr>
            <w:r/>
            <w:r>
              <w:rPr>
                <w:rFonts w:ascii="Times New Roman" w:hAnsi="Times New Roman" w:eastAsia="Times New Roman"/>
                <w:b w:val="0"/>
                <w:i w:val="0"/>
                <w:sz w:val="18"/>
              </w:rPr>
              <w:t>31,924 (54.1%)</w:t>
            </w:r>
          </w:p>
        </w:tc>
        <w:tc>
          <w:tcPr>
            <w:tcW w:type="dxa" w:w="1560"/>
            <w:vAlign w:val="center"/>
          </w:tcPr>
          <w:p>
            <w:pPr>
              <w:spacing w:before="40" w:after="40" w:line="240" w:lineRule="auto"/>
              <w:jc w:val="left"/>
            </w:pPr>
            <w:r/>
            <w:r>
              <w:rPr>
                <w:rFonts w:ascii="Times New Roman" w:hAnsi="Times New Roman" w:eastAsia="Times New Roman"/>
                <w:b w:val="0"/>
                <w:i w:val="0"/>
                <w:sz w:val="18"/>
              </w:rPr>
              <w:t>7,747 (60.4%)</w:t>
            </w:r>
          </w:p>
        </w:tc>
        <w:tc>
          <w:tcPr>
            <w:tcW w:type="dxa" w:w="1560"/>
            <w:vAlign w:val="center"/>
          </w:tcPr>
          <w:p>
            <w:pPr>
              <w:spacing w:before="40" w:after="40" w:line="240" w:lineRule="auto"/>
              <w:jc w:val="left"/>
            </w:pPr>
            <w:r/>
            <w:r>
              <w:rPr>
                <w:rFonts w:ascii="Times New Roman" w:hAnsi="Times New Roman" w:eastAsia="Times New Roman"/>
                <w:b w:val="0"/>
                <w:i w:val="0"/>
                <w:sz w:val="18"/>
              </w:rPr>
              <w:t>1,424 (52.2%)</w:t>
            </w:r>
          </w:p>
        </w:tc>
        <w:tc>
          <w:tcPr>
            <w:tcW w:type="dxa" w:w="1560"/>
            <w:vAlign w:val="center"/>
          </w:tcPr>
          <w:p>
            <w:pPr>
              <w:spacing w:before="40" w:after="40" w:line="240" w:lineRule="auto"/>
              <w:jc w:val="left"/>
            </w:pPr>
            <w:r/>
            <w:r>
              <w:rPr>
                <w:rFonts w:ascii="Times New Roman" w:hAnsi="Times New Roman" w:eastAsia="Times New Roman"/>
                <w:b w:val="0"/>
                <w:i w:val="0"/>
                <w:sz w:val="18"/>
              </w:rPr>
              <w:t>5,879 (61.3%)</w:t>
            </w:r>
          </w:p>
        </w:tc>
        <w:tc>
          <w:tcPr>
            <w:tcW w:type="dxa" w:w="1560"/>
            <w:vAlign w:val="center"/>
          </w:tcPr>
          <w:p>
            <w:pPr>
              <w:spacing w:before="40" w:after="40" w:line="240" w:lineRule="auto"/>
              <w:jc w:val="left"/>
            </w:pPr>
            <w:r/>
            <w:r>
              <w:rPr>
                <w:rFonts w:ascii="Times New Roman" w:hAnsi="Times New Roman" w:eastAsia="Times New Roman"/>
                <w:b w:val="0"/>
                <w:i w:val="0"/>
                <w:sz w:val="18"/>
              </w:rPr>
              <w:t>46,974 (55.8%)</w:t>
            </w:r>
          </w:p>
        </w:tc>
      </w:tr>
      <w:tr>
        <w:tc>
          <w:tcPr>
            <w:tcW w:type="dxa" w:w="1560"/>
            <w:vAlign w:val="center"/>
          </w:tcPr>
          <w:p>
            <w:pPr>
              <w:spacing w:before="40" w:after="40" w:line="240" w:lineRule="auto"/>
              <w:jc w:val="left"/>
            </w:pPr>
            <w:r/>
            <w:r>
              <w:rPr>
                <w:rFonts w:ascii="Times New Roman" w:hAnsi="Times New Roman" w:eastAsia="Times New Roman"/>
                <w:b w:val="0"/>
                <w:i w:val="0"/>
                <w:sz w:val="18"/>
              </w:rPr>
              <w:t>Race — White, n (%)</w:t>
            </w:r>
          </w:p>
        </w:tc>
        <w:tc>
          <w:tcPr>
            <w:tcW w:type="dxa" w:w="1560"/>
            <w:vAlign w:val="center"/>
          </w:tcPr>
          <w:p>
            <w:pPr>
              <w:spacing w:before="40" w:after="40" w:line="240" w:lineRule="auto"/>
              <w:jc w:val="left"/>
            </w:pPr>
            <w:r/>
            <w:r>
              <w:rPr>
                <w:rFonts w:ascii="Times New Roman" w:hAnsi="Times New Roman" w:eastAsia="Times New Roman"/>
                <w:b w:val="0"/>
                <w:i w:val="0"/>
                <w:sz w:val="18"/>
              </w:rPr>
              <w:t>40,031 (67.8%)</w:t>
            </w:r>
          </w:p>
        </w:tc>
        <w:tc>
          <w:tcPr>
            <w:tcW w:type="dxa" w:w="1560"/>
            <w:vAlign w:val="center"/>
          </w:tcPr>
          <w:p>
            <w:pPr>
              <w:spacing w:before="40" w:after="40" w:line="240" w:lineRule="auto"/>
              <w:jc w:val="left"/>
            </w:pPr>
            <w:r/>
            <w:r>
              <w:rPr>
                <w:rFonts w:ascii="Times New Roman" w:hAnsi="Times New Roman" w:eastAsia="Times New Roman"/>
                <w:b w:val="0"/>
                <w:i w:val="0"/>
                <w:sz w:val="18"/>
              </w:rPr>
              <w:t>8,677 (67.7%)</w:t>
            </w:r>
          </w:p>
        </w:tc>
        <w:tc>
          <w:tcPr>
            <w:tcW w:type="dxa" w:w="1560"/>
            <w:vAlign w:val="center"/>
          </w:tcPr>
          <w:p>
            <w:pPr>
              <w:spacing w:before="40" w:after="40" w:line="240" w:lineRule="auto"/>
              <w:jc w:val="left"/>
            </w:pPr>
            <w:r/>
            <w:r>
              <w:rPr>
                <w:rFonts w:ascii="Times New Roman" w:hAnsi="Times New Roman" w:eastAsia="Times New Roman"/>
                <w:b w:val="0"/>
                <w:i w:val="0"/>
                <w:sz w:val="18"/>
              </w:rPr>
              <w:t>1,790 (65.6%)</w:t>
            </w:r>
          </w:p>
        </w:tc>
        <w:tc>
          <w:tcPr>
            <w:tcW w:type="dxa" w:w="1560"/>
            <w:vAlign w:val="center"/>
          </w:tcPr>
          <w:p>
            <w:pPr>
              <w:spacing w:before="40" w:after="40" w:line="240" w:lineRule="auto"/>
              <w:jc w:val="left"/>
            </w:pPr>
            <w:r/>
            <w:r>
              <w:rPr>
                <w:rFonts w:ascii="Times New Roman" w:hAnsi="Times New Roman" w:eastAsia="Times New Roman"/>
                <w:b w:val="0"/>
                <w:i w:val="0"/>
                <w:sz w:val="18"/>
              </w:rPr>
              <w:t>5,362 (55.9%)</w:t>
            </w:r>
          </w:p>
        </w:tc>
        <w:tc>
          <w:tcPr>
            <w:tcW w:type="dxa" w:w="1560"/>
            <w:vAlign w:val="center"/>
          </w:tcPr>
          <w:p>
            <w:pPr>
              <w:spacing w:before="40" w:after="40" w:line="240" w:lineRule="auto"/>
              <w:jc w:val="left"/>
            </w:pPr>
            <w:r/>
            <w:r>
              <w:rPr>
                <w:rFonts w:ascii="Times New Roman" w:hAnsi="Times New Roman" w:eastAsia="Times New Roman"/>
                <w:b w:val="0"/>
                <w:i w:val="0"/>
                <w:sz w:val="18"/>
              </w:rPr>
              <w:t>55,860 (66.4%)</w:t>
            </w:r>
          </w:p>
        </w:tc>
      </w:tr>
      <w:tr>
        <w:tc>
          <w:tcPr>
            <w:tcW w:type="dxa" w:w="1560"/>
            <w:vAlign w:val="center"/>
          </w:tcPr>
          <w:p>
            <w:pPr>
              <w:spacing w:before="40" w:after="40" w:line="240" w:lineRule="auto"/>
              <w:jc w:val="left"/>
            </w:pPr>
            <w:r/>
            <w:r>
              <w:rPr>
                <w:rFonts w:ascii="Times New Roman" w:hAnsi="Times New Roman" w:eastAsia="Times New Roman"/>
                <w:b w:val="0"/>
                <w:i w:val="0"/>
                <w:sz w:val="18"/>
              </w:rPr>
              <w:t>Race — Black, n (%)</w:t>
            </w:r>
          </w:p>
        </w:tc>
        <w:tc>
          <w:tcPr>
            <w:tcW w:type="dxa" w:w="1560"/>
            <w:vAlign w:val="center"/>
          </w:tcPr>
          <w:p>
            <w:pPr>
              <w:spacing w:before="40" w:after="40" w:line="240" w:lineRule="auto"/>
              <w:jc w:val="left"/>
            </w:pPr>
            <w:r/>
            <w:r>
              <w:rPr>
                <w:rFonts w:ascii="Times New Roman" w:hAnsi="Times New Roman" w:eastAsia="Times New Roman"/>
                <w:b w:val="0"/>
                <w:i w:val="0"/>
                <w:sz w:val="18"/>
              </w:rPr>
              <w:t>5,697 (9.7%)</w:t>
            </w:r>
          </w:p>
        </w:tc>
        <w:tc>
          <w:tcPr>
            <w:tcW w:type="dxa" w:w="1560"/>
            <w:vAlign w:val="center"/>
          </w:tcPr>
          <w:p>
            <w:pPr>
              <w:spacing w:before="40" w:after="40" w:line="240" w:lineRule="auto"/>
              <w:jc w:val="left"/>
            </w:pPr>
            <w:r/>
            <w:r>
              <w:rPr>
                <w:rFonts w:ascii="Times New Roman" w:hAnsi="Times New Roman" w:eastAsia="Times New Roman"/>
                <w:b w:val="0"/>
                <w:i w:val="0"/>
                <w:sz w:val="18"/>
              </w:rPr>
              <w:t>1,358 (10.6%)</w:t>
            </w:r>
          </w:p>
        </w:tc>
        <w:tc>
          <w:tcPr>
            <w:tcW w:type="dxa" w:w="1560"/>
            <w:vAlign w:val="center"/>
          </w:tcPr>
          <w:p>
            <w:pPr>
              <w:spacing w:before="40" w:after="40" w:line="240" w:lineRule="auto"/>
              <w:jc w:val="left"/>
            </w:pPr>
            <w:r/>
            <w:r>
              <w:rPr>
                <w:rFonts w:ascii="Times New Roman" w:hAnsi="Times New Roman" w:eastAsia="Times New Roman"/>
                <w:b w:val="0"/>
                <w:i w:val="0"/>
                <w:sz w:val="18"/>
              </w:rPr>
              <w:t>270 (9.9%)</w:t>
            </w:r>
          </w:p>
        </w:tc>
        <w:tc>
          <w:tcPr>
            <w:tcW w:type="dxa" w:w="1560"/>
            <w:vAlign w:val="center"/>
          </w:tcPr>
          <w:p>
            <w:pPr>
              <w:spacing w:before="40" w:after="40" w:line="240" w:lineRule="auto"/>
              <w:jc w:val="left"/>
            </w:pPr>
            <w:r/>
            <w:r>
              <w:rPr>
                <w:rFonts w:ascii="Times New Roman" w:hAnsi="Times New Roman" w:eastAsia="Times New Roman"/>
                <w:b w:val="0"/>
                <w:i w:val="0"/>
                <w:sz w:val="18"/>
              </w:rPr>
              <w:t>1,942 (20.3%)</w:t>
            </w:r>
          </w:p>
        </w:tc>
        <w:tc>
          <w:tcPr>
            <w:tcW w:type="dxa" w:w="1560"/>
            <w:vAlign w:val="center"/>
          </w:tcPr>
          <w:p>
            <w:pPr>
              <w:spacing w:before="40" w:after="40" w:line="240" w:lineRule="auto"/>
              <w:jc w:val="left"/>
            </w:pPr>
            <w:r/>
            <w:r>
              <w:rPr>
                <w:rFonts w:ascii="Times New Roman" w:hAnsi="Times New Roman" w:eastAsia="Times New Roman"/>
                <w:b w:val="0"/>
                <w:i w:val="0"/>
                <w:sz w:val="18"/>
              </w:rPr>
              <w:t>9,267 (11.0%)</w:t>
            </w:r>
          </w:p>
        </w:tc>
      </w:tr>
      <w:tr>
        <w:tc>
          <w:tcPr>
            <w:tcW w:type="dxa" w:w="1560"/>
            <w:vAlign w:val="center"/>
          </w:tcPr>
          <w:p>
            <w:pPr>
              <w:spacing w:before="40" w:after="40" w:line="240" w:lineRule="auto"/>
              <w:jc w:val="left"/>
            </w:pPr>
            <w:r/>
            <w:r>
              <w:rPr>
                <w:rFonts w:ascii="Times New Roman" w:hAnsi="Times New Roman" w:eastAsia="Times New Roman"/>
                <w:b/>
                <w:i w:val="0"/>
                <w:sz w:val="18"/>
              </w:rPr>
              <w:t>Severity Scores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SOFA score</w:t>
            </w:r>
          </w:p>
        </w:tc>
        <w:tc>
          <w:tcPr>
            <w:tcW w:type="dxa" w:w="1560"/>
            <w:vAlign w:val="center"/>
          </w:tcPr>
          <w:p>
            <w:pPr>
              <w:spacing w:before="40" w:after="40" w:line="240" w:lineRule="auto"/>
              <w:jc w:val="left"/>
            </w:pPr>
            <w:r/>
            <w:r>
              <w:rPr>
                <w:rFonts w:ascii="Times New Roman" w:hAnsi="Times New Roman" w:eastAsia="Times New Roman"/>
                <w:b w:val="0"/>
                <w:i w:val="0"/>
                <w:sz w:val="18"/>
              </w:rPr>
              <w:t>4.3 ± 3.9</w:t>
            </w:r>
          </w:p>
        </w:tc>
        <w:tc>
          <w:tcPr>
            <w:tcW w:type="dxa" w:w="1560"/>
            <w:vAlign w:val="center"/>
          </w:tcPr>
          <w:p>
            <w:pPr>
              <w:spacing w:before="40" w:after="40" w:line="240" w:lineRule="auto"/>
              <w:jc w:val="left"/>
            </w:pPr>
            <w:r/>
            <w:r>
              <w:rPr>
                <w:rFonts w:ascii="Times New Roman" w:hAnsi="Times New Roman" w:eastAsia="Times New Roman"/>
                <w:b w:val="0"/>
                <w:i w:val="0"/>
                <w:sz w:val="18"/>
              </w:rPr>
              <w:t>7.0 ± 4.0</w:t>
            </w:r>
          </w:p>
        </w:tc>
        <w:tc>
          <w:tcPr>
            <w:tcW w:type="dxa" w:w="1560"/>
            <w:vAlign w:val="center"/>
          </w:tcPr>
          <w:p>
            <w:pPr>
              <w:spacing w:before="40" w:after="40" w:line="240" w:lineRule="auto"/>
              <w:jc w:val="left"/>
            </w:pPr>
            <w:r/>
            <w:r>
              <w:rPr>
                <w:rFonts w:ascii="Times New Roman" w:hAnsi="Times New Roman" w:eastAsia="Times New Roman"/>
                <w:b w:val="0"/>
                <w:i w:val="0"/>
                <w:sz w:val="18"/>
              </w:rPr>
              <w:t>8.0 ± 4.0</w:t>
            </w:r>
          </w:p>
        </w:tc>
        <w:tc>
          <w:tcPr>
            <w:tcW w:type="dxa" w:w="1560"/>
            <w:vAlign w:val="center"/>
          </w:tcPr>
          <w:p>
            <w:pPr>
              <w:spacing w:before="40" w:after="40" w:line="240" w:lineRule="auto"/>
              <w:jc w:val="left"/>
            </w:pPr>
            <w:r/>
            <w:r>
              <w:rPr>
                <w:rFonts w:ascii="Times New Roman" w:hAnsi="Times New Roman" w:eastAsia="Times New Roman"/>
                <w:b w:val="0"/>
                <w:i w:val="0"/>
                <w:sz w:val="18"/>
              </w:rPr>
              <w:t>9.9 ± 4.0</w:t>
            </w:r>
          </w:p>
        </w:tc>
        <w:tc>
          <w:tcPr>
            <w:tcW w:type="dxa" w:w="1560"/>
            <w:vAlign w:val="center"/>
          </w:tcPr>
          <w:p>
            <w:pPr>
              <w:spacing w:before="40" w:after="40" w:line="240" w:lineRule="auto"/>
              <w:jc w:val="left"/>
            </w:pPr>
            <w:r/>
            <w:r>
              <w:rPr>
                <w:rFonts w:ascii="Times New Roman" w:hAnsi="Times New Roman" w:eastAsia="Times New Roman"/>
                <w:b w:val="0"/>
                <w:i w:val="0"/>
                <w:sz w:val="18"/>
              </w:rPr>
              <w:t>5.5 ± 4.4</w:t>
            </w:r>
          </w:p>
        </w:tc>
      </w:tr>
      <w:tr>
        <w:tc>
          <w:tcPr>
            <w:tcW w:type="dxa" w:w="1560"/>
            <w:vAlign w:val="center"/>
          </w:tcPr>
          <w:p>
            <w:pPr>
              <w:spacing w:before="40" w:after="40" w:line="240" w:lineRule="auto"/>
              <w:jc w:val="left"/>
            </w:pPr>
            <w:r/>
            <w:r>
              <w:rPr>
                <w:rFonts w:ascii="Times New Roman" w:hAnsi="Times New Roman" w:eastAsia="Times New Roman"/>
                <w:b w:val="0"/>
                <w:i w:val="0"/>
                <w:sz w:val="18"/>
              </w:rPr>
              <w:t>GCS</w:t>
            </w:r>
          </w:p>
        </w:tc>
        <w:tc>
          <w:tcPr>
            <w:tcW w:type="dxa" w:w="1560"/>
            <w:vAlign w:val="center"/>
          </w:tcPr>
          <w:p>
            <w:pPr>
              <w:spacing w:before="40" w:after="40" w:line="240" w:lineRule="auto"/>
              <w:jc w:val="left"/>
            </w:pPr>
            <w:r/>
            <w:r>
              <w:rPr>
                <w:rFonts w:ascii="Times New Roman" w:hAnsi="Times New Roman" w:eastAsia="Times New Roman"/>
                <w:b w:val="0"/>
                <w:i w:val="0"/>
                <w:sz w:val="18"/>
              </w:rPr>
              <w:t>6.4 ± 3.6</w:t>
            </w:r>
          </w:p>
        </w:tc>
        <w:tc>
          <w:tcPr>
            <w:tcW w:type="dxa" w:w="1560"/>
            <w:vAlign w:val="center"/>
          </w:tcPr>
          <w:p>
            <w:pPr>
              <w:spacing w:before="40" w:after="40" w:line="240" w:lineRule="auto"/>
              <w:jc w:val="left"/>
            </w:pPr>
            <w:r/>
            <w:r>
              <w:rPr>
                <w:rFonts w:ascii="Times New Roman" w:hAnsi="Times New Roman" w:eastAsia="Times New Roman"/>
                <w:b w:val="0"/>
                <w:i w:val="0"/>
                <w:sz w:val="18"/>
              </w:rPr>
              <w:t>5.8 ± 3.6</w:t>
            </w:r>
          </w:p>
        </w:tc>
        <w:tc>
          <w:tcPr>
            <w:tcW w:type="dxa" w:w="1560"/>
            <w:vAlign w:val="center"/>
          </w:tcPr>
          <w:p>
            <w:pPr>
              <w:spacing w:before="40" w:after="40" w:line="240" w:lineRule="auto"/>
              <w:jc w:val="left"/>
            </w:pPr>
            <w:r/>
            <w:r>
              <w:rPr>
                <w:rFonts w:ascii="Times New Roman" w:hAnsi="Times New Roman" w:eastAsia="Times New Roman"/>
                <w:b w:val="0"/>
                <w:i w:val="0"/>
                <w:sz w:val="18"/>
              </w:rPr>
              <w:t>6.4 ± 3.8</w:t>
            </w:r>
          </w:p>
        </w:tc>
        <w:tc>
          <w:tcPr>
            <w:tcW w:type="dxa" w:w="1560"/>
            <w:vAlign w:val="center"/>
          </w:tcPr>
          <w:p>
            <w:pPr>
              <w:spacing w:before="40" w:after="40" w:line="240" w:lineRule="auto"/>
              <w:jc w:val="left"/>
            </w:pPr>
            <w:r/>
            <w:r>
              <w:rPr>
                <w:rFonts w:ascii="Times New Roman" w:hAnsi="Times New Roman" w:eastAsia="Times New Roman"/>
                <w:b w:val="0"/>
                <w:i w:val="0"/>
                <w:sz w:val="18"/>
              </w:rPr>
              <w:t>7.0 ± 3.9</w:t>
            </w:r>
          </w:p>
        </w:tc>
        <w:tc>
          <w:tcPr>
            <w:tcW w:type="dxa" w:w="1560"/>
            <w:vAlign w:val="center"/>
          </w:tcPr>
          <w:p>
            <w:pPr>
              <w:spacing w:before="40" w:after="40" w:line="240" w:lineRule="auto"/>
              <w:jc w:val="left"/>
            </w:pPr>
            <w:r/>
            <w:r>
              <w:rPr>
                <w:rFonts w:ascii="Times New Roman" w:hAnsi="Times New Roman" w:eastAsia="Times New Roman"/>
                <w:b w:val="0"/>
                <w:i w:val="0"/>
                <w:sz w:val="18"/>
              </w:rPr>
              <w:t>6.4 ± 3.6</w:t>
            </w:r>
          </w:p>
        </w:tc>
      </w:tr>
      <w:tr>
        <w:tc>
          <w:tcPr>
            <w:tcW w:type="dxa" w:w="1560"/>
            <w:vAlign w:val="center"/>
          </w:tcPr>
          <w:p>
            <w:pPr>
              <w:spacing w:before="40" w:after="40" w:line="240" w:lineRule="auto"/>
              <w:jc w:val="left"/>
            </w:pPr>
            <w:r/>
            <w:r>
              <w:rPr>
                <w:rFonts w:ascii="Times New Roman" w:hAnsi="Times New Roman" w:eastAsia="Times New Roman"/>
                <w:b w:val="0"/>
                <w:i w:val="0"/>
                <w:sz w:val="18"/>
              </w:rPr>
              <w:t>Mechanical ventilation, n (%)</w:t>
            </w:r>
          </w:p>
        </w:tc>
        <w:tc>
          <w:tcPr>
            <w:tcW w:type="dxa" w:w="1560"/>
            <w:vAlign w:val="center"/>
          </w:tcPr>
          <w:p>
            <w:pPr>
              <w:spacing w:before="40" w:after="40" w:line="240" w:lineRule="auto"/>
              <w:jc w:val="left"/>
            </w:pPr>
            <w:r/>
            <w:r>
              <w:rPr>
                <w:rFonts w:ascii="Times New Roman" w:hAnsi="Times New Roman" w:eastAsia="Times New Roman"/>
                <w:b w:val="0"/>
                <w:i w:val="0"/>
                <w:sz w:val="18"/>
              </w:rPr>
              <w:t>25,404 (43.0%)</w:t>
            </w:r>
          </w:p>
        </w:tc>
        <w:tc>
          <w:tcPr>
            <w:tcW w:type="dxa" w:w="1560"/>
            <w:vAlign w:val="center"/>
          </w:tcPr>
          <w:p>
            <w:pPr>
              <w:spacing w:before="40" w:after="40" w:line="240" w:lineRule="auto"/>
              <w:jc w:val="left"/>
            </w:pPr>
            <w:r/>
            <w:r>
              <w:rPr>
                <w:rFonts w:ascii="Times New Roman" w:hAnsi="Times New Roman" w:eastAsia="Times New Roman"/>
                <w:b w:val="0"/>
                <w:i w:val="0"/>
                <w:sz w:val="18"/>
              </w:rPr>
              <w:t>7,714 (60.2%)</w:t>
            </w:r>
          </w:p>
        </w:tc>
        <w:tc>
          <w:tcPr>
            <w:tcW w:type="dxa" w:w="1560"/>
            <w:vAlign w:val="center"/>
          </w:tcPr>
          <w:p>
            <w:pPr>
              <w:spacing w:before="40" w:after="40" w:line="240" w:lineRule="auto"/>
              <w:jc w:val="left"/>
            </w:pPr>
            <w:r/>
            <w:r>
              <w:rPr>
                <w:rFonts w:ascii="Times New Roman" w:hAnsi="Times New Roman" w:eastAsia="Times New Roman"/>
                <w:b w:val="0"/>
                <w:i w:val="0"/>
                <w:sz w:val="18"/>
              </w:rPr>
              <w:t>1,754 (64.3%)</w:t>
            </w:r>
          </w:p>
        </w:tc>
        <w:tc>
          <w:tcPr>
            <w:tcW w:type="dxa" w:w="1560"/>
            <w:vAlign w:val="center"/>
          </w:tcPr>
          <w:p>
            <w:pPr>
              <w:spacing w:before="40" w:after="40" w:line="240" w:lineRule="auto"/>
              <w:jc w:val="left"/>
            </w:pPr>
            <w:r/>
            <w:r>
              <w:rPr>
                <w:rFonts w:ascii="Times New Roman" w:hAnsi="Times New Roman" w:eastAsia="Times New Roman"/>
                <w:b w:val="0"/>
                <w:i w:val="0"/>
                <w:sz w:val="18"/>
              </w:rPr>
              <w:t>6,082 (63.4%)</w:t>
            </w:r>
          </w:p>
        </w:tc>
        <w:tc>
          <w:tcPr>
            <w:tcW w:type="dxa" w:w="1560"/>
            <w:vAlign w:val="center"/>
          </w:tcPr>
          <w:p>
            <w:pPr>
              <w:spacing w:before="40" w:after="40" w:line="240" w:lineRule="auto"/>
              <w:jc w:val="left"/>
            </w:pPr>
            <w:r/>
            <w:r>
              <w:rPr>
                <w:rFonts w:ascii="Times New Roman" w:hAnsi="Times New Roman" w:eastAsia="Times New Roman"/>
                <w:b w:val="0"/>
                <w:i w:val="0"/>
                <w:sz w:val="18"/>
              </w:rPr>
              <w:t>40,954 (48.7%)</w:t>
            </w:r>
          </w:p>
        </w:tc>
      </w:tr>
      <w:tr>
        <w:tc>
          <w:tcPr>
            <w:tcW w:type="dxa" w:w="1560"/>
            <w:vAlign w:val="center"/>
          </w:tcPr>
          <w:p>
            <w:pPr>
              <w:spacing w:before="40" w:after="40" w:line="240" w:lineRule="auto"/>
              <w:jc w:val="left"/>
            </w:pPr>
            <w:r/>
            <w:r>
              <w:rPr>
                <w:rFonts w:ascii="Times New Roman" w:hAnsi="Times New Roman" w:eastAsia="Times New Roman"/>
                <w:b w:val="0"/>
                <w:i w:val="0"/>
                <w:sz w:val="18"/>
              </w:rPr>
              <w:t>Vasopressor use, n (%)</w:t>
            </w:r>
          </w:p>
        </w:tc>
        <w:tc>
          <w:tcPr>
            <w:tcW w:type="dxa" w:w="1560"/>
            <w:vAlign w:val="center"/>
          </w:tcPr>
          <w:p>
            <w:pPr>
              <w:spacing w:before="40" w:after="40" w:line="240" w:lineRule="auto"/>
              <w:jc w:val="left"/>
            </w:pPr>
            <w:r/>
            <w:r>
              <w:rPr>
                <w:rFonts w:ascii="Times New Roman" w:hAnsi="Times New Roman" w:eastAsia="Times New Roman"/>
                <w:b w:val="0"/>
                <w:i w:val="0"/>
                <w:sz w:val="18"/>
              </w:rPr>
              <w:t>19,925 (33.8%)</w:t>
            </w:r>
          </w:p>
        </w:tc>
        <w:tc>
          <w:tcPr>
            <w:tcW w:type="dxa" w:w="1560"/>
            <w:vAlign w:val="center"/>
          </w:tcPr>
          <w:p>
            <w:pPr>
              <w:spacing w:before="40" w:after="40" w:line="240" w:lineRule="auto"/>
              <w:jc w:val="left"/>
            </w:pPr>
            <w:r/>
            <w:r>
              <w:rPr>
                <w:rFonts w:ascii="Times New Roman" w:hAnsi="Times New Roman" w:eastAsia="Times New Roman"/>
                <w:b w:val="0"/>
                <w:i w:val="0"/>
                <w:sz w:val="18"/>
              </w:rPr>
              <w:t>6,776 (52.9%)</w:t>
            </w:r>
          </w:p>
        </w:tc>
        <w:tc>
          <w:tcPr>
            <w:tcW w:type="dxa" w:w="1560"/>
            <w:vAlign w:val="center"/>
          </w:tcPr>
          <w:p>
            <w:pPr>
              <w:spacing w:before="40" w:after="40" w:line="240" w:lineRule="auto"/>
              <w:jc w:val="left"/>
            </w:pPr>
            <w:r/>
            <w:r>
              <w:rPr>
                <w:rFonts w:ascii="Times New Roman" w:hAnsi="Times New Roman" w:eastAsia="Times New Roman"/>
                <w:b w:val="0"/>
                <w:i w:val="0"/>
                <w:sz w:val="18"/>
              </w:rPr>
              <w:t>1,646 (60.3%)</w:t>
            </w:r>
          </w:p>
        </w:tc>
        <w:tc>
          <w:tcPr>
            <w:tcW w:type="dxa" w:w="1560"/>
            <w:vAlign w:val="center"/>
          </w:tcPr>
          <w:p>
            <w:pPr>
              <w:spacing w:before="40" w:after="40" w:line="240" w:lineRule="auto"/>
              <w:jc w:val="left"/>
            </w:pPr>
            <w:r/>
            <w:r>
              <w:rPr>
                <w:rFonts w:ascii="Times New Roman" w:hAnsi="Times New Roman" w:eastAsia="Times New Roman"/>
                <w:b w:val="0"/>
                <w:i w:val="0"/>
                <w:sz w:val="18"/>
              </w:rPr>
              <w:t>6,096 (63.6%)</w:t>
            </w:r>
          </w:p>
        </w:tc>
        <w:tc>
          <w:tcPr>
            <w:tcW w:type="dxa" w:w="1560"/>
            <w:vAlign w:val="center"/>
          </w:tcPr>
          <w:p>
            <w:pPr>
              <w:spacing w:before="40" w:after="40" w:line="240" w:lineRule="auto"/>
              <w:jc w:val="left"/>
            </w:pPr>
            <w:r/>
            <w:r>
              <w:rPr>
                <w:rFonts w:ascii="Times New Roman" w:hAnsi="Times New Roman" w:eastAsia="Times New Roman"/>
                <w:b w:val="0"/>
                <w:i w:val="0"/>
                <w:sz w:val="18"/>
              </w:rPr>
              <w:t>34,443 (40.9%)</w:t>
            </w:r>
          </w:p>
        </w:tc>
      </w:tr>
      <w:tr>
        <w:tc>
          <w:tcPr>
            <w:tcW w:type="dxa" w:w="1560"/>
            <w:vAlign w:val="center"/>
          </w:tcPr>
          <w:p>
            <w:pPr>
              <w:spacing w:before="40" w:after="40" w:line="240" w:lineRule="auto"/>
              <w:jc w:val="left"/>
            </w:pPr>
            <w:r/>
            <w:r>
              <w:rPr>
                <w:rFonts w:ascii="Times New Roman" w:hAnsi="Times New Roman" w:eastAsia="Times New Roman"/>
                <w:b/>
                <w:i w:val="0"/>
                <w:sz w:val="18"/>
              </w:rPr>
              <w:t>Renal Function</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Baseline Cr (mg/dL)</w:t>
            </w:r>
          </w:p>
        </w:tc>
        <w:tc>
          <w:tcPr>
            <w:tcW w:type="dxa" w:w="1560"/>
            <w:vAlign w:val="center"/>
          </w:tcPr>
          <w:p>
            <w:pPr>
              <w:spacing w:before="40" w:after="40" w:line="240" w:lineRule="auto"/>
              <w:jc w:val="left"/>
            </w:pPr>
            <w:r/>
            <w:r>
              <w:rPr>
                <w:rFonts w:ascii="Times New Roman" w:hAnsi="Times New Roman" w:eastAsia="Times New Roman"/>
                <w:b w:val="0"/>
                <w:i w:val="0"/>
                <w:sz w:val="18"/>
              </w:rPr>
              <w:t>1.03 ± 0.54</w:t>
            </w:r>
          </w:p>
        </w:tc>
        <w:tc>
          <w:tcPr>
            <w:tcW w:type="dxa" w:w="1560"/>
            <w:vAlign w:val="center"/>
          </w:tcPr>
          <w:p>
            <w:pPr>
              <w:spacing w:before="40" w:after="40" w:line="240" w:lineRule="auto"/>
              <w:jc w:val="left"/>
            </w:pPr>
            <w:r/>
            <w:r>
              <w:rPr>
                <w:rFonts w:ascii="Times New Roman" w:hAnsi="Times New Roman" w:eastAsia="Times New Roman"/>
                <w:b w:val="0"/>
                <w:i w:val="0"/>
                <w:sz w:val="18"/>
              </w:rPr>
              <w:t>1.22 ± 0.57</w:t>
            </w:r>
          </w:p>
        </w:tc>
        <w:tc>
          <w:tcPr>
            <w:tcW w:type="dxa" w:w="1560"/>
            <w:vAlign w:val="center"/>
          </w:tcPr>
          <w:p>
            <w:pPr>
              <w:spacing w:before="40" w:after="40" w:line="240" w:lineRule="auto"/>
              <w:jc w:val="left"/>
            </w:pPr>
            <w:r/>
            <w:r>
              <w:rPr>
                <w:rFonts w:ascii="Times New Roman" w:hAnsi="Times New Roman" w:eastAsia="Times New Roman"/>
                <w:b w:val="0"/>
                <w:i w:val="0"/>
                <w:sz w:val="18"/>
              </w:rPr>
              <w:t>0.90 ± 0.36</w:t>
            </w:r>
          </w:p>
        </w:tc>
        <w:tc>
          <w:tcPr>
            <w:tcW w:type="dxa" w:w="1560"/>
            <w:vAlign w:val="center"/>
          </w:tcPr>
          <w:p>
            <w:pPr>
              <w:spacing w:before="40" w:after="40" w:line="240" w:lineRule="auto"/>
              <w:jc w:val="left"/>
            </w:pPr>
            <w:r/>
            <w:r>
              <w:rPr>
                <w:rFonts w:ascii="Times New Roman" w:hAnsi="Times New Roman" w:eastAsia="Times New Roman"/>
                <w:b w:val="0"/>
                <w:i w:val="0"/>
                <w:sz w:val="18"/>
              </w:rPr>
              <w:t>4.41 ± 3.46</w:t>
            </w:r>
          </w:p>
        </w:tc>
        <w:tc>
          <w:tcPr>
            <w:tcW w:type="dxa" w:w="1560"/>
            <w:vAlign w:val="center"/>
          </w:tcPr>
          <w:p>
            <w:pPr>
              <w:spacing w:before="40" w:after="40" w:line="240" w:lineRule="auto"/>
              <w:jc w:val="left"/>
            </w:pPr>
            <w:r/>
            <w:r>
              <w:rPr>
                <w:rFonts w:ascii="Times New Roman" w:hAnsi="Times New Roman" w:eastAsia="Times New Roman"/>
                <w:b w:val="0"/>
                <w:i w:val="0"/>
                <w:sz w:val="18"/>
              </w:rPr>
              <w:t>1.44 ± 1.66</w:t>
            </w:r>
          </w:p>
        </w:tc>
      </w:tr>
      <w:tr>
        <w:tc>
          <w:tcPr>
            <w:tcW w:type="dxa" w:w="1560"/>
            <w:vAlign w:val="center"/>
          </w:tcPr>
          <w:p>
            <w:pPr>
              <w:spacing w:before="40" w:after="40" w:line="240" w:lineRule="auto"/>
              <w:jc w:val="left"/>
            </w:pPr>
            <w:r/>
            <w:r>
              <w:rPr>
                <w:rFonts w:ascii="Times New Roman" w:hAnsi="Times New Roman" w:eastAsia="Times New Roman"/>
                <w:b w:val="0"/>
                <w:i w:val="0"/>
                <w:sz w:val="18"/>
              </w:rPr>
              <w:t>Peak Cr (mg/dL)</w:t>
            </w:r>
          </w:p>
        </w:tc>
        <w:tc>
          <w:tcPr>
            <w:tcW w:type="dxa" w:w="1560"/>
            <w:vAlign w:val="center"/>
          </w:tcPr>
          <w:p>
            <w:pPr>
              <w:spacing w:before="40" w:after="40" w:line="240" w:lineRule="auto"/>
              <w:jc w:val="left"/>
            </w:pPr>
            <w:r/>
            <w:r>
              <w:rPr>
                <w:rFonts w:ascii="Times New Roman" w:hAnsi="Times New Roman" w:eastAsia="Times New Roman"/>
                <w:b w:val="0"/>
                <w:i w:val="0"/>
                <w:sz w:val="18"/>
              </w:rPr>
              <w:t>1.10 ± 0.54</w:t>
            </w:r>
          </w:p>
        </w:tc>
        <w:tc>
          <w:tcPr>
            <w:tcW w:type="dxa" w:w="1560"/>
            <w:vAlign w:val="center"/>
          </w:tcPr>
          <w:p>
            <w:pPr>
              <w:spacing w:before="40" w:after="40" w:line="240" w:lineRule="auto"/>
              <w:jc w:val="left"/>
            </w:pPr>
            <w:r/>
            <w:r>
              <w:rPr>
                <w:rFonts w:ascii="Times New Roman" w:hAnsi="Times New Roman" w:eastAsia="Times New Roman"/>
                <w:b w:val="0"/>
                <w:i w:val="0"/>
                <w:sz w:val="18"/>
              </w:rPr>
              <w:t>1.76 ± 0.73</w:t>
            </w:r>
          </w:p>
        </w:tc>
        <w:tc>
          <w:tcPr>
            <w:tcW w:type="dxa" w:w="1560"/>
            <w:vAlign w:val="center"/>
          </w:tcPr>
          <w:p>
            <w:pPr>
              <w:spacing w:before="40" w:after="40" w:line="240" w:lineRule="auto"/>
              <w:jc w:val="left"/>
            </w:pPr>
            <w:r/>
            <w:r>
              <w:rPr>
                <w:rFonts w:ascii="Times New Roman" w:hAnsi="Times New Roman" w:eastAsia="Times New Roman"/>
                <w:b w:val="0"/>
                <w:i w:val="0"/>
                <w:sz w:val="18"/>
              </w:rPr>
              <w:t>2.07 ± 0.85</w:t>
            </w:r>
          </w:p>
        </w:tc>
        <w:tc>
          <w:tcPr>
            <w:tcW w:type="dxa" w:w="1560"/>
            <w:vAlign w:val="center"/>
          </w:tcPr>
          <w:p>
            <w:pPr>
              <w:spacing w:before="40" w:after="40" w:line="240" w:lineRule="auto"/>
              <w:jc w:val="left"/>
            </w:pPr>
            <w:r/>
            <w:r>
              <w:rPr>
                <w:rFonts w:ascii="Times New Roman" w:hAnsi="Times New Roman" w:eastAsia="Times New Roman"/>
                <w:b w:val="0"/>
                <w:i w:val="0"/>
                <w:sz w:val="18"/>
              </w:rPr>
              <w:t>6.25 ± 3.30</w:t>
            </w:r>
          </w:p>
        </w:tc>
        <w:tc>
          <w:tcPr>
            <w:tcW w:type="dxa" w:w="1560"/>
            <w:vAlign w:val="center"/>
          </w:tcPr>
          <w:p>
            <w:pPr>
              <w:spacing w:before="40" w:after="40" w:line="240" w:lineRule="auto"/>
              <w:jc w:val="left"/>
            </w:pPr>
            <w:r/>
            <w:r>
              <w:rPr>
                <w:rFonts w:ascii="Times New Roman" w:hAnsi="Times New Roman" w:eastAsia="Times New Roman"/>
                <w:b w:val="0"/>
                <w:i w:val="0"/>
                <w:sz w:val="18"/>
              </w:rPr>
              <w:t>1.81 ± 2.04</w:t>
            </w:r>
          </w:p>
        </w:tc>
      </w:tr>
      <w:tr>
        <w:tc>
          <w:tcPr>
            <w:tcW w:type="dxa" w:w="1560"/>
            <w:vAlign w:val="center"/>
          </w:tcPr>
          <w:p>
            <w:pPr>
              <w:spacing w:before="40" w:after="40" w:line="240" w:lineRule="auto"/>
              <w:jc w:val="left"/>
            </w:pPr>
            <w:r/>
            <w:r>
              <w:rPr>
                <w:rFonts w:ascii="Times New Roman" w:hAnsi="Times New Roman" w:eastAsia="Times New Roman"/>
                <w:b w:val="0"/>
                <w:i w:val="0"/>
                <w:sz w:val="18"/>
              </w:rPr>
              <w:t>Cr ratio (peak/baseline)</w:t>
            </w:r>
          </w:p>
        </w:tc>
        <w:tc>
          <w:tcPr>
            <w:tcW w:type="dxa" w:w="1560"/>
            <w:vAlign w:val="center"/>
          </w:tcPr>
          <w:p>
            <w:pPr>
              <w:spacing w:before="40" w:after="40" w:line="240" w:lineRule="auto"/>
              <w:jc w:val="left"/>
            </w:pPr>
            <w:r/>
            <w:r>
              <w:rPr>
                <w:rFonts w:ascii="Times New Roman" w:hAnsi="Times New Roman" w:eastAsia="Times New Roman"/>
                <w:b w:val="0"/>
                <w:i w:val="0"/>
                <w:sz w:val="18"/>
              </w:rPr>
              <w:t>1.08 ± 0.11</w:t>
            </w:r>
          </w:p>
        </w:tc>
        <w:tc>
          <w:tcPr>
            <w:tcW w:type="dxa" w:w="1560"/>
            <w:vAlign w:val="center"/>
          </w:tcPr>
          <w:p>
            <w:pPr>
              <w:spacing w:before="40" w:after="40" w:line="240" w:lineRule="auto"/>
              <w:jc w:val="left"/>
            </w:pPr>
            <w:r/>
            <w:r>
              <w:rPr>
                <w:rFonts w:ascii="Times New Roman" w:hAnsi="Times New Roman" w:eastAsia="Times New Roman"/>
                <w:b w:val="0"/>
                <w:i w:val="0"/>
                <w:sz w:val="18"/>
              </w:rPr>
              <w:t>1.48 ± 0.20</w:t>
            </w:r>
          </w:p>
        </w:tc>
        <w:tc>
          <w:tcPr>
            <w:tcW w:type="dxa" w:w="1560"/>
            <w:vAlign w:val="center"/>
          </w:tcPr>
          <w:p>
            <w:pPr>
              <w:spacing w:before="40" w:after="40" w:line="240" w:lineRule="auto"/>
              <w:jc w:val="left"/>
            </w:pPr>
            <w:r/>
            <w:r>
              <w:rPr>
                <w:rFonts w:ascii="Times New Roman" w:hAnsi="Times New Roman" w:eastAsia="Times New Roman"/>
                <w:b w:val="0"/>
                <w:i w:val="0"/>
                <w:sz w:val="18"/>
              </w:rPr>
              <w:t>2.30 ± 0.28</w:t>
            </w:r>
          </w:p>
        </w:tc>
        <w:tc>
          <w:tcPr>
            <w:tcW w:type="dxa" w:w="1560"/>
            <w:vAlign w:val="center"/>
          </w:tcPr>
          <w:p>
            <w:pPr>
              <w:spacing w:before="40" w:after="40" w:line="240" w:lineRule="auto"/>
              <w:jc w:val="left"/>
            </w:pPr>
            <w:r/>
            <w:r>
              <w:rPr>
                <w:rFonts w:ascii="Times New Roman" w:hAnsi="Times New Roman" w:eastAsia="Times New Roman"/>
                <w:b w:val="0"/>
                <w:i w:val="0"/>
                <w:sz w:val="18"/>
              </w:rPr>
              <w:t>2.13 ± 1.76</w:t>
            </w:r>
          </w:p>
        </w:tc>
        <w:tc>
          <w:tcPr>
            <w:tcW w:type="dxa" w:w="1560"/>
            <w:vAlign w:val="center"/>
          </w:tcPr>
          <w:p>
            <w:pPr>
              <w:spacing w:before="40" w:after="40" w:line="240" w:lineRule="auto"/>
              <w:jc w:val="left"/>
            </w:pPr>
            <w:r/>
            <w:r>
              <w:rPr>
                <w:rFonts w:ascii="Times New Roman" w:hAnsi="Times New Roman" w:eastAsia="Times New Roman"/>
                <w:b w:val="0"/>
                <w:i w:val="0"/>
                <w:sz w:val="18"/>
              </w:rPr>
              <w:t>1.30 ± 0.72</w:t>
            </w:r>
          </w:p>
        </w:tc>
      </w:tr>
      <w:tr>
        <w:tc>
          <w:tcPr>
            <w:tcW w:type="dxa" w:w="1560"/>
            <w:vAlign w:val="center"/>
          </w:tcPr>
          <w:p>
            <w:pPr>
              <w:spacing w:before="40" w:after="40" w:line="240" w:lineRule="auto"/>
              <w:jc w:val="left"/>
            </w:pPr>
            <w:r/>
            <w:r>
              <w:rPr>
                <w:rFonts w:ascii="Times New Roman" w:hAnsi="Times New Roman" w:eastAsia="Times New Roman"/>
                <w:b w:val="0"/>
                <w:i w:val="0"/>
                <w:sz w:val="18"/>
              </w:rPr>
              <w:t>CKD (ICD), n (%)</w:t>
            </w:r>
          </w:p>
        </w:tc>
        <w:tc>
          <w:tcPr>
            <w:tcW w:type="dxa" w:w="1560"/>
            <w:vAlign w:val="center"/>
          </w:tcPr>
          <w:p>
            <w:pPr>
              <w:spacing w:before="40" w:after="40" w:line="240" w:lineRule="auto"/>
              <w:jc w:val="left"/>
            </w:pPr>
            <w:r/>
            <w:r>
              <w:rPr>
                <w:rFonts w:ascii="Times New Roman" w:hAnsi="Times New Roman" w:eastAsia="Times New Roman"/>
                <w:b w:val="0"/>
                <w:i w:val="0"/>
                <w:sz w:val="18"/>
              </w:rPr>
              <w:t>11,477 (19.4%)</w:t>
            </w:r>
          </w:p>
        </w:tc>
        <w:tc>
          <w:tcPr>
            <w:tcW w:type="dxa" w:w="1560"/>
            <w:vAlign w:val="center"/>
          </w:tcPr>
          <w:p>
            <w:pPr>
              <w:spacing w:before="40" w:after="40" w:line="240" w:lineRule="auto"/>
              <w:jc w:val="left"/>
            </w:pPr>
            <w:r/>
            <w:r>
              <w:rPr>
                <w:rFonts w:ascii="Times New Roman" w:hAnsi="Times New Roman" w:eastAsia="Times New Roman"/>
                <w:b w:val="0"/>
                <w:i w:val="0"/>
                <w:sz w:val="18"/>
              </w:rPr>
              <w:t>5,219 (40.7%)</w:t>
            </w:r>
          </w:p>
        </w:tc>
        <w:tc>
          <w:tcPr>
            <w:tcW w:type="dxa" w:w="1560"/>
            <w:vAlign w:val="center"/>
          </w:tcPr>
          <w:p>
            <w:pPr>
              <w:spacing w:before="40" w:after="40" w:line="240" w:lineRule="auto"/>
              <w:jc w:val="left"/>
            </w:pPr>
            <w:r/>
            <w:r>
              <w:rPr>
                <w:rFonts w:ascii="Times New Roman" w:hAnsi="Times New Roman" w:eastAsia="Times New Roman"/>
                <w:b w:val="0"/>
                <w:i w:val="0"/>
                <w:sz w:val="18"/>
              </w:rPr>
              <w:t>737 (27.0%)</w:t>
            </w:r>
          </w:p>
        </w:tc>
        <w:tc>
          <w:tcPr>
            <w:tcW w:type="dxa" w:w="1560"/>
            <w:vAlign w:val="center"/>
          </w:tcPr>
          <w:p>
            <w:pPr>
              <w:spacing w:before="40" w:after="40" w:line="240" w:lineRule="auto"/>
              <w:jc w:val="left"/>
            </w:pPr>
            <w:r/>
            <w:r>
              <w:rPr>
                <w:rFonts w:ascii="Times New Roman" w:hAnsi="Times New Roman" w:eastAsia="Times New Roman"/>
                <w:b w:val="0"/>
                <w:i w:val="0"/>
                <w:sz w:val="18"/>
              </w:rPr>
              <w:t>6,778 (70.7%)</w:t>
            </w:r>
          </w:p>
        </w:tc>
        <w:tc>
          <w:tcPr>
            <w:tcW w:type="dxa" w:w="1560"/>
            <w:vAlign w:val="center"/>
          </w:tcPr>
          <w:p>
            <w:pPr>
              <w:spacing w:before="40" w:after="40" w:line="240" w:lineRule="auto"/>
              <w:jc w:val="left"/>
            </w:pPr>
            <w:r/>
            <w:r>
              <w:rPr>
                <w:rFonts w:ascii="Times New Roman" w:hAnsi="Times New Roman" w:eastAsia="Times New Roman"/>
                <w:b w:val="0"/>
                <w:i w:val="0"/>
                <w:sz w:val="18"/>
              </w:rPr>
              <w:t>24,211 (28.8%)</w:t>
            </w:r>
          </w:p>
        </w:tc>
      </w:tr>
      <w:tr>
        <w:tc>
          <w:tcPr>
            <w:tcW w:type="dxa" w:w="1560"/>
            <w:vAlign w:val="center"/>
          </w:tcPr>
          <w:p>
            <w:pPr>
              <w:spacing w:before="40" w:after="40" w:line="240" w:lineRule="auto"/>
              <w:jc w:val="left"/>
            </w:pPr>
            <w:r/>
            <w:r>
              <w:rPr>
                <w:rFonts w:ascii="Times New Roman" w:hAnsi="Times New Roman" w:eastAsia="Times New Roman"/>
                <w:b w:val="0"/>
                <w:i w:val="0"/>
                <w:sz w:val="18"/>
              </w:rPr>
              <w:t>CKD (lab, eGFR&lt;60), n (%)</w:t>
            </w:r>
          </w:p>
        </w:tc>
        <w:tc>
          <w:tcPr>
            <w:tcW w:type="dxa" w:w="1560"/>
            <w:vAlign w:val="center"/>
          </w:tcPr>
          <w:p>
            <w:pPr>
              <w:spacing w:before="40" w:after="40" w:line="240" w:lineRule="auto"/>
              <w:jc w:val="left"/>
            </w:pPr>
            <w:r/>
            <w:r>
              <w:rPr>
                <w:rFonts w:ascii="Times New Roman" w:hAnsi="Times New Roman" w:eastAsia="Times New Roman"/>
                <w:b w:val="0"/>
                <w:i w:val="0"/>
                <w:sz w:val="18"/>
              </w:rPr>
              <w:t>14,449 (24.5%)</w:t>
            </w:r>
          </w:p>
        </w:tc>
        <w:tc>
          <w:tcPr>
            <w:tcW w:type="dxa" w:w="1560"/>
            <w:vAlign w:val="center"/>
          </w:tcPr>
          <w:p>
            <w:pPr>
              <w:spacing w:before="40" w:after="40" w:line="240" w:lineRule="auto"/>
              <w:jc w:val="left"/>
            </w:pPr>
            <w:r/>
            <w:r>
              <w:rPr>
                <w:rFonts w:ascii="Times New Roman" w:hAnsi="Times New Roman" w:eastAsia="Times New Roman"/>
                <w:b w:val="0"/>
                <w:i w:val="0"/>
                <w:sz w:val="18"/>
              </w:rPr>
              <w:t>5,563 (43.4%)</w:t>
            </w:r>
          </w:p>
        </w:tc>
        <w:tc>
          <w:tcPr>
            <w:tcW w:type="dxa" w:w="1560"/>
            <w:vAlign w:val="center"/>
          </w:tcPr>
          <w:p>
            <w:pPr>
              <w:spacing w:before="40" w:after="40" w:line="240" w:lineRule="auto"/>
              <w:jc w:val="left"/>
            </w:pPr>
            <w:r/>
            <w:r>
              <w:rPr>
                <w:rFonts w:ascii="Times New Roman" w:hAnsi="Times New Roman" w:eastAsia="Times New Roman"/>
                <w:b w:val="0"/>
                <w:i w:val="0"/>
                <w:sz w:val="18"/>
              </w:rPr>
              <w:t>615 (22.5%)</w:t>
            </w:r>
          </w:p>
        </w:tc>
        <w:tc>
          <w:tcPr>
            <w:tcW w:type="dxa" w:w="1560"/>
            <w:vAlign w:val="center"/>
          </w:tcPr>
          <w:p>
            <w:pPr>
              <w:spacing w:before="40" w:after="40" w:line="240" w:lineRule="auto"/>
              <w:jc w:val="left"/>
            </w:pPr>
            <w:r/>
            <w:r>
              <w:rPr>
                <w:rFonts w:ascii="Times New Roman" w:hAnsi="Times New Roman" w:eastAsia="Times New Roman"/>
                <w:b w:val="0"/>
                <w:i w:val="0"/>
                <w:sz w:val="18"/>
              </w:rPr>
              <w:t>7,954 (83.0%)</w:t>
            </w:r>
          </w:p>
        </w:tc>
        <w:tc>
          <w:tcPr>
            <w:tcW w:type="dxa" w:w="1560"/>
            <w:vAlign w:val="center"/>
          </w:tcPr>
          <w:p>
            <w:pPr>
              <w:spacing w:before="40" w:after="40" w:line="240" w:lineRule="auto"/>
              <w:jc w:val="left"/>
            </w:pPr>
            <w:r/>
            <w:r>
              <w:rPr>
                <w:rFonts w:ascii="Times New Roman" w:hAnsi="Times New Roman" w:eastAsia="Times New Roman"/>
                <w:b w:val="0"/>
                <w:i w:val="0"/>
                <w:sz w:val="18"/>
              </w:rPr>
              <w:t>28,581 (34.0%)</w:t>
            </w:r>
          </w:p>
        </w:tc>
      </w:tr>
      <w:tr>
        <w:tc>
          <w:tcPr>
            <w:tcW w:type="dxa" w:w="1560"/>
            <w:vAlign w:val="center"/>
          </w:tcPr>
          <w:p>
            <w:pPr>
              <w:spacing w:before="40" w:after="40" w:line="240" w:lineRule="auto"/>
              <w:jc w:val="left"/>
            </w:pPr>
            <w:r/>
            <w:r>
              <w:rPr>
                <w:rFonts w:ascii="Times New Roman" w:hAnsi="Times New Roman" w:eastAsia="Times New Roman"/>
                <w:b w:val="0"/>
                <w:i w:val="0"/>
                <w:sz w:val="18"/>
              </w:rPr>
              <w:t>eGFR (CKD-EPI)</w:t>
            </w:r>
          </w:p>
        </w:tc>
        <w:tc>
          <w:tcPr>
            <w:tcW w:type="dxa" w:w="1560"/>
            <w:vAlign w:val="center"/>
          </w:tcPr>
          <w:p>
            <w:pPr>
              <w:spacing w:before="40" w:after="40" w:line="240" w:lineRule="auto"/>
              <w:jc w:val="left"/>
            </w:pPr>
            <w:r/>
            <w:r>
              <w:rPr>
                <w:rFonts w:ascii="Times New Roman" w:hAnsi="Times New Roman" w:eastAsia="Times New Roman"/>
                <w:b w:val="0"/>
                <w:i w:val="0"/>
                <w:sz w:val="18"/>
              </w:rPr>
              <w:t>81.3 ± 28.9</w:t>
            </w:r>
          </w:p>
        </w:tc>
        <w:tc>
          <w:tcPr>
            <w:tcW w:type="dxa" w:w="1560"/>
            <w:vAlign w:val="center"/>
          </w:tcPr>
          <w:p>
            <w:pPr>
              <w:spacing w:before="40" w:after="40" w:line="240" w:lineRule="auto"/>
              <w:jc w:val="left"/>
            </w:pPr>
            <w:r/>
            <w:r>
              <w:rPr>
                <w:rFonts w:ascii="Times New Roman" w:hAnsi="Times New Roman" w:eastAsia="Times New Roman"/>
                <w:b w:val="0"/>
                <w:i w:val="0"/>
                <w:sz w:val="18"/>
              </w:rPr>
              <w:t>68.6 ± 29.1</w:t>
            </w:r>
          </w:p>
        </w:tc>
        <w:tc>
          <w:tcPr>
            <w:tcW w:type="dxa" w:w="1560"/>
            <w:vAlign w:val="center"/>
          </w:tcPr>
          <w:p>
            <w:pPr>
              <w:spacing w:before="40" w:after="40" w:line="240" w:lineRule="auto"/>
              <w:jc w:val="left"/>
            </w:pPr>
            <w:r/>
            <w:r>
              <w:rPr>
                <w:rFonts w:ascii="Times New Roman" w:hAnsi="Times New Roman" w:eastAsia="Times New Roman"/>
                <w:b w:val="0"/>
                <w:i w:val="0"/>
                <w:sz w:val="18"/>
              </w:rPr>
              <w:t>84.3 ± 27.3</w:t>
            </w:r>
          </w:p>
        </w:tc>
        <w:tc>
          <w:tcPr>
            <w:tcW w:type="dxa" w:w="1560"/>
            <w:vAlign w:val="center"/>
          </w:tcPr>
          <w:p>
            <w:pPr>
              <w:spacing w:before="40" w:after="40" w:line="240" w:lineRule="auto"/>
              <w:jc w:val="left"/>
            </w:pPr>
            <w:r/>
            <w:r>
              <w:rPr>
                <w:rFonts w:ascii="Times New Roman" w:hAnsi="Times New Roman" w:eastAsia="Times New Roman"/>
                <w:b w:val="0"/>
                <w:i w:val="0"/>
                <w:sz w:val="18"/>
              </w:rPr>
              <w:t>30.3 ± 32.6</w:t>
            </w:r>
          </w:p>
        </w:tc>
        <w:tc>
          <w:tcPr>
            <w:tcW w:type="dxa" w:w="1560"/>
            <w:vAlign w:val="center"/>
          </w:tcPr>
          <w:p>
            <w:pPr>
              <w:spacing w:before="40" w:after="40" w:line="240" w:lineRule="auto"/>
              <w:jc w:val="left"/>
            </w:pPr>
            <w:r/>
            <w:r>
              <w:rPr>
                <w:rFonts w:ascii="Times New Roman" w:hAnsi="Times New Roman" w:eastAsia="Times New Roman"/>
                <w:b w:val="0"/>
                <w:i w:val="0"/>
                <w:sz w:val="18"/>
              </w:rPr>
              <w:t>73.7 ± 33.5</w:t>
            </w:r>
          </w:p>
        </w:tc>
      </w:tr>
      <w:tr>
        <w:tc>
          <w:tcPr>
            <w:tcW w:type="dxa" w:w="1560"/>
            <w:vAlign w:val="center"/>
          </w:tcPr>
          <w:p>
            <w:pPr>
              <w:spacing w:before="40" w:after="40" w:line="240" w:lineRule="auto"/>
              <w:jc w:val="left"/>
            </w:pPr>
            <w:r/>
            <w:r>
              <w:rPr>
                <w:rFonts w:ascii="Times New Roman" w:hAnsi="Times New Roman" w:eastAsia="Times New Roman"/>
                <w:b/>
                <w:i w:val="0"/>
                <w:sz w:val="18"/>
              </w:rPr>
              <w:t>Comorbidities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Sepsis, n (%)</w:t>
            </w:r>
          </w:p>
        </w:tc>
        <w:tc>
          <w:tcPr>
            <w:tcW w:type="dxa" w:w="1560"/>
            <w:vAlign w:val="center"/>
          </w:tcPr>
          <w:p>
            <w:pPr>
              <w:spacing w:before="40" w:after="40" w:line="240" w:lineRule="auto"/>
              <w:jc w:val="left"/>
            </w:pPr>
            <w:r/>
            <w:r>
              <w:rPr>
                <w:rFonts w:ascii="Times New Roman" w:hAnsi="Times New Roman" w:eastAsia="Times New Roman"/>
                <w:b w:val="0"/>
                <w:i w:val="0"/>
                <w:sz w:val="18"/>
              </w:rPr>
              <w:t>12,808 (21.7%)</w:t>
            </w:r>
          </w:p>
        </w:tc>
        <w:tc>
          <w:tcPr>
            <w:tcW w:type="dxa" w:w="1560"/>
            <w:vAlign w:val="center"/>
          </w:tcPr>
          <w:p>
            <w:pPr>
              <w:spacing w:before="40" w:after="40" w:line="240" w:lineRule="auto"/>
              <w:jc w:val="left"/>
            </w:pPr>
            <w:r/>
            <w:r>
              <w:rPr>
                <w:rFonts w:ascii="Times New Roman" w:hAnsi="Times New Roman" w:eastAsia="Times New Roman"/>
                <w:b w:val="0"/>
                <w:i w:val="0"/>
                <w:sz w:val="18"/>
              </w:rPr>
              <w:t>3,752 (29.3%)</w:t>
            </w:r>
          </w:p>
        </w:tc>
        <w:tc>
          <w:tcPr>
            <w:tcW w:type="dxa" w:w="1560"/>
            <w:vAlign w:val="center"/>
          </w:tcPr>
          <w:p>
            <w:pPr>
              <w:spacing w:before="40" w:after="40" w:line="240" w:lineRule="auto"/>
              <w:jc w:val="left"/>
            </w:pPr>
            <w:r/>
            <w:r>
              <w:rPr>
                <w:rFonts w:ascii="Times New Roman" w:hAnsi="Times New Roman" w:eastAsia="Times New Roman"/>
                <w:b w:val="0"/>
                <w:i w:val="0"/>
                <w:sz w:val="18"/>
              </w:rPr>
              <w:t>1,084 (39.7%)</w:t>
            </w:r>
          </w:p>
        </w:tc>
        <w:tc>
          <w:tcPr>
            <w:tcW w:type="dxa" w:w="1560"/>
            <w:vAlign w:val="center"/>
          </w:tcPr>
          <w:p>
            <w:pPr>
              <w:spacing w:before="40" w:after="40" w:line="240" w:lineRule="auto"/>
              <w:jc w:val="left"/>
            </w:pPr>
            <w:r/>
            <w:r>
              <w:rPr>
                <w:rFonts w:ascii="Times New Roman" w:hAnsi="Times New Roman" w:eastAsia="Times New Roman"/>
                <w:b w:val="0"/>
                <w:i w:val="0"/>
                <w:sz w:val="18"/>
              </w:rPr>
              <w:t>5,004 (52.2%)</w:t>
            </w:r>
          </w:p>
        </w:tc>
        <w:tc>
          <w:tcPr>
            <w:tcW w:type="dxa" w:w="1560"/>
            <w:vAlign w:val="center"/>
          </w:tcPr>
          <w:p>
            <w:pPr>
              <w:spacing w:before="40" w:after="40" w:line="240" w:lineRule="auto"/>
              <w:jc w:val="left"/>
            </w:pPr>
            <w:r/>
            <w:r>
              <w:rPr>
                <w:rFonts w:ascii="Times New Roman" w:hAnsi="Times New Roman" w:eastAsia="Times New Roman"/>
                <w:b w:val="0"/>
                <w:i w:val="0"/>
                <w:sz w:val="18"/>
              </w:rPr>
              <w:t>22,648 (26.9%)</w:t>
            </w:r>
          </w:p>
        </w:tc>
      </w:tr>
      <w:tr>
        <w:tc>
          <w:tcPr>
            <w:tcW w:type="dxa" w:w="1560"/>
            <w:vAlign w:val="center"/>
          </w:tcPr>
          <w:p>
            <w:pPr>
              <w:spacing w:before="40" w:after="40" w:line="240" w:lineRule="auto"/>
              <w:jc w:val="left"/>
            </w:pPr>
            <w:r/>
            <w:r>
              <w:rPr>
                <w:rFonts w:ascii="Times New Roman" w:hAnsi="Times New Roman" w:eastAsia="Times New Roman"/>
                <w:b w:val="0"/>
                <w:i w:val="0"/>
                <w:sz w:val="18"/>
              </w:rPr>
              <w:t>Congestive Heart Failure, n (%)</w:t>
            </w:r>
          </w:p>
        </w:tc>
        <w:tc>
          <w:tcPr>
            <w:tcW w:type="dxa" w:w="1560"/>
            <w:vAlign w:val="center"/>
          </w:tcPr>
          <w:p>
            <w:pPr>
              <w:spacing w:before="40" w:after="40" w:line="240" w:lineRule="auto"/>
              <w:jc w:val="left"/>
            </w:pPr>
            <w:r/>
            <w:r>
              <w:rPr>
                <w:rFonts w:ascii="Times New Roman" w:hAnsi="Times New Roman" w:eastAsia="Times New Roman"/>
                <w:b w:val="0"/>
                <w:i w:val="0"/>
                <w:sz w:val="18"/>
              </w:rPr>
              <w:t>17,151 (29.1%)</w:t>
            </w:r>
          </w:p>
        </w:tc>
        <w:tc>
          <w:tcPr>
            <w:tcW w:type="dxa" w:w="1560"/>
            <w:vAlign w:val="center"/>
          </w:tcPr>
          <w:p>
            <w:pPr>
              <w:spacing w:before="40" w:after="40" w:line="240" w:lineRule="auto"/>
              <w:jc w:val="left"/>
            </w:pPr>
            <w:r/>
            <w:r>
              <w:rPr>
                <w:rFonts w:ascii="Times New Roman" w:hAnsi="Times New Roman" w:eastAsia="Times New Roman"/>
                <w:b w:val="0"/>
                <w:i w:val="0"/>
                <w:sz w:val="18"/>
              </w:rPr>
              <w:t>6,270 (48.9%)</w:t>
            </w:r>
          </w:p>
        </w:tc>
        <w:tc>
          <w:tcPr>
            <w:tcW w:type="dxa" w:w="1560"/>
            <w:vAlign w:val="center"/>
          </w:tcPr>
          <w:p>
            <w:pPr>
              <w:spacing w:before="40" w:after="40" w:line="240" w:lineRule="auto"/>
              <w:jc w:val="left"/>
            </w:pPr>
            <w:r/>
            <w:r>
              <w:rPr>
                <w:rFonts w:ascii="Times New Roman" w:hAnsi="Times New Roman" w:eastAsia="Times New Roman"/>
                <w:b w:val="0"/>
                <w:i w:val="0"/>
                <w:sz w:val="18"/>
              </w:rPr>
              <w:t>1,159 (42.5%)</w:t>
            </w:r>
          </w:p>
        </w:tc>
        <w:tc>
          <w:tcPr>
            <w:tcW w:type="dxa" w:w="1560"/>
            <w:vAlign w:val="center"/>
          </w:tcPr>
          <w:p>
            <w:pPr>
              <w:spacing w:before="40" w:after="40" w:line="240" w:lineRule="auto"/>
              <w:jc w:val="left"/>
            </w:pPr>
            <w:r/>
            <w:r>
              <w:rPr>
                <w:rFonts w:ascii="Times New Roman" w:hAnsi="Times New Roman" w:eastAsia="Times New Roman"/>
                <w:b w:val="0"/>
                <w:i w:val="0"/>
                <w:sz w:val="18"/>
              </w:rPr>
              <w:t>5,461 (57.0%)</w:t>
            </w:r>
          </w:p>
        </w:tc>
        <w:tc>
          <w:tcPr>
            <w:tcW w:type="dxa" w:w="1560"/>
            <w:vAlign w:val="center"/>
          </w:tcPr>
          <w:p>
            <w:pPr>
              <w:spacing w:before="40" w:after="40" w:line="240" w:lineRule="auto"/>
              <w:jc w:val="left"/>
            </w:pPr>
            <w:r/>
            <w:r>
              <w:rPr>
                <w:rFonts w:ascii="Times New Roman" w:hAnsi="Times New Roman" w:eastAsia="Times New Roman"/>
                <w:b w:val="0"/>
                <w:i w:val="0"/>
                <w:sz w:val="18"/>
              </w:rPr>
              <w:t>30,041 (35.7%)</w:t>
            </w:r>
          </w:p>
        </w:tc>
      </w:tr>
      <w:tr>
        <w:tc>
          <w:tcPr>
            <w:tcW w:type="dxa" w:w="1560"/>
            <w:vAlign w:val="center"/>
          </w:tcPr>
          <w:p>
            <w:pPr>
              <w:spacing w:before="40" w:after="40" w:line="240" w:lineRule="auto"/>
              <w:jc w:val="left"/>
            </w:pPr>
            <w:r/>
            <w:r>
              <w:rPr>
                <w:rFonts w:ascii="Times New Roman" w:hAnsi="Times New Roman" w:eastAsia="Times New Roman"/>
                <w:b w:val="0"/>
                <w:i w:val="0"/>
                <w:sz w:val="18"/>
              </w:rPr>
              <w:t>Liver Disease, n (%)</w:t>
            </w:r>
          </w:p>
        </w:tc>
        <w:tc>
          <w:tcPr>
            <w:tcW w:type="dxa" w:w="1560"/>
            <w:vAlign w:val="center"/>
          </w:tcPr>
          <w:p>
            <w:pPr>
              <w:spacing w:before="40" w:after="40" w:line="240" w:lineRule="auto"/>
              <w:jc w:val="left"/>
            </w:pPr>
            <w:r/>
            <w:r>
              <w:rPr>
                <w:rFonts w:ascii="Times New Roman" w:hAnsi="Times New Roman" w:eastAsia="Times New Roman"/>
                <w:b w:val="0"/>
                <w:i w:val="0"/>
                <w:sz w:val="18"/>
              </w:rPr>
              <w:t>8,499 (14.4%)</w:t>
            </w:r>
          </w:p>
        </w:tc>
        <w:tc>
          <w:tcPr>
            <w:tcW w:type="dxa" w:w="1560"/>
            <w:vAlign w:val="center"/>
          </w:tcPr>
          <w:p>
            <w:pPr>
              <w:spacing w:before="40" w:after="40" w:line="240" w:lineRule="auto"/>
              <w:jc w:val="left"/>
            </w:pPr>
            <w:r/>
            <w:r>
              <w:rPr>
                <w:rFonts w:ascii="Times New Roman" w:hAnsi="Times New Roman" w:eastAsia="Times New Roman"/>
                <w:b w:val="0"/>
                <w:i w:val="0"/>
                <w:sz w:val="18"/>
              </w:rPr>
              <w:t>2,538 (19.8%)</w:t>
            </w:r>
          </w:p>
        </w:tc>
        <w:tc>
          <w:tcPr>
            <w:tcW w:type="dxa" w:w="1560"/>
            <w:vAlign w:val="center"/>
          </w:tcPr>
          <w:p>
            <w:pPr>
              <w:spacing w:before="40" w:after="40" w:line="240" w:lineRule="auto"/>
              <w:jc w:val="left"/>
            </w:pPr>
            <w:r/>
            <w:r>
              <w:rPr>
                <w:rFonts w:ascii="Times New Roman" w:hAnsi="Times New Roman" w:eastAsia="Times New Roman"/>
                <w:b w:val="0"/>
                <w:i w:val="0"/>
                <w:sz w:val="18"/>
              </w:rPr>
              <w:t>726 (26.6%)</w:t>
            </w:r>
          </w:p>
        </w:tc>
        <w:tc>
          <w:tcPr>
            <w:tcW w:type="dxa" w:w="1560"/>
            <w:vAlign w:val="center"/>
          </w:tcPr>
          <w:p>
            <w:pPr>
              <w:spacing w:before="40" w:after="40" w:line="240" w:lineRule="auto"/>
              <w:jc w:val="left"/>
            </w:pPr>
            <w:r/>
            <w:r>
              <w:rPr>
                <w:rFonts w:ascii="Times New Roman" w:hAnsi="Times New Roman" w:eastAsia="Times New Roman"/>
                <w:b w:val="0"/>
                <w:i w:val="0"/>
                <w:sz w:val="18"/>
              </w:rPr>
              <w:t>3,181 (33.2%)</w:t>
            </w:r>
          </w:p>
        </w:tc>
        <w:tc>
          <w:tcPr>
            <w:tcW w:type="dxa" w:w="1560"/>
            <w:vAlign w:val="center"/>
          </w:tcPr>
          <w:p>
            <w:pPr>
              <w:spacing w:before="40" w:after="40" w:line="240" w:lineRule="auto"/>
              <w:jc w:val="left"/>
            </w:pPr>
            <w:r/>
            <w:r>
              <w:rPr>
                <w:rFonts w:ascii="Times New Roman" w:hAnsi="Times New Roman" w:eastAsia="Times New Roman"/>
                <w:b w:val="0"/>
                <w:i w:val="0"/>
                <w:sz w:val="18"/>
              </w:rPr>
              <w:t>14,944 (17.8%)</w:t>
            </w:r>
          </w:p>
        </w:tc>
      </w:tr>
      <w:tr>
        <w:tc>
          <w:tcPr>
            <w:tcW w:type="dxa" w:w="1560"/>
            <w:vAlign w:val="center"/>
          </w:tcPr>
          <w:p>
            <w:pPr>
              <w:spacing w:before="40" w:after="40" w:line="240" w:lineRule="auto"/>
              <w:jc w:val="left"/>
            </w:pPr>
            <w:r/>
            <w:r>
              <w:rPr>
                <w:rFonts w:ascii="Times New Roman" w:hAnsi="Times New Roman" w:eastAsia="Times New Roman"/>
                <w:b w:val="0"/>
                <w:i w:val="0"/>
                <w:sz w:val="18"/>
              </w:rPr>
              <w:t>Coagulopathy, n (%)</w:t>
            </w:r>
          </w:p>
        </w:tc>
        <w:tc>
          <w:tcPr>
            <w:tcW w:type="dxa" w:w="1560"/>
            <w:vAlign w:val="center"/>
          </w:tcPr>
          <w:p>
            <w:pPr>
              <w:spacing w:before="40" w:after="40" w:line="240" w:lineRule="auto"/>
              <w:jc w:val="left"/>
            </w:pPr>
            <w:r/>
            <w:r>
              <w:rPr>
                <w:rFonts w:ascii="Times New Roman" w:hAnsi="Times New Roman" w:eastAsia="Times New Roman"/>
                <w:b w:val="0"/>
                <w:i w:val="0"/>
                <w:sz w:val="18"/>
              </w:rPr>
              <w:t>12,423 (21.0%)</w:t>
            </w:r>
          </w:p>
        </w:tc>
        <w:tc>
          <w:tcPr>
            <w:tcW w:type="dxa" w:w="1560"/>
            <w:vAlign w:val="center"/>
          </w:tcPr>
          <w:p>
            <w:pPr>
              <w:spacing w:before="40" w:after="40" w:line="240" w:lineRule="auto"/>
              <w:jc w:val="left"/>
            </w:pPr>
            <w:r/>
            <w:r>
              <w:rPr>
                <w:rFonts w:ascii="Times New Roman" w:hAnsi="Times New Roman" w:eastAsia="Times New Roman"/>
                <w:b w:val="0"/>
                <w:i w:val="0"/>
                <w:sz w:val="18"/>
              </w:rPr>
              <w:t>4,086 (31.9%)</w:t>
            </w:r>
          </w:p>
        </w:tc>
        <w:tc>
          <w:tcPr>
            <w:tcW w:type="dxa" w:w="1560"/>
            <w:vAlign w:val="center"/>
          </w:tcPr>
          <w:p>
            <w:pPr>
              <w:spacing w:before="40" w:after="40" w:line="240" w:lineRule="auto"/>
              <w:jc w:val="left"/>
            </w:pPr>
            <w:r/>
            <w:r>
              <w:rPr>
                <w:rFonts w:ascii="Times New Roman" w:hAnsi="Times New Roman" w:eastAsia="Times New Roman"/>
                <w:b w:val="0"/>
                <w:i w:val="0"/>
                <w:sz w:val="18"/>
              </w:rPr>
              <w:t>1,041 (38.1%)</w:t>
            </w:r>
          </w:p>
        </w:tc>
        <w:tc>
          <w:tcPr>
            <w:tcW w:type="dxa" w:w="1560"/>
            <w:vAlign w:val="center"/>
          </w:tcPr>
          <w:p>
            <w:pPr>
              <w:spacing w:before="40" w:after="40" w:line="240" w:lineRule="auto"/>
              <w:jc w:val="left"/>
            </w:pPr>
            <w:r/>
            <w:r>
              <w:rPr>
                <w:rFonts w:ascii="Times New Roman" w:hAnsi="Times New Roman" w:eastAsia="Times New Roman"/>
                <w:b w:val="0"/>
                <w:i w:val="0"/>
                <w:sz w:val="18"/>
              </w:rPr>
              <w:t>4,454 (46.5%)</w:t>
            </w:r>
          </w:p>
        </w:tc>
        <w:tc>
          <w:tcPr>
            <w:tcW w:type="dxa" w:w="1560"/>
            <w:vAlign w:val="center"/>
          </w:tcPr>
          <w:p>
            <w:pPr>
              <w:spacing w:before="40" w:after="40" w:line="240" w:lineRule="auto"/>
              <w:jc w:val="left"/>
            </w:pPr>
            <w:r/>
            <w:r>
              <w:rPr>
                <w:rFonts w:ascii="Times New Roman" w:hAnsi="Times New Roman" w:eastAsia="Times New Roman"/>
                <w:b w:val="0"/>
                <w:i w:val="0"/>
                <w:sz w:val="18"/>
              </w:rPr>
              <w:t>22,004 (26.1%)</w:t>
            </w:r>
          </w:p>
        </w:tc>
      </w:tr>
      <w:tr>
        <w:tc>
          <w:tcPr>
            <w:tcW w:type="dxa" w:w="1560"/>
            <w:vAlign w:val="center"/>
          </w:tcPr>
          <w:p>
            <w:pPr>
              <w:spacing w:before="40" w:after="40" w:line="240" w:lineRule="auto"/>
              <w:jc w:val="left"/>
            </w:pPr>
            <w:r/>
            <w:r>
              <w:rPr>
                <w:rFonts w:ascii="Times New Roman" w:hAnsi="Times New Roman" w:eastAsia="Times New Roman"/>
                <w:b/>
                <w:i w:val="0"/>
                <w:sz w:val="18"/>
              </w:rPr>
              <w:t>Outcomes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In-hospital mortality, n (%)</w:t>
            </w:r>
          </w:p>
        </w:tc>
        <w:tc>
          <w:tcPr>
            <w:tcW w:type="dxa" w:w="1560"/>
            <w:vAlign w:val="center"/>
          </w:tcPr>
          <w:p>
            <w:pPr>
              <w:spacing w:before="40" w:after="40" w:line="240" w:lineRule="auto"/>
              <w:jc w:val="left"/>
            </w:pPr>
            <w:r/>
            <w:r>
              <w:rPr>
                <w:rFonts w:ascii="Times New Roman" w:hAnsi="Times New Roman" w:eastAsia="Times New Roman"/>
                <w:b w:val="0"/>
                <w:i w:val="0"/>
                <w:sz w:val="18"/>
              </w:rPr>
              <w:t>3,530 (6.0%)</w:t>
            </w:r>
          </w:p>
        </w:tc>
        <w:tc>
          <w:tcPr>
            <w:tcW w:type="dxa" w:w="1560"/>
            <w:vAlign w:val="center"/>
          </w:tcPr>
          <w:p>
            <w:pPr>
              <w:spacing w:before="40" w:after="40" w:line="240" w:lineRule="auto"/>
              <w:jc w:val="left"/>
            </w:pPr>
            <w:r/>
            <w:r>
              <w:rPr>
                <w:rFonts w:ascii="Times New Roman" w:hAnsi="Times New Roman" w:eastAsia="Times New Roman"/>
                <w:b w:val="0"/>
                <w:i w:val="0"/>
                <w:sz w:val="18"/>
              </w:rPr>
              <w:t>1,932 (15.1%)</w:t>
            </w:r>
          </w:p>
        </w:tc>
        <w:tc>
          <w:tcPr>
            <w:tcW w:type="dxa" w:w="1560"/>
            <w:vAlign w:val="center"/>
          </w:tcPr>
          <w:p>
            <w:pPr>
              <w:spacing w:before="40" w:after="40" w:line="240" w:lineRule="auto"/>
              <w:jc w:val="left"/>
            </w:pPr>
            <w:r/>
            <w:r>
              <w:rPr>
                <w:rFonts w:ascii="Times New Roman" w:hAnsi="Times New Roman" w:eastAsia="Times New Roman"/>
                <w:b w:val="0"/>
                <w:i w:val="0"/>
                <w:sz w:val="18"/>
              </w:rPr>
              <w:t>730 (26.7%)</w:t>
            </w:r>
          </w:p>
        </w:tc>
        <w:tc>
          <w:tcPr>
            <w:tcW w:type="dxa" w:w="1560"/>
            <w:vAlign w:val="center"/>
          </w:tcPr>
          <w:p>
            <w:pPr>
              <w:spacing w:before="40" w:after="40" w:line="240" w:lineRule="auto"/>
              <w:jc w:val="left"/>
            </w:pPr>
            <w:r/>
            <w:r>
              <w:rPr>
                <w:rFonts w:ascii="Times New Roman" w:hAnsi="Times New Roman" w:eastAsia="Times New Roman"/>
                <w:b w:val="0"/>
                <w:i w:val="0"/>
                <w:sz w:val="18"/>
              </w:rPr>
              <w:t>2,778 (29.0%)</w:t>
            </w:r>
          </w:p>
        </w:tc>
        <w:tc>
          <w:tcPr>
            <w:tcW w:type="dxa" w:w="1560"/>
            <w:vAlign w:val="center"/>
          </w:tcPr>
          <w:p>
            <w:pPr>
              <w:spacing w:before="40" w:after="40" w:line="240" w:lineRule="auto"/>
              <w:jc w:val="left"/>
            </w:pPr>
            <w:r/>
            <w:r>
              <w:rPr>
                <w:rFonts w:ascii="Times New Roman" w:hAnsi="Times New Roman" w:eastAsia="Times New Roman"/>
                <w:b w:val="0"/>
                <w:i w:val="0"/>
                <w:sz w:val="18"/>
              </w:rPr>
              <w:t>8,970 (10.7%)</w:t>
            </w:r>
          </w:p>
        </w:tc>
      </w:tr>
      <w:tr>
        <w:tc>
          <w:tcPr>
            <w:tcW w:type="dxa" w:w="1560"/>
            <w:vAlign w:val="center"/>
          </w:tcPr>
          <w:p>
            <w:pPr>
              <w:spacing w:before="40" w:after="40" w:line="240" w:lineRule="auto"/>
              <w:jc w:val="left"/>
            </w:pPr>
            <w:r/>
            <w:r>
              <w:rPr>
                <w:rFonts w:ascii="Times New Roman" w:hAnsi="Times New Roman" w:eastAsia="Times New Roman"/>
                <w:b w:val="0"/>
                <w:i w:val="0"/>
                <w:sz w:val="18"/>
              </w:rPr>
              <w:t>ICU LOS (hours)</w:t>
            </w:r>
          </w:p>
        </w:tc>
        <w:tc>
          <w:tcPr>
            <w:tcW w:type="dxa" w:w="1560"/>
            <w:vAlign w:val="center"/>
          </w:tcPr>
          <w:p>
            <w:pPr>
              <w:spacing w:before="40" w:after="40" w:line="240" w:lineRule="auto"/>
              <w:jc w:val="left"/>
            </w:pPr>
            <w:r/>
            <w:r>
              <w:rPr>
                <w:rFonts w:ascii="Times New Roman" w:hAnsi="Times New Roman" w:eastAsia="Times New Roman"/>
                <w:b w:val="0"/>
                <w:i w:val="0"/>
                <w:sz w:val="18"/>
              </w:rPr>
              <w:t>67.7 ± 89.2</w:t>
            </w:r>
          </w:p>
        </w:tc>
        <w:tc>
          <w:tcPr>
            <w:tcW w:type="dxa" w:w="1560"/>
            <w:vAlign w:val="center"/>
          </w:tcPr>
          <w:p>
            <w:pPr>
              <w:spacing w:before="40" w:after="40" w:line="240" w:lineRule="auto"/>
              <w:jc w:val="left"/>
            </w:pPr>
            <w:r/>
            <w:r>
              <w:rPr>
                <w:rFonts w:ascii="Times New Roman" w:hAnsi="Times New Roman" w:eastAsia="Times New Roman"/>
                <w:b w:val="0"/>
                <w:i w:val="0"/>
                <w:sz w:val="18"/>
              </w:rPr>
              <w:t>100.5 ± 124.0</w:t>
            </w:r>
          </w:p>
        </w:tc>
        <w:tc>
          <w:tcPr>
            <w:tcW w:type="dxa" w:w="1560"/>
            <w:vAlign w:val="center"/>
          </w:tcPr>
          <w:p>
            <w:pPr>
              <w:spacing w:before="40" w:after="40" w:line="240" w:lineRule="auto"/>
              <w:jc w:val="left"/>
            </w:pPr>
            <w:r/>
            <w:r>
              <w:rPr>
                <w:rFonts w:ascii="Times New Roman" w:hAnsi="Times New Roman" w:eastAsia="Times New Roman"/>
                <w:b w:val="0"/>
                <w:i w:val="0"/>
                <w:sz w:val="18"/>
              </w:rPr>
              <w:t>153.9 ± 203.5</w:t>
            </w:r>
          </w:p>
        </w:tc>
        <w:tc>
          <w:tcPr>
            <w:tcW w:type="dxa" w:w="1560"/>
            <w:vAlign w:val="center"/>
          </w:tcPr>
          <w:p>
            <w:pPr>
              <w:spacing w:before="40" w:after="40" w:line="240" w:lineRule="auto"/>
              <w:jc w:val="left"/>
            </w:pPr>
            <w:r/>
            <w:r>
              <w:rPr>
                <w:rFonts w:ascii="Times New Roman" w:hAnsi="Times New Roman" w:eastAsia="Times New Roman"/>
                <w:b w:val="0"/>
                <w:i w:val="0"/>
                <w:sz w:val="18"/>
              </w:rPr>
              <w:t>150.5 ± 216.4</w:t>
            </w:r>
          </w:p>
        </w:tc>
        <w:tc>
          <w:tcPr>
            <w:tcW w:type="dxa" w:w="1560"/>
            <w:vAlign w:val="center"/>
          </w:tcPr>
          <w:p>
            <w:pPr>
              <w:spacing w:before="40" w:after="40" w:line="240" w:lineRule="auto"/>
              <w:jc w:val="left"/>
            </w:pPr>
            <w:r/>
            <w:r>
              <w:rPr>
                <w:rFonts w:ascii="Times New Roman" w:hAnsi="Times New Roman" w:eastAsia="Times New Roman"/>
                <w:b w:val="0"/>
                <w:i w:val="0"/>
                <w:sz w:val="18"/>
              </w:rPr>
              <w:t>84.9 ± 124.5</w:t>
            </w:r>
          </w:p>
        </w:tc>
      </w:tr>
      <w:tr>
        <w:tc>
          <w:tcPr>
            <w:tcW w:type="dxa" w:w="1560"/>
            <w:vAlign w:val="center"/>
          </w:tcPr>
          <w:p>
            <w:pPr>
              <w:spacing w:before="40" w:after="40" w:line="240" w:lineRule="auto"/>
              <w:jc w:val="left"/>
            </w:pPr>
            <w:r/>
            <w:r>
              <w:rPr>
                <w:rFonts w:ascii="Times New Roman" w:hAnsi="Times New Roman" w:eastAsia="Times New Roman"/>
                <w:b w:val="0"/>
                <w:i w:val="0"/>
                <w:sz w:val="18"/>
              </w:rPr>
              <w:t>Hospital LOS (days)</w:t>
            </w:r>
          </w:p>
        </w:tc>
        <w:tc>
          <w:tcPr>
            <w:tcW w:type="dxa" w:w="1560"/>
            <w:vAlign w:val="center"/>
          </w:tcPr>
          <w:p>
            <w:pPr>
              <w:spacing w:before="40" w:after="40" w:line="240" w:lineRule="auto"/>
              <w:jc w:val="left"/>
            </w:pPr>
            <w:r/>
            <w:r>
              <w:rPr>
                <w:rFonts w:ascii="Times New Roman" w:hAnsi="Times New Roman" w:eastAsia="Times New Roman"/>
                <w:b w:val="0"/>
                <w:i w:val="0"/>
                <w:sz w:val="18"/>
              </w:rPr>
              <w:t>8.1 ± 8.4</w:t>
            </w:r>
          </w:p>
        </w:tc>
        <w:tc>
          <w:tcPr>
            <w:tcW w:type="dxa" w:w="1560"/>
            <w:vAlign w:val="center"/>
          </w:tcPr>
          <w:p>
            <w:pPr>
              <w:spacing w:before="40" w:after="40" w:line="240" w:lineRule="auto"/>
              <w:jc w:val="left"/>
            </w:pPr>
            <w:r/>
            <w:r>
              <w:rPr>
                <w:rFonts w:ascii="Times New Roman" w:hAnsi="Times New Roman" w:eastAsia="Times New Roman"/>
                <w:b w:val="0"/>
                <w:i w:val="0"/>
                <w:sz w:val="18"/>
              </w:rPr>
              <w:t>13.2 ± 12.8</w:t>
            </w:r>
          </w:p>
        </w:tc>
        <w:tc>
          <w:tcPr>
            <w:tcW w:type="dxa" w:w="1560"/>
            <w:vAlign w:val="center"/>
          </w:tcPr>
          <w:p>
            <w:pPr>
              <w:spacing w:before="40" w:after="40" w:line="240" w:lineRule="auto"/>
              <w:jc w:val="left"/>
            </w:pPr>
            <w:r/>
            <w:r>
              <w:rPr>
                <w:rFonts w:ascii="Times New Roman" w:hAnsi="Times New Roman" w:eastAsia="Times New Roman"/>
                <w:b w:val="0"/>
                <w:i w:val="0"/>
                <w:sz w:val="18"/>
              </w:rPr>
              <w:t>18.7 ± 18.1</w:t>
            </w:r>
          </w:p>
        </w:tc>
        <w:tc>
          <w:tcPr>
            <w:tcW w:type="dxa" w:w="1560"/>
            <w:vAlign w:val="center"/>
          </w:tcPr>
          <w:p>
            <w:pPr>
              <w:spacing w:before="40" w:after="40" w:line="240" w:lineRule="auto"/>
              <w:jc w:val="left"/>
            </w:pPr>
            <w:r/>
            <w:r>
              <w:rPr>
                <w:rFonts w:ascii="Times New Roman" w:hAnsi="Times New Roman" w:eastAsia="Times New Roman"/>
                <w:b w:val="0"/>
                <w:i w:val="0"/>
                <w:sz w:val="18"/>
              </w:rPr>
              <w:t>17.1 ± 19.5</w:t>
            </w:r>
          </w:p>
        </w:tc>
        <w:tc>
          <w:tcPr>
            <w:tcW w:type="dxa" w:w="1560"/>
            <w:vAlign w:val="center"/>
          </w:tcPr>
          <w:p>
            <w:pPr>
              <w:spacing w:before="40" w:after="40" w:line="240" w:lineRule="auto"/>
              <w:jc w:val="left"/>
            </w:pPr>
            <w:r/>
            <w:r>
              <w:rPr>
                <w:rFonts w:ascii="Times New Roman" w:hAnsi="Times New Roman" w:eastAsia="Times New Roman"/>
                <w:b w:val="0"/>
                <w:i w:val="0"/>
                <w:sz w:val="18"/>
              </w:rPr>
              <w:t>10.2 ± 11.9</w:t>
            </w:r>
          </w:p>
        </w:tc>
      </w:tr>
      <w:tr>
        <w:tc>
          <w:tcPr>
            <w:tcW w:type="dxa" w:w="1560"/>
            <w:vAlign w:val="center"/>
          </w:tcPr>
          <w:p>
            <w:pPr>
              <w:spacing w:before="40" w:after="40" w:line="240" w:lineRule="auto"/>
              <w:jc w:val="left"/>
            </w:pPr>
            <w:r/>
            <w:r>
              <w:rPr>
                <w:rFonts w:ascii="Times New Roman" w:hAnsi="Times New Roman" w:eastAsia="Times New Roman"/>
                <w:b w:val="0"/>
                <w:i w:val="0"/>
                <w:sz w:val="18"/>
              </w:rPr>
              <w:t>RRT, n (%)</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3,971 (41.4%)</w:t>
            </w:r>
          </w:p>
        </w:tc>
        <w:tc>
          <w:tcPr>
            <w:tcW w:type="dxa" w:w="1560"/>
            <w:vAlign w:val="center"/>
          </w:tcPr>
          <w:p>
            <w:pPr>
              <w:spacing w:before="40" w:after="40" w:line="240" w:lineRule="auto"/>
              <w:jc w:val="left"/>
            </w:pPr>
            <w:r/>
            <w:r>
              <w:rPr>
                <w:rFonts w:ascii="Times New Roman" w:hAnsi="Times New Roman" w:eastAsia="Times New Roman"/>
                <w:b w:val="0"/>
                <w:i w:val="0"/>
                <w:sz w:val="18"/>
              </w:rPr>
              <w:t>3,971 (4.7%)</w:t>
            </w:r>
          </w:p>
        </w:tc>
      </w:tr>
    </w:tbl>
    <w:p/>
    <w:p>
      <w:pPr>
        <w:spacing w:line="480" w:lineRule="auto" w:before="0" w:after="0"/>
        <w:ind w:firstLine="720"/>
      </w:pPr>
      <w:r>
        <w:rPr>
          <w:rFonts w:ascii="Times New Roman" w:hAnsi="Times New Roman" w:eastAsia="Times New Roman"/>
          <w:b w:val="0"/>
          <w:i/>
          <w:sz w:val="24"/>
        </w:rPr>
        <w:t>Continuous variables: mean ± SD. Categorical: n (%). All across-stage comparisons: p &lt; 0.001 (ANOVA or chi-square).</w:t>
      </w:r>
    </w:p>
    <w:p>
      <w:pPr>
        <w:pStyle w:val="Heading2"/>
        <w:spacing w:before="240" w:after="120" w:line="240" w:lineRule="auto"/>
      </w:pPr>
      <w:r>
        <w:rPr>
          <w:rFonts w:ascii="Times New Roman" w:hAnsi="Times New Roman" w:eastAsia="Times New Roman"/>
          <w:b/>
          <w:i w:val="0"/>
          <w:sz w:val="24"/>
        </w:rPr>
        <w:t>Table 2. Multivariable Logistic Regression: Comparison of Three Incremental Models (MIMIC-IV)</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spacing w:before="40" w:after="40" w:line="240" w:lineRule="auto"/>
              <w:jc w:val="center"/>
            </w:pPr>
            <w:r>
              <w:rPr>
                <w:b/>
              </w:rPr>
            </w:r>
            <w:r>
              <w:rPr>
                <w:rFonts w:ascii="Times New Roman" w:hAnsi="Times New Roman" w:eastAsia="Times New Roman"/>
                <w:b/>
                <w:i w:val="0"/>
                <w:sz w:val="18"/>
              </w:rPr>
              <w:t>Variable</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A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B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C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1</w:t>
            </w:r>
          </w:p>
        </w:tc>
        <w:tc>
          <w:tcPr>
            <w:tcW w:type="dxa" w:w="1337"/>
            <w:vAlign w:val="center"/>
          </w:tcPr>
          <w:p>
            <w:pPr>
              <w:spacing w:before="40" w:after="40" w:line="240" w:lineRule="auto"/>
              <w:jc w:val="left"/>
            </w:pPr>
            <w:r/>
            <w:r>
              <w:rPr>
                <w:rFonts w:ascii="Times New Roman" w:hAnsi="Times New Roman" w:eastAsia="Times New Roman"/>
                <w:b w:val="0"/>
                <w:i w:val="0"/>
                <w:sz w:val="18"/>
              </w:rPr>
              <w:t>2.762 (2.595–2.940)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1.885 (1.765–2.013)</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2</w:t>
            </w:r>
          </w:p>
        </w:tc>
        <w:tc>
          <w:tcPr>
            <w:tcW w:type="dxa" w:w="1337"/>
            <w:vAlign w:val="center"/>
          </w:tcPr>
          <w:p>
            <w:pPr>
              <w:spacing w:before="40" w:after="40" w:line="240" w:lineRule="auto"/>
              <w:jc w:val="left"/>
            </w:pPr>
            <w:r/>
            <w:r>
              <w:rPr>
                <w:rFonts w:ascii="Times New Roman" w:hAnsi="Times New Roman" w:eastAsia="Times New Roman"/>
                <w:b w:val="0"/>
                <w:i w:val="0"/>
                <w:sz w:val="18"/>
              </w:rPr>
              <w:t>5.261 (4.775–5.797)</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2.978 (2.688–3.300)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3</w:t>
            </w:r>
          </w:p>
        </w:tc>
        <w:tc>
          <w:tcPr>
            <w:tcW w:type="dxa" w:w="1337"/>
            <w:vAlign w:val="center"/>
          </w:tcPr>
          <w:p>
            <w:pPr>
              <w:spacing w:before="40" w:after="40" w:line="240" w:lineRule="auto"/>
              <w:jc w:val="left"/>
            </w:pPr>
            <w:r/>
            <w:r>
              <w:rPr>
                <w:rFonts w:ascii="Times New Roman" w:hAnsi="Times New Roman" w:eastAsia="Times New Roman"/>
                <w:b w:val="0"/>
                <w:i w:val="0"/>
                <w:sz w:val="18"/>
              </w:rPr>
              <w:t>7.029 (6.589–7.499)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2.881 (2.664–3.115)</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val="0"/>
                <w:i w:val="0"/>
                <w:sz w:val="18"/>
              </w:rPr>
              <w:t>Log-Cr ratio (continuous)</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2.135 (2.003–2.276)</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Age (per year)</w:t>
            </w:r>
          </w:p>
        </w:tc>
        <w:tc>
          <w:tcPr>
            <w:tcW w:type="dxa" w:w="1337"/>
            <w:vAlign w:val="center"/>
          </w:tcPr>
          <w:p>
            <w:pPr>
              <w:spacing w:before="40" w:after="40" w:line="240" w:lineRule="auto"/>
              <w:jc w:val="left"/>
            </w:pPr>
            <w:r/>
            <w:r>
              <w:rPr>
                <w:rFonts w:ascii="Times New Roman" w:hAnsi="Times New Roman" w:eastAsia="Times New Roman"/>
                <w:b w:val="0"/>
                <w:i w:val="0"/>
                <w:sz w:val="18"/>
              </w:rPr>
              <w:t>1.036 (1.034–1.038)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1.038 (1.036–1.040)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1.036 (1.034–1.038)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Male</w:t>
            </w:r>
          </w:p>
        </w:tc>
        <w:tc>
          <w:tcPr>
            <w:tcW w:type="dxa" w:w="1337"/>
            <w:vAlign w:val="center"/>
          </w:tcPr>
          <w:p>
            <w:pPr>
              <w:spacing w:before="40" w:after="40" w:line="240" w:lineRule="auto"/>
              <w:jc w:val="left"/>
            </w:pPr>
            <w:r/>
            <w:r>
              <w:rPr>
                <w:rFonts w:ascii="Times New Roman" w:hAnsi="Times New Roman" w:eastAsia="Times New Roman"/>
                <w:b w:val="0"/>
                <w:i w:val="0"/>
                <w:sz w:val="18"/>
              </w:rPr>
              <w:t>0.894 (0.852–0.938)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0.765 (0.727–0.804)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0.876 (0.836–0.918)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SOFA score</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1.333 (1.318–1.349)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1.325 (1.310–1.340)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Mechanical ventilation</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0.441 (0.407–0.478)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0.471 (0.435–0.509)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Vasopressor use</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0.660 (0.614–0.709)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0.688 (0.641–0.739)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CKD (ICD)</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0.620 (0.582–0.660)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0.626 (0.588–0.667)</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Sepsis</w:t>
            </w:r>
          </w:p>
        </w:tc>
        <w:tc>
          <w:tcPr>
            <w:tcW w:type="dxa" w:w="1337"/>
            <w:vAlign w:val="center"/>
          </w:tcPr>
          <w:p>
            <w:pPr>
              <w:spacing w:before="40" w:after="40" w:line="240" w:lineRule="auto"/>
              <w:jc w:val="left"/>
            </w:pPr>
            <w:r/>
            <w:r>
              <w:rPr>
                <w:rFonts w:ascii="Times New Roman" w:hAnsi="Times New Roman" w:eastAsia="Times New Roman"/>
                <w:b w:val="0"/>
                <w:i w:val="0"/>
                <w:sz w:val="18"/>
              </w:rPr>
              <w:t>1.805 (1.713–1.902)</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1.598 (1.512–1.690)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1.671 (1.583–1.764)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Metastatic Cancer</w:t>
            </w:r>
          </w:p>
        </w:tc>
        <w:tc>
          <w:tcPr>
            <w:tcW w:type="dxa" w:w="1337"/>
            <w:vAlign w:val="center"/>
          </w:tcPr>
          <w:p>
            <w:pPr>
              <w:spacing w:before="40" w:after="40" w:line="240" w:lineRule="auto"/>
              <w:jc w:val="left"/>
            </w:pPr>
            <w:r/>
            <w:r>
              <w:rPr>
                <w:rFonts w:ascii="Times New Roman" w:hAnsi="Times New Roman" w:eastAsia="Times New Roman"/>
                <w:b w:val="0"/>
                <w:i w:val="0"/>
                <w:sz w:val="18"/>
              </w:rPr>
              <w:t>1.547 (1.415–1.691)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1.947 (1.773–2.139)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1.601 (1.464–1.751)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Liver Disease</w:t>
            </w:r>
          </w:p>
        </w:tc>
        <w:tc>
          <w:tcPr>
            <w:tcW w:type="dxa" w:w="1337"/>
            <w:vAlign w:val="center"/>
          </w:tcPr>
          <w:p>
            <w:pPr>
              <w:spacing w:before="40" w:after="40" w:line="240" w:lineRule="auto"/>
              <w:jc w:val="left"/>
            </w:pPr>
            <w:r/>
            <w:r>
              <w:rPr>
                <w:rFonts w:ascii="Times New Roman" w:hAnsi="Times New Roman" w:eastAsia="Times New Roman"/>
                <w:b w:val="0"/>
                <w:i w:val="0"/>
                <w:sz w:val="18"/>
              </w:rPr>
              <w:t>1.590 (1.496–1.691)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1.164 (1.089–1.244)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1.220 (1.144–1.301)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i w:val="0"/>
                <w:sz w:val="18"/>
              </w:rPr>
              <w:t>AIC</w:t>
            </w:r>
          </w:p>
        </w:tc>
        <w:tc>
          <w:tcPr>
            <w:tcW w:type="dxa" w:w="1337"/>
            <w:vAlign w:val="center"/>
          </w:tcPr>
          <w:p>
            <w:pPr>
              <w:spacing w:before="40" w:after="40" w:line="240" w:lineRule="auto"/>
              <w:jc w:val="left"/>
            </w:pPr>
            <w:r/>
            <w:r>
              <w:rPr>
                <w:rFonts w:ascii="Times New Roman" w:hAnsi="Times New Roman" w:eastAsia="Times New Roman"/>
                <w:b w:val="0"/>
                <w:i w:val="0"/>
                <w:sz w:val="18"/>
              </w:rPr>
              <w:t>48,347</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44,716</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45,132</w:t>
            </w:r>
          </w:p>
        </w:tc>
        <w:tc>
          <w:tcPr>
            <w:tcW w:type="dxa" w:w="1337"/>
            <w:vAlign w:val="center"/>
          </w:tcPr>
          <w:p>
            <w:pPr>
              <w:spacing w:before="40" w:after="40" w:line="240" w:lineRule="auto"/>
              <w:jc w:val="left"/>
            </w:pPr>
            <w:r/>
          </w:p>
        </w:tc>
      </w:tr>
      <w:tr>
        <w:tc>
          <w:tcPr>
            <w:tcW w:type="dxa" w:w="1337"/>
            <w:vAlign w:val="center"/>
          </w:tcPr>
          <w:p>
            <w:pPr>
              <w:spacing w:before="40" w:after="40" w:line="240" w:lineRule="auto"/>
              <w:jc w:val="left"/>
            </w:pPr>
            <w:r/>
            <w:r>
              <w:rPr>
                <w:rFonts w:ascii="Times New Roman" w:hAnsi="Times New Roman" w:eastAsia="Times New Roman"/>
                <w:b/>
                <w:i w:val="0"/>
                <w:sz w:val="18"/>
              </w:rPr>
              <w:t>AUC (95% CI)</w:t>
            </w:r>
          </w:p>
        </w:tc>
        <w:tc>
          <w:tcPr>
            <w:tcW w:type="dxa" w:w="1337"/>
            <w:vAlign w:val="center"/>
          </w:tcPr>
          <w:p>
            <w:pPr>
              <w:spacing w:before="40" w:after="40" w:line="240" w:lineRule="auto"/>
              <w:jc w:val="left"/>
            </w:pPr>
            <w:r/>
            <w:r>
              <w:rPr>
                <w:rFonts w:ascii="Times New Roman" w:hAnsi="Times New Roman" w:eastAsia="Times New Roman"/>
                <w:b w:val="0"/>
                <w:i w:val="0"/>
                <w:sz w:val="18"/>
              </w:rPr>
              <w:t>0.778 (0.773–0.784)</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0.828 (0.823–0.833)</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0.825 (0.820–0.831)</w:t>
            </w:r>
          </w:p>
        </w:tc>
        <w:tc>
          <w:tcPr>
            <w:tcW w:type="dxa" w:w="1337"/>
            <w:vAlign w:val="center"/>
          </w:tcPr>
          <w:p>
            <w:pPr>
              <w:spacing w:before="40" w:after="40" w:line="240" w:lineRule="auto"/>
              <w:jc w:val="left"/>
            </w:pPr>
            <w:r/>
          </w:p>
        </w:tc>
      </w:tr>
      <w:tr>
        <w:tc>
          <w:tcPr>
            <w:tcW w:type="dxa" w:w="1337"/>
            <w:vAlign w:val="center"/>
          </w:tcPr>
          <w:p>
            <w:pPr>
              <w:spacing w:before="40" w:after="40" w:line="240" w:lineRule="auto"/>
              <w:jc w:val="left"/>
            </w:pPr>
            <w:r/>
            <w:r>
              <w:rPr>
                <w:rFonts w:ascii="Times New Roman" w:hAnsi="Times New Roman" w:eastAsia="Times New Roman"/>
                <w:b/>
                <w:i w:val="0"/>
                <w:sz w:val="18"/>
              </w:rPr>
              <w:t>Brier Score</w:t>
            </w:r>
          </w:p>
        </w:tc>
        <w:tc>
          <w:tcPr>
            <w:tcW w:type="dxa" w:w="1337"/>
            <w:vAlign w:val="center"/>
          </w:tcPr>
          <w:p>
            <w:pPr>
              <w:spacing w:before="40" w:after="40" w:line="240" w:lineRule="auto"/>
              <w:jc w:val="left"/>
            </w:pPr>
            <w:r/>
            <w:r>
              <w:rPr>
                <w:rFonts w:ascii="Times New Roman" w:hAnsi="Times New Roman" w:eastAsia="Times New Roman"/>
                <w:b w:val="0"/>
                <w:i w:val="0"/>
                <w:sz w:val="18"/>
              </w:rPr>
              <w:t>0.0829</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0.0779</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0.0788</w:t>
            </w:r>
          </w:p>
        </w:tc>
        <w:tc>
          <w:tcPr>
            <w:tcW w:type="dxa" w:w="1337"/>
            <w:vAlign w:val="center"/>
          </w:tcPr>
          <w:p>
            <w:pPr>
              <w:spacing w:before="40" w:after="40" w:line="240" w:lineRule="auto"/>
              <w:jc w:val="left"/>
            </w:pPr>
            <w:r/>
          </w:p>
        </w:tc>
      </w:tr>
    </w:tbl>
    <w:p/>
    <w:p>
      <w:pPr>
        <w:spacing w:line="480" w:lineRule="auto" w:before="0" w:after="0"/>
        <w:ind w:firstLine="720"/>
      </w:pPr>
      <w:r>
        <w:rPr>
          <w:rFonts w:ascii="Times New Roman" w:hAnsi="Times New Roman" w:eastAsia="Times New Roman"/>
          <w:b w:val="0"/>
          <w:i/>
          <w:sz w:val="24"/>
        </w:rPr>
        <w:t>Reference: KDIGO Stage 0. Full covariate results (27 variables) in Table S2. VIF for all covariates &lt;5.</w:t>
      </w:r>
    </w:p>
    <w:p>
      <w:pPr>
        <w:pStyle w:val="Heading2"/>
        <w:spacing w:before="240" w:after="120" w:line="240" w:lineRule="auto"/>
      </w:pPr>
      <w:r>
        <w:rPr>
          <w:rFonts w:ascii="Times New Roman" w:hAnsi="Times New Roman" w:eastAsia="Times New Roman"/>
          <w:b/>
          <w:i w:val="0"/>
          <w:sz w:val="24"/>
        </w:rPr>
        <w:t>Table 3. External Validation: KDIGO Distribution, Mortality, and Model Performance in eICU-CRD (N = 166,373)</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Metric</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eICU-CRD</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MIMIC-IV (comparison)</w:t>
            </w:r>
          </w:p>
        </w:tc>
      </w:tr>
      <w:tr>
        <w:tc>
          <w:tcPr>
            <w:tcW w:type="dxa" w:w="3120"/>
            <w:vAlign w:val="center"/>
          </w:tcPr>
          <w:p>
            <w:pPr>
              <w:spacing w:before="40" w:after="40" w:line="240" w:lineRule="auto"/>
              <w:jc w:val="left"/>
            </w:pPr>
            <w:r/>
            <w:r>
              <w:rPr>
                <w:rFonts w:ascii="Times New Roman" w:hAnsi="Times New Roman" w:eastAsia="Times New Roman"/>
                <w:b/>
                <w:i w:val="0"/>
                <w:sz w:val="20"/>
              </w:rPr>
              <w:t>KDIGO Distribution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0, n (%)</w:t>
            </w:r>
          </w:p>
        </w:tc>
        <w:tc>
          <w:tcPr>
            <w:tcW w:type="dxa" w:w="3120"/>
            <w:vAlign w:val="center"/>
          </w:tcPr>
          <w:p>
            <w:pPr>
              <w:spacing w:before="40" w:after="40" w:line="240" w:lineRule="auto"/>
              <w:jc w:val="left"/>
            </w:pPr>
            <w:r/>
            <w:r>
              <w:rPr>
                <w:rFonts w:ascii="Times New Roman" w:hAnsi="Times New Roman" w:eastAsia="Times New Roman"/>
                <w:b w:val="0"/>
                <w:i w:val="0"/>
                <w:sz w:val="20"/>
              </w:rPr>
              <w:t>113,389 (68.2%)</w:t>
            </w:r>
          </w:p>
        </w:tc>
        <w:tc>
          <w:tcPr>
            <w:tcW w:type="dxa" w:w="3120"/>
            <w:vAlign w:val="center"/>
          </w:tcPr>
          <w:p>
            <w:pPr>
              <w:spacing w:before="40" w:after="40" w:line="240" w:lineRule="auto"/>
              <w:jc w:val="left"/>
            </w:pPr>
            <w:r/>
            <w:r>
              <w:rPr>
                <w:rFonts w:ascii="Times New Roman" w:hAnsi="Times New Roman" w:eastAsia="Times New Roman"/>
                <w:b w:val="0"/>
                <w:i w:val="0"/>
                <w:sz w:val="20"/>
              </w:rPr>
              <w:t>59,033 (70.1%)</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 n (%)</w:t>
            </w:r>
          </w:p>
        </w:tc>
        <w:tc>
          <w:tcPr>
            <w:tcW w:type="dxa" w:w="3120"/>
            <w:vAlign w:val="center"/>
          </w:tcPr>
          <w:p>
            <w:pPr>
              <w:spacing w:before="40" w:after="40" w:line="240" w:lineRule="auto"/>
              <w:jc w:val="left"/>
            </w:pPr>
            <w:r/>
            <w:r>
              <w:rPr>
                <w:rFonts w:ascii="Times New Roman" w:hAnsi="Times New Roman" w:eastAsia="Times New Roman"/>
                <w:b w:val="0"/>
                <w:i w:val="0"/>
                <w:sz w:val="20"/>
              </w:rPr>
              <w:t>28,129 (16.9%)</w:t>
            </w:r>
          </w:p>
        </w:tc>
        <w:tc>
          <w:tcPr>
            <w:tcW w:type="dxa" w:w="3120"/>
            <w:vAlign w:val="center"/>
          </w:tcPr>
          <w:p>
            <w:pPr>
              <w:spacing w:before="40" w:after="40" w:line="240" w:lineRule="auto"/>
              <w:jc w:val="left"/>
            </w:pPr>
            <w:r/>
            <w:r>
              <w:rPr>
                <w:rFonts w:ascii="Times New Roman" w:hAnsi="Times New Roman" w:eastAsia="Times New Roman"/>
                <w:b w:val="0"/>
                <w:i w:val="0"/>
                <w:sz w:val="20"/>
              </w:rPr>
              <w:t>12,817 (15.2%)</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 n (%)</w:t>
            </w:r>
          </w:p>
        </w:tc>
        <w:tc>
          <w:tcPr>
            <w:tcW w:type="dxa" w:w="3120"/>
            <w:vAlign w:val="center"/>
          </w:tcPr>
          <w:p>
            <w:pPr>
              <w:spacing w:before="40" w:after="40" w:line="240" w:lineRule="auto"/>
              <w:jc w:val="left"/>
            </w:pPr>
            <w:r/>
            <w:r>
              <w:rPr>
                <w:rFonts w:ascii="Times New Roman" w:hAnsi="Times New Roman" w:eastAsia="Times New Roman"/>
                <w:b w:val="0"/>
                <w:i w:val="0"/>
                <w:sz w:val="20"/>
              </w:rPr>
              <w:t>6,523 (3.9%)</w:t>
            </w:r>
          </w:p>
        </w:tc>
        <w:tc>
          <w:tcPr>
            <w:tcW w:type="dxa" w:w="3120"/>
            <w:vAlign w:val="center"/>
          </w:tcPr>
          <w:p>
            <w:pPr>
              <w:spacing w:before="40" w:after="40" w:line="240" w:lineRule="auto"/>
              <w:jc w:val="left"/>
            </w:pPr>
            <w:r/>
            <w:r>
              <w:rPr>
                <w:rFonts w:ascii="Times New Roman" w:hAnsi="Times New Roman" w:eastAsia="Times New Roman"/>
                <w:b w:val="0"/>
                <w:i w:val="0"/>
                <w:sz w:val="20"/>
              </w:rPr>
              <w:t>2,729 (3.2%)</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 n (%)</w:t>
            </w:r>
          </w:p>
        </w:tc>
        <w:tc>
          <w:tcPr>
            <w:tcW w:type="dxa" w:w="3120"/>
            <w:vAlign w:val="center"/>
          </w:tcPr>
          <w:p>
            <w:pPr>
              <w:spacing w:before="40" w:after="40" w:line="240" w:lineRule="auto"/>
              <w:jc w:val="left"/>
            </w:pPr>
            <w:r/>
            <w:r>
              <w:rPr>
                <w:rFonts w:ascii="Times New Roman" w:hAnsi="Times New Roman" w:eastAsia="Times New Roman"/>
                <w:b w:val="0"/>
                <w:i w:val="0"/>
                <w:sz w:val="20"/>
              </w:rPr>
              <w:t>18,332 (11.0%)</w:t>
            </w:r>
          </w:p>
        </w:tc>
        <w:tc>
          <w:tcPr>
            <w:tcW w:type="dxa" w:w="3120"/>
            <w:vAlign w:val="center"/>
          </w:tcPr>
          <w:p>
            <w:pPr>
              <w:spacing w:before="40" w:after="40" w:line="240" w:lineRule="auto"/>
              <w:jc w:val="left"/>
            </w:pPr>
            <w:r/>
            <w:r>
              <w:rPr>
                <w:rFonts w:ascii="Times New Roman" w:hAnsi="Times New Roman" w:eastAsia="Times New Roman"/>
                <w:b w:val="0"/>
                <w:i w:val="0"/>
                <w:sz w:val="20"/>
              </w:rPr>
              <w:t>9,588 (11.4%)</w:t>
            </w:r>
          </w:p>
        </w:tc>
      </w:tr>
      <w:tr>
        <w:tc>
          <w:tcPr>
            <w:tcW w:type="dxa" w:w="3120"/>
            <w:vAlign w:val="center"/>
          </w:tcPr>
          <w:p>
            <w:pPr>
              <w:spacing w:before="40" w:after="40" w:line="240" w:lineRule="auto"/>
              <w:jc w:val="left"/>
            </w:pPr>
            <w:r/>
            <w:r>
              <w:rPr>
                <w:rFonts w:ascii="Times New Roman" w:hAnsi="Times New Roman" w:eastAsia="Times New Roman"/>
                <w:b w:val="0"/>
                <w:i w:val="0"/>
                <w:sz w:val="20"/>
              </w:rPr>
              <w:t>AKI prevalence</w:t>
            </w:r>
          </w:p>
        </w:tc>
        <w:tc>
          <w:tcPr>
            <w:tcW w:type="dxa" w:w="3120"/>
            <w:vAlign w:val="center"/>
          </w:tcPr>
          <w:p>
            <w:pPr>
              <w:spacing w:before="40" w:after="40" w:line="240" w:lineRule="auto"/>
              <w:jc w:val="left"/>
            </w:pPr>
            <w:r/>
            <w:r>
              <w:rPr>
                <w:rFonts w:ascii="Times New Roman" w:hAnsi="Times New Roman" w:eastAsia="Times New Roman"/>
                <w:b w:val="0"/>
                <w:i w:val="0"/>
                <w:sz w:val="20"/>
              </w:rPr>
              <w:t>31.8%</w:t>
            </w:r>
          </w:p>
        </w:tc>
        <w:tc>
          <w:tcPr>
            <w:tcW w:type="dxa" w:w="3120"/>
            <w:vAlign w:val="center"/>
          </w:tcPr>
          <w:p>
            <w:pPr>
              <w:spacing w:before="40" w:after="40" w:line="240" w:lineRule="auto"/>
              <w:jc w:val="left"/>
            </w:pPr>
            <w:r/>
            <w:r>
              <w:rPr>
                <w:rFonts w:ascii="Times New Roman" w:hAnsi="Times New Roman" w:eastAsia="Times New Roman"/>
                <w:b w:val="0"/>
                <w:i w:val="0"/>
                <w:sz w:val="20"/>
              </w:rPr>
              <w:t>29.9%</w:t>
            </w:r>
          </w:p>
        </w:tc>
      </w:tr>
      <w:tr>
        <w:tc>
          <w:tcPr>
            <w:tcW w:type="dxa" w:w="3120"/>
            <w:vAlign w:val="center"/>
          </w:tcPr>
          <w:p>
            <w:pPr>
              <w:spacing w:before="40" w:after="40" w:line="240" w:lineRule="auto"/>
              <w:jc w:val="left"/>
            </w:pPr>
            <w:r/>
            <w:r>
              <w:rPr>
                <w:rFonts w:ascii="Times New Roman" w:hAnsi="Times New Roman" w:eastAsia="Times New Roman"/>
                <w:b/>
                <w:i w:val="0"/>
                <w:sz w:val="20"/>
              </w:rPr>
              <w:t>Mortality by Stage</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0</w:t>
            </w:r>
          </w:p>
        </w:tc>
        <w:tc>
          <w:tcPr>
            <w:tcW w:type="dxa" w:w="3120"/>
            <w:vAlign w:val="center"/>
          </w:tcPr>
          <w:p>
            <w:pPr>
              <w:spacing w:before="40" w:after="40" w:line="240" w:lineRule="auto"/>
              <w:jc w:val="left"/>
            </w:pPr>
            <w:r/>
            <w:r>
              <w:rPr>
                <w:rFonts w:ascii="Times New Roman" w:hAnsi="Times New Roman" w:eastAsia="Times New Roman"/>
                <w:b w:val="0"/>
                <w:i w:val="0"/>
                <w:sz w:val="20"/>
              </w:rPr>
              <w:t>4.6%</w:t>
            </w:r>
          </w:p>
        </w:tc>
        <w:tc>
          <w:tcPr>
            <w:tcW w:type="dxa" w:w="3120"/>
            <w:vAlign w:val="center"/>
          </w:tcPr>
          <w:p>
            <w:pPr>
              <w:spacing w:before="40" w:after="40" w:line="240" w:lineRule="auto"/>
              <w:jc w:val="left"/>
            </w:pPr>
            <w:r/>
            <w:r>
              <w:rPr>
                <w:rFonts w:ascii="Times New Roman" w:hAnsi="Times New Roman" w:eastAsia="Times New Roman"/>
                <w:b w:val="0"/>
                <w:i w:val="0"/>
                <w:sz w:val="20"/>
              </w:rPr>
              <w:t>6.0%</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w:t>
            </w:r>
          </w:p>
        </w:tc>
        <w:tc>
          <w:tcPr>
            <w:tcW w:type="dxa" w:w="3120"/>
            <w:vAlign w:val="center"/>
          </w:tcPr>
          <w:p>
            <w:pPr>
              <w:spacing w:before="40" w:after="40" w:line="240" w:lineRule="auto"/>
              <w:jc w:val="left"/>
            </w:pPr>
            <w:r/>
            <w:r>
              <w:rPr>
                <w:rFonts w:ascii="Times New Roman" w:hAnsi="Times New Roman" w:eastAsia="Times New Roman"/>
                <w:b w:val="0"/>
                <w:i w:val="0"/>
                <w:sz w:val="20"/>
              </w:rPr>
              <w:t>12.5%</w:t>
            </w:r>
          </w:p>
        </w:tc>
        <w:tc>
          <w:tcPr>
            <w:tcW w:type="dxa" w:w="3120"/>
            <w:vAlign w:val="center"/>
          </w:tcPr>
          <w:p>
            <w:pPr>
              <w:spacing w:before="40" w:after="40" w:line="240" w:lineRule="auto"/>
              <w:jc w:val="left"/>
            </w:pPr>
            <w:r/>
            <w:r>
              <w:rPr>
                <w:rFonts w:ascii="Times New Roman" w:hAnsi="Times New Roman" w:eastAsia="Times New Roman"/>
                <w:b w:val="0"/>
                <w:i w:val="0"/>
                <w:sz w:val="20"/>
              </w:rPr>
              <w:t>15.1%</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w:t>
            </w:r>
          </w:p>
        </w:tc>
        <w:tc>
          <w:tcPr>
            <w:tcW w:type="dxa" w:w="3120"/>
            <w:vAlign w:val="center"/>
          </w:tcPr>
          <w:p>
            <w:pPr>
              <w:spacing w:before="40" w:after="40" w:line="240" w:lineRule="auto"/>
              <w:jc w:val="left"/>
            </w:pPr>
            <w:r/>
            <w:r>
              <w:rPr>
                <w:rFonts w:ascii="Times New Roman" w:hAnsi="Times New Roman" w:eastAsia="Times New Roman"/>
                <w:b w:val="0"/>
                <w:i w:val="0"/>
                <w:sz w:val="20"/>
              </w:rPr>
              <w:t>18.0%</w:t>
            </w:r>
          </w:p>
        </w:tc>
        <w:tc>
          <w:tcPr>
            <w:tcW w:type="dxa" w:w="3120"/>
            <w:vAlign w:val="center"/>
          </w:tcPr>
          <w:p>
            <w:pPr>
              <w:spacing w:before="40" w:after="40" w:line="240" w:lineRule="auto"/>
              <w:jc w:val="left"/>
            </w:pPr>
            <w:r/>
            <w:r>
              <w:rPr>
                <w:rFonts w:ascii="Times New Roman" w:hAnsi="Times New Roman" w:eastAsia="Times New Roman"/>
                <w:b w:val="0"/>
                <w:i w:val="0"/>
                <w:sz w:val="20"/>
              </w:rPr>
              <w:t>26.7%</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w:t>
            </w:r>
          </w:p>
        </w:tc>
        <w:tc>
          <w:tcPr>
            <w:tcW w:type="dxa" w:w="3120"/>
            <w:vAlign w:val="center"/>
          </w:tcPr>
          <w:p>
            <w:pPr>
              <w:spacing w:before="40" w:after="40" w:line="240" w:lineRule="auto"/>
              <w:jc w:val="left"/>
            </w:pPr>
            <w:r/>
            <w:r>
              <w:rPr>
                <w:rFonts w:ascii="Times New Roman" w:hAnsi="Times New Roman" w:eastAsia="Times New Roman"/>
                <w:b w:val="0"/>
                <w:i w:val="0"/>
                <w:sz w:val="20"/>
              </w:rPr>
              <w:t>19.2%</w:t>
            </w:r>
          </w:p>
        </w:tc>
        <w:tc>
          <w:tcPr>
            <w:tcW w:type="dxa" w:w="3120"/>
            <w:vAlign w:val="center"/>
          </w:tcPr>
          <w:p>
            <w:pPr>
              <w:spacing w:before="40" w:after="40" w:line="240" w:lineRule="auto"/>
              <w:jc w:val="left"/>
            </w:pPr>
            <w:r/>
            <w:r>
              <w:rPr>
                <w:rFonts w:ascii="Times New Roman" w:hAnsi="Times New Roman" w:eastAsia="Times New Roman"/>
                <w:b w:val="0"/>
                <w:i w:val="0"/>
                <w:sz w:val="20"/>
              </w:rPr>
              <w:t>29.0%</w:t>
            </w:r>
          </w:p>
        </w:tc>
      </w:tr>
      <w:tr>
        <w:tc>
          <w:tcPr>
            <w:tcW w:type="dxa" w:w="3120"/>
            <w:vAlign w:val="center"/>
          </w:tcPr>
          <w:p>
            <w:pPr>
              <w:spacing w:before="40" w:after="40" w:line="240" w:lineRule="auto"/>
              <w:jc w:val="left"/>
            </w:pPr>
            <w:r/>
            <w:r>
              <w:rPr>
                <w:rFonts w:ascii="Times New Roman" w:hAnsi="Times New Roman" w:eastAsia="Times New Roman"/>
                <w:b w:val="0"/>
                <w:i w:val="0"/>
                <w:sz w:val="20"/>
              </w:rPr>
              <w:t>Overall</w:t>
            </w:r>
          </w:p>
        </w:tc>
        <w:tc>
          <w:tcPr>
            <w:tcW w:type="dxa" w:w="3120"/>
            <w:vAlign w:val="center"/>
          </w:tcPr>
          <w:p>
            <w:pPr>
              <w:spacing w:before="40" w:after="40" w:line="240" w:lineRule="auto"/>
              <w:jc w:val="left"/>
            </w:pPr>
            <w:r/>
            <w:r>
              <w:rPr>
                <w:rFonts w:ascii="Times New Roman" w:hAnsi="Times New Roman" w:eastAsia="Times New Roman"/>
                <w:b w:val="0"/>
                <w:i w:val="0"/>
                <w:sz w:val="20"/>
              </w:rPr>
              <w:t>8.1%</w:t>
            </w:r>
          </w:p>
        </w:tc>
        <w:tc>
          <w:tcPr>
            <w:tcW w:type="dxa" w:w="3120"/>
            <w:vAlign w:val="center"/>
          </w:tcPr>
          <w:p>
            <w:pPr>
              <w:spacing w:before="40" w:after="40" w:line="240" w:lineRule="auto"/>
              <w:jc w:val="left"/>
            </w:pPr>
            <w:r/>
            <w:r>
              <w:rPr>
                <w:rFonts w:ascii="Times New Roman" w:hAnsi="Times New Roman" w:eastAsia="Times New Roman"/>
                <w:b w:val="0"/>
                <w:i w:val="0"/>
                <w:sz w:val="20"/>
              </w:rPr>
              <w:t>10.7%</w:t>
            </w:r>
          </w:p>
        </w:tc>
      </w:tr>
      <w:tr>
        <w:tc>
          <w:tcPr>
            <w:tcW w:type="dxa" w:w="3120"/>
            <w:vAlign w:val="center"/>
          </w:tcPr>
          <w:p>
            <w:pPr>
              <w:spacing w:before="40" w:after="40" w:line="240" w:lineRule="auto"/>
              <w:jc w:val="left"/>
            </w:pPr>
            <w:r/>
            <w:r>
              <w:rPr>
                <w:rFonts w:ascii="Times New Roman" w:hAnsi="Times New Roman" w:eastAsia="Times New Roman"/>
                <w:b/>
                <w:i w:val="0"/>
                <w:sz w:val="20"/>
              </w:rPr>
              <w:t>Model B Adjusted ORs</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w:t>
            </w:r>
          </w:p>
        </w:tc>
        <w:tc>
          <w:tcPr>
            <w:tcW w:type="dxa" w:w="3120"/>
            <w:vAlign w:val="center"/>
          </w:tcPr>
          <w:p>
            <w:pPr>
              <w:spacing w:before="40" w:after="40" w:line="240" w:lineRule="auto"/>
              <w:jc w:val="left"/>
            </w:pPr>
            <w:r/>
            <w:r>
              <w:rPr>
                <w:rFonts w:ascii="Times New Roman" w:hAnsi="Times New Roman" w:eastAsia="Times New Roman"/>
                <w:b w:val="0"/>
                <w:i w:val="0"/>
                <w:sz w:val="20"/>
              </w:rPr>
              <w:t>1.849 (1.761–1.942)</w:t>
            </w:r>
          </w:p>
        </w:tc>
        <w:tc>
          <w:tcPr>
            <w:tcW w:type="dxa" w:w="3120"/>
            <w:vAlign w:val="center"/>
          </w:tcPr>
          <w:p>
            <w:pPr>
              <w:spacing w:before="40" w:after="40" w:line="240" w:lineRule="auto"/>
              <w:jc w:val="left"/>
            </w:pPr>
            <w:r/>
            <w:r>
              <w:rPr>
                <w:rFonts w:ascii="Times New Roman" w:hAnsi="Times New Roman" w:eastAsia="Times New Roman"/>
                <w:b w:val="0"/>
                <w:i w:val="0"/>
                <w:sz w:val="20"/>
              </w:rPr>
              <w:t>1.885 (1.765–2.013)</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w:t>
            </w:r>
          </w:p>
        </w:tc>
        <w:tc>
          <w:tcPr>
            <w:tcW w:type="dxa" w:w="3120"/>
            <w:vAlign w:val="center"/>
          </w:tcPr>
          <w:p>
            <w:pPr>
              <w:spacing w:before="40" w:after="40" w:line="240" w:lineRule="auto"/>
              <w:jc w:val="left"/>
            </w:pPr>
            <w:r/>
            <w:r>
              <w:rPr>
                <w:rFonts w:ascii="Times New Roman" w:hAnsi="Times New Roman" w:eastAsia="Times New Roman"/>
                <w:b w:val="0"/>
                <w:i w:val="0"/>
                <w:sz w:val="20"/>
              </w:rPr>
              <w:t>2.811 (2.603–3.035)</w:t>
            </w:r>
          </w:p>
        </w:tc>
        <w:tc>
          <w:tcPr>
            <w:tcW w:type="dxa" w:w="3120"/>
            <w:vAlign w:val="center"/>
          </w:tcPr>
          <w:p>
            <w:pPr>
              <w:spacing w:before="40" w:after="40" w:line="240" w:lineRule="auto"/>
              <w:jc w:val="left"/>
            </w:pPr>
            <w:r/>
            <w:r>
              <w:rPr>
                <w:rFonts w:ascii="Times New Roman" w:hAnsi="Times New Roman" w:eastAsia="Times New Roman"/>
                <w:b w:val="0"/>
                <w:i w:val="0"/>
                <w:sz w:val="20"/>
              </w:rPr>
              <w:t>2.978 (2.688–3.300)</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w:t>
            </w:r>
          </w:p>
        </w:tc>
        <w:tc>
          <w:tcPr>
            <w:tcW w:type="dxa" w:w="3120"/>
            <w:vAlign w:val="center"/>
          </w:tcPr>
          <w:p>
            <w:pPr>
              <w:spacing w:before="40" w:after="40" w:line="240" w:lineRule="auto"/>
              <w:jc w:val="left"/>
            </w:pPr>
            <w:r/>
            <w:r>
              <w:rPr>
                <w:rFonts w:ascii="Times New Roman" w:hAnsi="Times New Roman" w:eastAsia="Times New Roman"/>
                <w:b w:val="0"/>
                <w:i w:val="0"/>
                <w:sz w:val="20"/>
              </w:rPr>
              <w:t>2.581 (2.450–2.719)</w:t>
            </w:r>
          </w:p>
        </w:tc>
        <w:tc>
          <w:tcPr>
            <w:tcW w:type="dxa" w:w="3120"/>
            <w:vAlign w:val="center"/>
          </w:tcPr>
          <w:p>
            <w:pPr>
              <w:spacing w:before="40" w:after="40" w:line="240" w:lineRule="auto"/>
              <w:jc w:val="left"/>
            </w:pPr>
            <w:r/>
            <w:r>
              <w:rPr>
                <w:rFonts w:ascii="Times New Roman" w:hAnsi="Times New Roman" w:eastAsia="Times New Roman"/>
                <w:b w:val="0"/>
                <w:i w:val="0"/>
                <w:sz w:val="20"/>
              </w:rPr>
              <w:t>2.881 (2.664–3.115)</w:t>
            </w:r>
          </w:p>
        </w:tc>
      </w:tr>
      <w:tr>
        <w:tc>
          <w:tcPr>
            <w:tcW w:type="dxa" w:w="3120"/>
            <w:vAlign w:val="center"/>
          </w:tcPr>
          <w:p>
            <w:pPr>
              <w:spacing w:before="40" w:after="40" w:line="240" w:lineRule="auto"/>
              <w:jc w:val="left"/>
            </w:pPr>
            <w:r/>
            <w:r>
              <w:rPr>
                <w:rFonts w:ascii="Times New Roman" w:hAnsi="Times New Roman" w:eastAsia="Times New Roman"/>
                <w:b/>
                <w:i w:val="0"/>
                <w:sz w:val="20"/>
              </w:rPr>
              <w:t>CKD × Stage 3 Interaction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Interaction OR</w:t>
            </w:r>
          </w:p>
        </w:tc>
        <w:tc>
          <w:tcPr>
            <w:tcW w:type="dxa" w:w="3120"/>
            <w:vAlign w:val="center"/>
          </w:tcPr>
          <w:p>
            <w:pPr>
              <w:spacing w:before="40" w:after="40" w:line="240" w:lineRule="auto"/>
              <w:jc w:val="left"/>
            </w:pPr>
            <w:r/>
            <w:r>
              <w:rPr>
                <w:rFonts w:ascii="Times New Roman" w:hAnsi="Times New Roman" w:eastAsia="Times New Roman"/>
                <w:b w:val="0"/>
                <w:i w:val="0"/>
                <w:sz w:val="20"/>
              </w:rPr>
              <w:t>0.726 (0.603–0.872)</w:t>
            </w:r>
          </w:p>
        </w:tc>
        <w:tc>
          <w:tcPr>
            <w:tcW w:type="dxa" w:w="3120"/>
            <w:vAlign w:val="center"/>
          </w:tcPr>
          <w:p>
            <w:pPr>
              <w:spacing w:before="40" w:after="40" w:line="240" w:lineRule="auto"/>
              <w:jc w:val="left"/>
            </w:pPr>
            <w:r/>
            <w:r>
              <w:rPr>
                <w:rFonts w:ascii="Times New Roman" w:hAnsi="Times New Roman" w:eastAsia="Times New Roman"/>
                <w:b w:val="0"/>
                <w:i w:val="0"/>
                <w:sz w:val="20"/>
              </w:rPr>
              <w:t>0.476</w:t>
            </w:r>
          </w:p>
        </w:tc>
      </w:tr>
      <w:tr>
        <w:tc>
          <w:tcPr>
            <w:tcW w:type="dxa" w:w="3120"/>
            <w:vAlign w:val="center"/>
          </w:tcPr>
          <w:p>
            <w:pPr>
              <w:spacing w:before="40" w:after="40" w:line="240" w:lineRule="auto"/>
              <w:jc w:val="left"/>
            </w:pPr>
            <w:r/>
            <w:r>
              <w:rPr>
                <w:rFonts w:ascii="Times New Roman" w:hAnsi="Times New Roman" w:eastAsia="Times New Roman"/>
                <w:b w:val="0"/>
                <w:i w:val="0"/>
                <w:sz w:val="20"/>
              </w:rPr>
              <w:t>p-value</w:t>
            </w:r>
          </w:p>
        </w:tc>
        <w:tc>
          <w:tcPr>
            <w:tcW w:type="dxa" w:w="3120"/>
            <w:vAlign w:val="center"/>
          </w:tcPr>
          <w:p>
            <w:pPr>
              <w:spacing w:before="40" w:after="40" w:line="240" w:lineRule="auto"/>
              <w:jc w:val="left"/>
            </w:pPr>
            <w:r/>
            <w:r>
              <w:rPr>
                <w:rFonts w:ascii="Times New Roman" w:hAnsi="Times New Roman" w:eastAsia="Times New Roman"/>
                <w:b w:val="0"/>
                <w:i w:val="0"/>
                <w:sz w:val="20"/>
              </w:rPr>
              <w:t>&lt;0.001</w:t>
            </w:r>
          </w:p>
        </w:tc>
        <w:tc>
          <w:tcPr>
            <w:tcW w:type="dxa" w:w="3120"/>
            <w:vAlign w:val="center"/>
          </w:tcPr>
          <w:p>
            <w:pPr>
              <w:spacing w:before="40" w:after="40" w:line="240" w:lineRule="auto"/>
              <w:jc w:val="left"/>
            </w:pPr>
            <w:r/>
            <w:r>
              <w:rPr>
                <w:rFonts w:ascii="Times New Roman" w:hAnsi="Times New Roman" w:eastAsia="Times New Roman"/>
                <w:b w:val="0"/>
                <w:i w:val="0"/>
                <w:sz w:val="20"/>
              </w:rPr>
              <w:t>&lt;0.001</w:t>
            </w:r>
          </w:p>
        </w:tc>
      </w:tr>
      <w:tr>
        <w:tc>
          <w:tcPr>
            <w:tcW w:type="dxa" w:w="3120"/>
            <w:vAlign w:val="center"/>
          </w:tcPr>
          <w:p>
            <w:pPr>
              <w:spacing w:before="40" w:after="40" w:line="240" w:lineRule="auto"/>
              <w:jc w:val="left"/>
            </w:pPr>
            <w:r/>
            <w:r>
              <w:rPr>
                <w:rFonts w:ascii="Times New Roman" w:hAnsi="Times New Roman" w:eastAsia="Times New Roman"/>
                <w:b/>
                <w:i w:val="0"/>
                <w:sz w:val="20"/>
              </w:rPr>
              <w:t>Model Discrimination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A AUC</w:t>
            </w:r>
          </w:p>
        </w:tc>
        <w:tc>
          <w:tcPr>
            <w:tcW w:type="dxa" w:w="3120"/>
            <w:vAlign w:val="center"/>
          </w:tcPr>
          <w:p>
            <w:pPr>
              <w:spacing w:before="40" w:after="40" w:line="240" w:lineRule="auto"/>
              <w:jc w:val="left"/>
            </w:pPr>
            <w:r/>
            <w:r>
              <w:rPr>
                <w:rFonts w:ascii="Times New Roman" w:hAnsi="Times New Roman" w:eastAsia="Times New Roman"/>
                <w:b w:val="0"/>
                <w:i w:val="0"/>
                <w:sz w:val="20"/>
              </w:rPr>
              <w:t>0.672</w:t>
            </w:r>
          </w:p>
        </w:tc>
        <w:tc>
          <w:tcPr>
            <w:tcW w:type="dxa" w:w="3120"/>
            <w:vAlign w:val="center"/>
          </w:tcPr>
          <w:p>
            <w:pPr>
              <w:spacing w:before="40" w:after="40" w:line="240" w:lineRule="auto"/>
              <w:jc w:val="left"/>
            </w:pPr>
            <w:r/>
            <w:r>
              <w:rPr>
                <w:rFonts w:ascii="Times New Roman" w:hAnsi="Times New Roman" w:eastAsia="Times New Roman"/>
                <w:b w:val="0"/>
                <w:i w:val="0"/>
                <w:sz w:val="20"/>
              </w:rPr>
              <w:t>0.778</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AUC</w:t>
            </w:r>
          </w:p>
        </w:tc>
        <w:tc>
          <w:tcPr>
            <w:tcW w:type="dxa" w:w="3120"/>
            <w:vAlign w:val="center"/>
          </w:tcPr>
          <w:p>
            <w:pPr>
              <w:spacing w:before="40" w:after="40" w:line="240" w:lineRule="auto"/>
              <w:jc w:val="left"/>
            </w:pPr>
            <w:r/>
            <w:r>
              <w:rPr>
                <w:rFonts w:ascii="Times New Roman" w:hAnsi="Times New Roman" w:eastAsia="Times New Roman"/>
                <w:b w:val="0"/>
                <w:i w:val="0"/>
                <w:sz w:val="20"/>
              </w:rPr>
              <w:t>0.818</w:t>
            </w:r>
          </w:p>
        </w:tc>
        <w:tc>
          <w:tcPr>
            <w:tcW w:type="dxa" w:w="3120"/>
            <w:vAlign w:val="center"/>
          </w:tcPr>
          <w:p>
            <w:pPr>
              <w:spacing w:before="40" w:after="40" w:line="240" w:lineRule="auto"/>
              <w:jc w:val="left"/>
            </w:pPr>
            <w:r/>
            <w:r>
              <w:rPr>
                <w:rFonts w:ascii="Times New Roman" w:hAnsi="Times New Roman" w:eastAsia="Times New Roman"/>
                <w:b w:val="0"/>
                <w:i w:val="0"/>
                <w:sz w:val="20"/>
              </w:rPr>
              <w:t>0.828</w:t>
            </w:r>
          </w:p>
        </w:tc>
      </w:tr>
    </w:tbl>
    <w:p/>
    <w:p>
      <w:pPr>
        <w:pStyle w:val="Heading1"/>
        <w:spacing w:before="360" w:after="240" w:line="240" w:lineRule="auto"/>
      </w:pPr>
      <w:r>
        <w:rPr>
          <w:rFonts w:ascii="Times New Roman" w:hAnsi="Times New Roman" w:eastAsia="Times New Roman"/>
          <w:b/>
          <w:i w:val="0"/>
          <w:sz w:val="28"/>
        </w:rPr>
        <w:t>Figure Legends</w:t>
      </w:r>
    </w:p>
    <w:p>
      <w:pPr>
        <w:pStyle w:val="ListBullet"/>
        <w:spacing w:line="240" w:lineRule="auto" w:before="0" w:after="60"/>
      </w:pPr>
      <w:r>
        <w:rPr>
          <w:rFonts w:ascii="Times New Roman" w:hAnsi="Times New Roman" w:eastAsia="Times New Roman"/>
          <w:b/>
          <w:i w:val="0"/>
          <w:sz w:val="24"/>
        </w:rPr>
        <w:t>Figure 1.</w:t>
      </w:r>
      <w:r>
        <w:rPr>
          <w:rFonts w:ascii="Times New Roman" w:hAnsi="Times New Roman" w:eastAsia="Times New Roman"/>
          <w:b w:val="0"/>
          <w:i w:val="0"/>
          <w:sz w:val="24"/>
        </w:rPr>
        <w:t xml:space="preserve"> CONSORT-style patient selection flowchart. From 94,458 total ICU stays, 84,167 were included after excluding non-adult, duplicate, and 1,075 stays without serum creatinine data.</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Flowchart showing patient selection from 94,458 ICU stays to 84,167 included patients, with exclusion boxes for non-adult, duplicate, and missing creatinine data.</w:t>
      </w:r>
    </w:p>
    <w:p>
      <w:pPr>
        <w:pStyle w:val="ListBullet"/>
        <w:spacing w:line="240" w:lineRule="auto" w:before="0" w:after="60"/>
      </w:pPr>
      <w:r>
        <w:rPr>
          <w:rFonts w:ascii="Times New Roman" w:hAnsi="Times New Roman" w:eastAsia="Times New Roman"/>
          <w:b/>
          <w:i w:val="0"/>
          <w:sz w:val="24"/>
        </w:rPr>
        <w:t>Figure 2.</w:t>
      </w:r>
      <w:r>
        <w:rPr>
          <w:rFonts w:ascii="Times New Roman" w:hAnsi="Times New Roman" w:eastAsia="Times New Roman"/>
          <w:b w:val="0"/>
          <w:i w:val="0"/>
          <w:sz w:val="24"/>
        </w:rPr>
        <w:t xml:space="preserve"> In-hospital mortality rate by KDIGO AKI stage (bar chart with 95% Wilson CI).</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Bar chart of in-hospital mortality percentages across KDIGO Stages 0–3, with error bars showing 95% Wilson confidence intervals.</w:t>
      </w:r>
    </w:p>
    <w:p>
      <w:pPr>
        <w:pStyle w:val="ListBullet"/>
        <w:spacing w:line="240" w:lineRule="auto" w:before="0" w:after="60"/>
      </w:pPr>
      <w:r>
        <w:rPr>
          <w:rFonts w:ascii="Times New Roman" w:hAnsi="Times New Roman" w:eastAsia="Times New Roman"/>
          <w:b/>
          <w:i w:val="0"/>
          <w:sz w:val="24"/>
        </w:rPr>
        <w:t>Figure 3.</w:t>
      </w:r>
      <w:r>
        <w:rPr>
          <w:rFonts w:ascii="Times New Roman" w:hAnsi="Times New Roman" w:eastAsia="Times New Roman"/>
          <w:b w:val="0"/>
          <w:i w:val="0"/>
          <w:sz w:val="24"/>
        </w:rPr>
        <w:t xml:space="preserve"> Kaplan-Meier 30-day survival curves stratified by KDIGO stage, with number-at-risk table and Bonferroni-corrected pairwise log-rank test results.</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Kaplan-Meier survival curves for KDIGO Stages 0–3 over 30 days, with number-at-risk table below and pairwise log-rank p-values.</w:t>
      </w:r>
    </w:p>
    <w:p>
      <w:pPr>
        <w:pStyle w:val="ListBullet"/>
        <w:spacing w:line="240" w:lineRule="auto" w:before="0" w:after="60"/>
      </w:pPr>
      <w:r>
        <w:rPr>
          <w:rFonts w:ascii="Times New Roman" w:hAnsi="Times New Roman" w:eastAsia="Times New Roman"/>
          <w:b/>
          <w:i w:val="0"/>
          <w:sz w:val="24"/>
        </w:rPr>
        <w:t>Figure 4.</w:t>
      </w:r>
      <w:r>
        <w:rPr>
          <w:rFonts w:ascii="Times New Roman" w:hAnsi="Times New Roman" w:eastAsia="Times New Roman"/>
          <w:b w:val="0"/>
          <w:i w:val="0"/>
          <w:sz w:val="24"/>
        </w:rPr>
        <w:t xml:space="preserve"> Forest plot of adjusted odds ratios from Model B (full 27 covariate set), showing all variables with 95% CI.</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Forest plot of adjusted odds ratios from the multivariable logistic regression Model B, with 95% confidence intervals for all 27 covariates.</w:t>
      </w:r>
    </w:p>
    <w:p>
      <w:pPr>
        <w:pStyle w:val="ListBullet"/>
        <w:spacing w:line="240" w:lineRule="auto" w:before="0" w:after="60"/>
      </w:pPr>
      <w:r>
        <w:rPr>
          <w:rFonts w:ascii="Times New Roman" w:hAnsi="Times New Roman" w:eastAsia="Times New Roman"/>
          <w:b/>
          <w:i w:val="0"/>
          <w:sz w:val="24"/>
        </w:rPr>
        <w:t>Figure 5.</w:t>
      </w:r>
      <w:r>
        <w:rPr>
          <w:rFonts w:ascii="Times New Roman" w:hAnsi="Times New Roman" w:eastAsia="Times New Roman"/>
          <w:b w:val="0"/>
          <w:i w:val="0"/>
          <w:sz w:val="24"/>
        </w:rPr>
        <w:t xml:space="preserve"> Dose-response curve: creatinine ratio versus mortality rate with 95% CI.</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Line graph showing the nonlinear relationship between creatinine ratio and mortality rate, with shaded 95% confidence interval band.</w:t>
      </w:r>
    </w:p>
    <w:p>
      <w:pPr>
        <w:pStyle w:val="ListBullet"/>
        <w:spacing w:line="240" w:lineRule="auto" w:before="0" w:after="60"/>
      </w:pPr>
      <w:r>
        <w:rPr>
          <w:rFonts w:ascii="Times New Roman" w:hAnsi="Times New Roman" w:eastAsia="Times New Roman"/>
          <w:b/>
          <w:i w:val="0"/>
          <w:sz w:val="24"/>
        </w:rPr>
        <w:t>Figure 6.</w:t>
      </w:r>
      <w:r>
        <w:rPr>
          <w:rFonts w:ascii="Times New Roman" w:hAnsi="Times New Roman" w:eastAsia="Times New Roman"/>
          <w:b w:val="0"/>
          <w:i w:val="0"/>
          <w:sz w:val="24"/>
        </w:rPr>
        <w:t xml:space="preserve"> AKI paradox. Panel A: in-hospital mortality by CKD status within each KDIGO stage. Panel B: Stage 3 decomposed by RRT indication within each CKD stratum.</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Two-panel figure: Panel A shows grouped bar chart of mortality by CKD status across KDIGO stages; Panel B shows Stage 3 mortality stratified by RRT and CKD status.</w:t>
      </w:r>
    </w:p>
    <w:p>
      <w:pPr>
        <w:pStyle w:val="ListBullet"/>
        <w:spacing w:line="240" w:lineRule="auto" w:before="0" w:after="60"/>
      </w:pPr>
      <w:r>
        <w:rPr>
          <w:rFonts w:ascii="Times New Roman" w:hAnsi="Times New Roman" w:eastAsia="Times New Roman"/>
          <w:b/>
          <w:i w:val="0"/>
          <w:sz w:val="24"/>
        </w:rPr>
        <w:t>Figure 7.</w:t>
      </w:r>
      <w:r>
        <w:rPr>
          <w:rFonts w:ascii="Times New Roman" w:hAnsi="Times New Roman" w:eastAsia="Times New Roman"/>
          <w:b w:val="0"/>
          <w:i w:val="0"/>
          <w:sz w:val="24"/>
        </w:rPr>
        <w:t xml:space="preserve"> Time-dependent ROC analysis. Panel A: ROC curves at 7, 14, and 28 days for full Model B (AUC = 0.643, 0.639, 0.650). Panel B: KDIGO stage alone (AUC = 0.484, 0.452, 0.404) showing declining performance.</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Two-panel figure: Panel A shows ROC curves for the full model at 7, 14, and 28 days; Panel B shows ROC curves for KDIGO-only model at the same time points.</w:t>
      </w:r>
    </w:p>
    <w:p>
      <w:pPr>
        <w:pStyle w:val="ListBullet"/>
        <w:spacing w:line="240" w:lineRule="auto" w:before="0" w:after="60"/>
      </w:pPr>
      <w:r>
        <w:rPr>
          <w:rFonts w:ascii="Times New Roman" w:hAnsi="Times New Roman" w:eastAsia="Times New Roman"/>
          <w:b/>
          <w:i w:val="0"/>
          <w:sz w:val="24"/>
        </w:rPr>
        <w:t>Figure 8.</w:t>
      </w:r>
      <w:r>
        <w:rPr>
          <w:rFonts w:ascii="Times New Roman" w:hAnsi="Times New Roman" w:eastAsia="Times New Roman"/>
          <w:b w:val="0"/>
          <w:i w:val="0"/>
          <w:sz w:val="24"/>
        </w:rPr>
        <w:t xml:space="preserve"> Nomogram for ICU mortality prediction. Panel A: Nomogram points. Panel B: Calibration curve (Brier = 0.062). Based on eICU-CRD Model B (N = 166,373, AUC = 0.818).</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Two-panel figure: Panel A shows a nomogram with point scales for KDIGO stage, APACHE score, ventilation, age, and sex; Panel B shows calibration plot comparing predicted vs observed probabilities.</w:t>
      </w:r>
    </w:p>
    <w:p>
      <w:pPr>
        <w:pStyle w:val="Heading1"/>
        <w:spacing w:before="360" w:after="240" w:line="240" w:lineRule="auto"/>
      </w:pPr>
      <w:r>
        <w:rPr>
          <w:rFonts w:ascii="Times New Roman" w:hAnsi="Times New Roman" w:eastAsia="Times New Roman"/>
          <w:b/>
          <w:i w:val="0"/>
          <w:sz w:val="28"/>
        </w:rPr>
        <w:t>Supplementary Material</w:t>
      </w:r>
    </w:p>
    <w:p>
      <w:pPr>
        <w:pStyle w:val="Heading2"/>
        <w:spacing w:before="240" w:after="120" w:line="240" w:lineRule="auto"/>
      </w:pPr>
      <w:r>
        <w:rPr>
          <w:rFonts w:ascii="Times New Roman" w:hAnsi="Times New Roman" w:eastAsia="Times New Roman"/>
          <w:b/>
          <w:i w:val="0"/>
          <w:sz w:val="24"/>
        </w:rPr>
        <w:t>Supplementary Figures</w:t>
      </w:r>
    </w:p>
    <w:p>
      <w:pPr>
        <w:pStyle w:val="ListBullet"/>
        <w:spacing w:line="240" w:lineRule="auto" w:before="0" w:after="60"/>
      </w:pPr>
      <w:r>
        <w:rPr>
          <w:rFonts w:ascii="Times New Roman" w:hAnsi="Times New Roman" w:eastAsia="Times New Roman"/>
          <w:b/>
          <w:i w:val="0"/>
          <w:sz w:val="24"/>
        </w:rPr>
        <w:t>Figure S1.</w:t>
      </w:r>
      <w:r>
        <w:rPr>
          <w:rFonts w:ascii="Times New Roman" w:hAnsi="Times New Roman" w:eastAsia="Times New Roman"/>
          <w:b w:val="0"/>
          <w:i w:val="0"/>
          <w:sz w:val="24"/>
        </w:rPr>
        <w:t xml:space="preserve"> Restricted cubic spline analysis of the nonlinear creatinine ratio–mortality relationship.</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Line graph showing restricted cubic spline fitted curve of creatinine ratio versus log-odds of mortality, with 95% CI and reference line.</w:t>
      </w:r>
    </w:p>
    <w:p>
      <w:pPr>
        <w:pStyle w:val="ListBullet"/>
        <w:spacing w:line="240" w:lineRule="auto" w:before="0" w:after="60"/>
      </w:pPr>
      <w:r>
        <w:rPr>
          <w:rFonts w:ascii="Times New Roman" w:hAnsi="Times New Roman" w:eastAsia="Times New Roman"/>
          <w:b/>
          <w:i w:val="0"/>
          <w:sz w:val="24"/>
        </w:rPr>
        <w:t>Figure S2.</w:t>
      </w:r>
      <w:r>
        <w:rPr>
          <w:rFonts w:ascii="Times New Roman" w:hAnsi="Times New Roman" w:eastAsia="Times New Roman"/>
          <w:b w:val="0"/>
          <w:i w:val="0"/>
          <w:sz w:val="24"/>
        </w:rPr>
        <w:t xml:space="preserve"> Model discrimination and clinical utility. Panel A: ROC curves for Models A–C. Panel B: DCA showing net benefit of Model B.</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Two-panel figure: Panel A shows overlapping ROC curves for three logistic models; Panel B shows decision curve analysis with net benefit across threshold probabilities.</w:t>
      </w:r>
    </w:p>
    <w:p>
      <w:pPr>
        <w:pStyle w:val="ListBullet"/>
        <w:spacing w:line="240" w:lineRule="auto" w:before="0" w:after="60"/>
      </w:pPr>
      <w:r>
        <w:rPr>
          <w:rFonts w:ascii="Times New Roman" w:hAnsi="Times New Roman" w:eastAsia="Times New Roman"/>
          <w:b/>
          <w:i w:val="0"/>
          <w:sz w:val="24"/>
        </w:rPr>
        <w:t>Figure S3.</w:t>
      </w:r>
      <w:r>
        <w:rPr>
          <w:rFonts w:ascii="Times New Roman" w:hAnsi="Times New Roman" w:eastAsia="Times New Roman"/>
          <w:b w:val="0"/>
          <w:i w:val="0"/>
          <w:sz w:val="24"/>
        </w:rPr>
        <w:t xml:space="preserve"> Sepsis subgroup analysis. Forest plot comparing adjusted ORs between sepsis and non-sepsis subgroups.</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Forest plot comparing adjusted odds ratios for KDIGO stages between sepsis and non-sepsis subgroups with 95% CIs.</w:t>
      </w:r>
    </w:p>
    <w:p>
      <w:pPr>
        <w:pStyle w:val="ListBullet"/>
        <w:spacing w:line="240" w:lineRule="auto" w:before="0" w:after="60"/>
      </w:pPr>
      <w:r>
        <w:rPr>
          <w:rFonts w:ascii="Times New Roman" w:hAnsi="Times New Roman" w:eastAsia="Times New Roman"/>
          <w:b/>
          <w:i w:val="0"/>
          <w:sz w:val="24"/>
        </w:rPr>
        <w:t>Figure S4.</w:t>
      </w:r>
      <w:r>
        <w:rPr>
          <w:rFonts w:ascii="Times New Roman" w:hAnsi="Times New Roman" w:eastAsia="Times New Roman"/>
          <w:b w:val="0"/>
          <w:i w:val="0"/>
          <w:sz w:val="24"/>
        </w:rPr>
        <w:t xml:space="preserve"> Calibration plot for Model B.</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Calibration plot showing predicted versus observed mortality probabilities for Model B, with a reference diagonal line.</w:t>
      </w:r>
    </w:p>
    <w:p>
      <w:pPr>
        <w:pStyle w:val="ListBullet"/>
        <w:spacing w:line="240" w:lineRule="auto" w:before="0" w:after="60"/>
      </w:pPr>
      <w:r>
        <w:rPr>
          <w:rFonts w:ascii="Times New Roman" w:hAnsi="Times New Roman" w:eastAsia="Times New Roman"/>
          <w:b/>
          <w:i w:val="0"/>
          <w:sz w:val="24"/>
        </w:rPr>
        <w:t>Figure S5.</w:t>
      </w:r>
      <w:r>
        <w:rPr>
          <w:rFonts w:ascii="Times New Roman" w:hAnsi="Times New Roman" w:eastAsia="Times New Roman"/>
          <w:b w:val="0"/>
          <w:i w:val="0"/>
          <w:sz w:val="24"/>
        </w:rPr>
        <w:t xml:space="preserve"> Directed acyclic graph (DAG) representing the assumed causal structure.</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Directed acyclic graph with nodes for KDIGO stage, illness severity, CKD, mortality, and confounders, with arrows showing assumed causal directions.</w:t>
      </w:r>
    </w:p>
    <w:p>
      <w:pPr>
        <w:pStyle w:val="ListBullet"/>
        <w:spacing w:line="240" w:lineRule="auto" w:before="0" w:after="60"/>
      </w:pPr>
      <w:r>
        <w:rPr>
          <w:rFonts w:ascii="Times New Roman" w:hAnsi="Times New Roman" w:eastAsia="Times New Roman"/>
          <w:b/>
          <w:i w:val="0"/>
          <w:sz w:val="24"/>
        </w:rPr>
        <w:t>Figure S6.</w:t>
      </w:r>
      <w:r>
        <w:rPr>
          <w:rFonts w:ascii="Times New Roman" w:hAnsi="Times New Roman" w:eastAsia="Times New Roman"/>
          <w:b w:val="0"/>
          <w:i w:val="0"/>
          <w:sz w:val="24"/>
        </w:rPr>
        <w:t xml:space="preserve"> Variable importance forest plot from the nomogram model.</w:t>
      </w:r>
    </w:p>
    <w:p>
      <w:pPr>
        <w:pStyle w:val="ListBullet"/>
        <w:spacing w:line="240" w:lineRule="auto" w:before="0" w:after="60"/>
      </w:pPr>
      <w:r>
        <w:rPr>
          <w:rFonts w:ascii="Times New Roman" w:hAnsi="Times New Roman" w:eastAsia="Times New Roman"/>
          <w:b w:val="0"/>
          <w:i/>
          <w:sz w:val="24"/>
        </w:rPr>
        <w:t>Alt text:</w:t>
      </w:r>
      <w:r>
        <w:rPr>
          <w:rFonts w:ascii="Times New Roman" w:hAnsi="Times New Roman" w:eastAsia="Times New Roman"/>
          <w:b w:val="0"/>
          <w:i w:val="0"/>
          <w:sz w:val="24"/>
        </w:rPr>
        <w:t xml:space="preserve"> Horizontal bar chart showing variable importance scores for the five nomogram predictors (KDIGO, APACHE, ventilation, age, sex).</w:t>
      </w:r>
    </w:p>
    <w:p>
      <w:pPr>
        <w:pStyle w:val="ListBullet"/>
        <w:spacing w:line="240" w:lineRule="auto" w:before="0" w:after="60"/>
      </w:pPr>
      <w:r>
        <w:rPr>
          <w:rFonts w:ascii="Times New Roman" w:hAnsi="Times New Roman" w:eastAsia="Times New Roman"/>
          <w:b/>
          <w:i w:val="0"/>
          <w:sz w:val="24"/>
        </w:rPr>
        <w:t>Supplementary File.</w:t>
      </w:r>
      <w:r>
        <w:rPr>
          <w:rFonts w:ascii="Times New Roman" w:hAnsi="Times New Roman" w:eastAsia="Times New Roman"/>
          <w:b w:val="0"/>
          <w:i w:val="0"/>
          <w:sz w:val="24"/>
        </w:rPr>
        <w:t xml:space="preserve"> Web-based mortality risk calculator (standalone HTML file).</w:t>
      </w:r>
    </w:p>
    <w:p>
      <w:pPr>
        <w:pStyle w:val="ListBullet"/>
        <w:spacing w:line="240" w:lineRule="auto" w:before="0" w:after="60"/>
      </w:pPr>
      <w:r>
        <w:rPr>
          <w:rFonts w:ascii="Times New Roman" w:hAnsi="Times New Roman" w:eastAsia="Times New Roman"/>
          <w:b/>
          <w:i w:val="0"/>
          <w:sz w:val="24"/>
        </w:rPr>
        <w:t>STROBE Checklist.</w:t>
      </w:r>
      <w:r>
        <w:rPr>
          <w:rFonts w:ascii="Times New Roman" w:hAnsi="Times New Roman" w:eastAsia="Times New Roman"/>
          <w:b w:val="0"/>
          <w:i w:val="0"/>
          <w:sz w:val="24"/>
        </w:rPr>
        <w:t xml:space="preserve"> Completed STROBE checklist for observational cohort studies.</w:t>
      </w:r>
    </w:p>
    <w:p>
      <w:pPr>
        <w:pStyle w:val="Heading2"/>
        <w:spacing w:before="240" w:after="120" w:line="240" w:lineRule="auto"/>
      </w:pPr>
      <w:r>
        <w:rPr>
          <w:rFonts w:ascii="Times New Roman" w:hAnsi="Times New Roman" w:eastAsia="Times New Roman"/>
          <w:b/>
          <w:i w:val="0"/>
          <w:sz w:val="24"/>
        </w:rPr>
        <w:t>Supplementary Tables</w:t>
      </w:r>
    </w:p>
    <w:p>
      <w:pPr>
        <w:pStyle w:val="ListBullet"/>
        <w:spacing w:line="240" w:lineRule="auto" w:before="0" w:after="60"/>
      </w:pPr>
      <w:r>
        <w:rPr>
          <w:rFonts w:ascii="Times New Roman" w:hAnsi="Times New Roman" w:eastAsia="Times New Roman"/>
          <w:b/>
          <w:i w:val="0"/>
          <w:sz w:val="24"/>
        </w:rPr>
        <w:t>Table S1.</w:t>
      </w:r>
      <w:r>
        <w:rPr>
          <w:rFonts w:ascii="Times New Roman" w:hAnsi="Times New Roman" w:eastAsia="Times New Roman"/>
          <w:b w:val="0"/>
          <w:i w:val="0"/>
          <w:sz w:val="24"/>
        </w:rPr>
        <w:t xml:space="preserve"> Systematic missing data report stratified by KDIGO stage.</w:t>
      </w:r>
    </w:p>
    <w:p>
      <w:pPr>
        <w:pStyle w:val="ListBullet"/>
        <w:spacing w:line="240" w:lineRule="auto" w:before="0" w:after="60"/>
      </w:pPr>
      <w:r>
        <w:rPr>
          <w:rFonts w:ascii="Times New Roman" w:hAnsi="Times New Roman" w:eastAsia="Times New Roman"/>
          <w:b/>
          <w:i w:val="0"/>
          <w:sz w:val="24"/>
        </w:rPr>
        <w:t>Table S2.</w:t>
      </w:r>
      <w:r>
        <w:rPr>
          <w:rFonts w:ascii="Times New Roman" w:hAnsi="Times New Roman" w:eastAsia="Times New Roman"/>
          <w:b w:val="0"/>
          <w:i w:val="0"/>
          <w:sz w:val="24"/>
        </w:rPr>
        <w:t xml:space="preserve"> Full logistic regression results for Model B (all 27 covariates).</w:t>
      </w:r>
    </w:p>
    <w:p>
      <w:pPr>
        <w:pStyle w:val="ListBullet"/>
        <w:spacing w:line="240" w:lineRule="auto" w:before="0" w:after="60"/>
      </w:pPr>
      <w:r>
        <w:rPr>
          <w:rFonts w:ascii="Times New Roman" w:hAnsi="Times New Roman" w:eastAsia="Times New Roman"/>
          <w:b/>
          <w:i w:val="0"/>
          <w:sz w:val="24"/>
        </w:rPr>
        <w:t>Table S3.</w:t>
      </w:r>
      <w:r>
        <w:rPr>
          <w:rFonts w:ascii="Times New Roman" w:hAnsi="Times New Roman" w:eastAsia="Times New Roman"/>
          <w:b w:val="0"/>
          <w:i w:val="0"/>
          <w:sz w:val="24"/>
        </w:rPr>
        <w:t xml:space="preserve"> Time-stratified Cox proportional hazards regression (0–7, 7–14, 14–30 days).</w:t>
      </w:r>
    </w:p>
    <w:p>
      <w:pPr>
        <w:pStyle w:val="ListBullet"/>
        <w:spacing w:line="240" w:lineRule="auto" w:before="0" w:after="60"/>
      </w:pPr>
      <w:r>
        <w:rPr>
          <w:rFonts w:ascii="Times New Roman" w:hAnsi="Times New Roman" w:eastAsia="Times New Roman"/>
          <w:b/>
          <w:i w:val="0"/>
          <w:sz w:val="24"/>
        </w:rPr>
        <w:t>Table S4.</w:t>
      </w:r>
      <w:r>
        <w:rPr>
          <w:rFonts w:ascii="Times New Roman" w:hAnsi="Times New Roman" w:eastAsia="Times New Roman"/>
          <w:b w:val="0"/>
          <w:i w:val="0"/>
          <w:sz w:val="24"/>
        </w:rPr>
        <w:t xml:space="preserve"> Temporal trend analysis (2008–2022) by 3-year periods.</w:t>
      </w:r>
    </w:p>
    <w:p>
      <w:pPr>
        <w:pStyle w:val="ListBullet"/>
        <w:spacing w:line="240" w:lineRule="auto" w:before="0" w:after="60"/>
      </w:pPr>
      <w:r>
        <w:rPr>
          <w:rFonts w:ascii="Times New Roman" w:hAnsi="Times New Roman" w:eastAsia="Times New Roman"/>
          <w:b/>
          <w:i w:val="0"/>
          <w:sz w:val="24"/>
        </w:rPr>
        <w:t>Table S5.</w:t>
      </w:r>
      <w:r>
        <w:rPr>
          <w:rFonts w:ascii="Times New Roman" w:hAnsi="Times New Roman" w:eastAsia="Times New Roman"/>
          <w:b w:val="0"/>
          <w:i w:val="0"/>
          <w:sz w:val="24"/>
        </w:rPr>
        <w:t xml:space="preserve"> 24-hour landmark sensitivity analysis.</w:t>
      </w:r>
    </w:p>
    <w:p>
      <w:pPr>
        <w:pStyle w:val="ListBullet"/>
        <w:spacing w:line="240" w:lineRule="auto" w:before="0" w:after="60"/>
      </w:pPr>
      <w:r>
        <w:rPr>
          <w:rFonts w:ascii="Times New Roman" w:hAnsi="Times New Roman" w:eastAsia="Times New Roman"/>
          <w:b/>
          <w:i w:val="0"/>
          <w:sz w:val="24"/>
        </w:rPr>
        <w:t>Table S6.</w:t>
      </w:r>
      <w:r>
        <w:rPr>
          <w:rFonts w:ascii="Times New Roman" w:hAnsi="Times New Roman" w:eastAsia="Times New Roman"/>
          <w:b w:val="0"/>
          <w:i w:val="0"/>
          <w:sz w:val="24"/>
        </w:rPr>
        <w:t xml:space="preserve"> Dose-response analysis: creatinine ratio binned mortality rates.</w:t>
      </w:r>
    </w:p>
    <w:p>
      <w:pPr>
        <w:pStyle w:val="ListBullet"/>
        <w:spacing w:line="240" w:lineRule="auto" w:before="0" w:after="60"/>
      </w:pPr>
      <w:r>
        <w:rPr>
          <w:rFonts w:ascii="Times New Roman" w:hAnsi="Times New Roman" w:eastAsia="Times New Roman"/>
          <w:b/>
          <w:i w:val="0"/>
          <w:sz w:val="24"/>
        </w:rPr>
        <w:t>Table S7.</w:t>
      </w:r>
      <w:r>
        <w:rPr>
          <w:rFonts w:ascii="Times New Roman" w:hAnsi="Times New Roman" w:eastAsia="Times New Roman"/>
          <w:b w:val="0"/>
          <w:i w:val="0"/>
          <w:sz w:val="24"/>
        </w:rPr>
        <w:t xml:space="preserve"> AKI paradox: CKD-stratified mortality, RRT-stratified decomposition, and formal CKD × KDIGO interaction test.</w:t>
      </w:r>
    </w:p>
    <w:p>
      <w:pPr>
        <w:pStyle w:val="ListBullet"/>
        <w:spacing w:line="240" w:lineRule="auto" w:before="0" w:after="60"/>
      </w:pPr>
      <w:r>
        <w:rPr>
          <w:rFonts w:ascii="Times New Roman" w:hAnsi="Times New Roman" w:eastAsia="Times New Roman"/>
          <w:b/>
          <w:i w:val="0"/>
          <w:sz w:val="24"/>
        </w:rPr>
        <w:t>Table S8.</w:t>
      </w:r>
      <w:r>
        <w:rPr>
          <w:rFonts w:ascii="Times New Roman" w:hAnsi="Times New Roman" w:eastAsia="Times New Roman"/>
          <w:b w:val="0"/>
          <w:i w:val="0"/>
          <w:sz w:val="24"/>
        </w:rPr>
        <w:t xml:space="preserve"> E-value sensitivity analysis for Model B associations.</w:t>
      </w:r>
    </w:p>
    <w:p>
      <w:pPr>
        <w:pStyle w:val="Heading2"/>
        <w:spacing w:before="240" w:after="120" w:line="240" w:lineRule="auto"/>
      </w:pPr>
      <w:r>
        <w:rPr>
          <w:rFonts w:ascii="Times New Roman" w:hAnsi="Times New Roman" w:eastAsia="Times New Roman"/>
          <w:b/>
          <w:i w:val="0"/>
          <w:sz w:val="24"/>
        </w:rPr>
        <w:t>Supplementary Methods</w:t>
      </w:r>
    </w:p>
    <w:p>
      <w:pPr>
        <w:spacing w:line="480" w:lineRule="auto" w:before="0" w:after="0"/>
        <w:ind w:firstLine="720"/>
      </w:pPr>
      <w:r>
        <w:rPr>
          <w:rFonts w:ascii="Times New Roman" w:hAnsi="Times New Roman" w:eastAsia="Times New Roman"/>
          <w:b w:val="0"/>
          <w:i w:val="0"/>
          <w:sz w:val="24"/>
        </w:rPr>
        <w:t>Detailed descriptions of: (1) SOFA score calculation and missing component handling; (2) MDRD back-calculation of baseline creatinine; (3) CKD-EPI equation for laboratory-based CKD; (4) Elixhauser comorbidity derivation from ICD-9/10 codes; (5) complete statistical analysis plan including VIF diagnostics, dose-response binning, RCS knot placement, DCA methodology, and time-dependent ROC framework; (6) eICU-CRD KDIGO staging implementation and APACHE IVa extraction; (7) nomogram construction methodology and web calculator deployment; and (8) sensitivity analysis details (MDRD, lab-CKD, complete-case SOFA, landmark, temporal trends).</w:t>
      </w:r>
    </w:p>
    <w:p>
      <w:pPr>
        <w:pStyle w:val="Heading1"/>
        <w:spacing w:before="360" w:after="240" w:line="240" w:lineRule="auto"/>
      </w:pPr>
      <w:r>
        <w:rPr>
          <w:rFonts w:ascii="Times New Roman" w:hAnsi="Times New Roman" w:eastAsia="Times New Roman"/>
          <w:b/>
          <w:i w:val="0"/>
          <w:sz w:val="28"/>
        </w:rPr>
        <w:t>Funding</w:t>
      </w:r>
    </w:p>
    <w:p>
      <w:pPr>
        <w:spacing w:line="480" w:lineRule="auto" w:before="0" w:after="0"/>
        <w:ind w:firstLine="720"/>
      </w:pPr>
      <w:r>
        <w:rPr>
          <w:rFonts w:ascii="Times New Roman" w:hAnsi="Times New Roman" w:eastAsia="Times New Roman"/>
          <w:b w:val="0"/>
          <w:i w:val="0"/>
          <w:sz w:val="24"/>
        </w:rPr>
        <w:t>This work was supported by the Chronic Disease Management Research Project of National Health Commission Capacity Building and Continuing Education Center (Grant No. GWJJMB202510024181), Changsha Science and Technology Bureau Project (Grant No. kq2014242), and Natural Science Foundation of Hunan Province (Grant No. 2021JJ30959).</w:t>
      </w:r>
    </w:p>
    <w:p>
      <w:pPr>
        <w:pStyle w:val="Heading1"/>
        <w:spacing w:before="360" w:after="240" w:line="240" w:lineRule="auto"/>
      </w:pPr>
      <w:r>
        <w:rPr>
          <w:rFonts w:ascii="Times New Roman" w:hAnsi="Times New Roman" w:eastAsia="Times New Roman"/>
          <w:b/>
          <w:i w:val="0"/>
          <w:sz w:val="28"/>
        </w:rPr>
        <w:t>Data Availability</w:t>
      </w:r>
    </w:p>
    <w:p>
      <w:pPr>
        <w:spacing w:line="480" w:lineRule="auto" w:before="0" w:after="0"/>
        <w:ind w:firstLine="720"/>
      </w:pPr>
      <w:r>
        <w:rPr>
          <w:rFonts w:ascii="Times New Roman" w:hAnsi="Times New Roman" w:eastAsia="Times New Roman"/>
          <w:b w:val="0"/>
          <w:i w:val="0"/>
          <w:sz w:val="24"/>
        </w:rPr>
        <w:t>MIMIC-IV and eICU-CRD are publicly available at PhysioNet. All analysis code is at GitHub (https://github.com/wudengke2010/kdigo-aki-mimic-iv).</w:t>
      </w:r>
    </w:p>
    <w:p>
      <w:pPr>
        <w:pStyle w:val="Heading1"/>
        <w:spacing w:before="360" w:after="240" w:line="240" w:lineRule="auto"/>
      </w:pPr>
      <w:r>
        <w:rPr>
          <w:rFonts w:ascii="Times New Roman" w:hAnsi="Times New Roman" w:eastAsia="Times New Roman"/>
          <w:b/>
          <w:i w:val="0"/>
          <w:sz w:val="28"/>
        </w:rPr>
        <w:t>Ethics Approval</w:t>
      </w:r>
    </w:p>
    <w:p>
      <w:pPr>
        <w:spacing w:line="480" w:lineRule="auto" w:before="0" w:after="0"/>
        <w:ind w:firstLine="720"/>
      </w:pPr>
      <w:r>
        <w:rPr>
          <w:rFonts w:ascii="Times New Roman" w:hAnsi="Times New Roman" w:eastAsia="Times New Roman"/>
          <w:b w:val="0"/>
          <w:i w:val="0"/>
          <w:sz w:val="24"/>
        </w:rPr>
        <w:t>Access to MIMIC-IV and eICU-CRD was obtained through PhysioNet after CITI Data or Specimens Only Research course completion. Use of de-identified, publicly available data did not require additional IRB approval.</w:t>
      </w:r>
    </w:p>
    <w:p>
      <w:pPr>
        <w:pStyle w:val="Heading1"/>
        <w:spacing w:before="360" w:after="240" w:line="240" w:lineRule="auto"/>
      </w:pPr>
      <w:r>
        <w:rPr>
          <w:rFonts w:ascii="Times New Roman" w:hAnsi="Times New Roman" w:eastAsia="Times New Roman"/>
          <w:b/>
          <w:i w:val="0"/>
          <w:sz w:val="28"/>
        </w:rPr>
        <w:t>Consent for Publication</w:t>
      </w:r>
    </w:p>
    <w:p>
      <w:pPr>
        <w:spacing w:line="480" w:lineRule="auto" w:before="0" w:after="0"/>
        <w:ind w:firstLine="720"/>
      </w:pPr>
      <w:r>
        <w:rPr>
          <w:rFonts w:ascii="Times New Roman" w:hAnsi="Times New Roman" w:eastAsia="Times New Roman"/>
          <w:b w:val="0"/>
          <w:i w:val="0"/>
          <w:sz w:val="24"/>
        </w:rPr>
        <w:t>Not applicable. This study used de-identified, publicly available data.</w:t>
      </w:r>
    </w:p>
    <w:p>
      <w:pPr>
        <w:pStyle w:val="Heading1"/>
        <w:spacing w:before="360" w:after="240" w:line="240" w:lineRule="auto"/>
      </w:pPr>
      <w:r>
        <w:rPr>
          <w:rFonts w:ascii="Times New Roman" w:hAnsi="Times New Roman" w:eastAsia="Times New Roman"/>
          <w:b/>
          <w:i w:val="0"/>
          <w:sz w:val="28"/>
        </w:rPr>
        <w:t>Patient and Public Involvement</w:t>
      </w:r>
    </w:p>
    <w:p>
      <w:pPr>
        <w:spacing w:line="480" w:lineRule="auto" w:before="0" w:after="0"/>
        <w:ind w:firstLine="720"/>
      </w:pPr>
      <w:r>
        <w:rPr>
          <w:rFonts w:ascii="Times New Roman" w:hAnsi="Times New Roman" w:eastAsia="Times New Roman"/>
          <w:b w:val="0"/>
          <w:i w:val="0"/>
          <w:sz w:val="24"/>
        </w:rPr>
        <w:t>Patients and/or the public were not involved in the design, conduct, reporting, or dissemination of this research.</w:t>
      </w:r>
    </w:p>
    <w:p>
      <w:pPr>
        <w:pStyle w:val="Heading1"/>
        <w:spacing w:before="360" w:after="240" w:line="240" w:lineRule="auto"/>
      </w:pPr>
      <w:r>
        <w:rPr>
          <w:rFonts w:ascii="Times New Roman" w:hAnsi="Times New Roman" w:eastAsia="Times New Roman"/>
          <w:b/>
          <w:i w:val="0"/>
          <w:sz w:val="28"/>
        </w:rPr>
        <w:t>Author Contributions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rPr>
        <w:t xml:space="preserve"> Conceptualisation, Data curation, Formal analysis, Investigation, Methodology, Writing – original draft. </w:t>
      </w:r>
      <w:r>
        <w:rPr>
          <w:rFonts w:ascii="Times New Roman" w:hAnsi="Times New Roman" w:eastAsia="Times New Roman"/>
          <w:b/>
          <w:i w:val="0"/>
          <w:sz w:val="24"/>
        </w:rPr>
        <w:t>Dengke Wu:</w:t>
      </w:r>
      <w:r>
        <w:rPr>
          <w:rFonts w:ascii="Times New Roman" w:hAnsi="Times New Roman" w:eastAsia="Times New Roman"/>
          <w:b w:val="0"/>
          <w:i w:val="0"/>
          <w:sz w:val="24"/>
        </w:rPr>
        <w:t xml:space="preserve"> Conceptualisation, Funding acquisition, Project administration, Supervision, Writing – review &amp; editing.</w:t>
      </w:r>
    </w:p>
    <w:p>
      <w:pPr>
        <w:pStyle w:val="Heading1"/>
        <w:spacing w:before="360" w:after="240" w:line="240" w:lineRule="auto"/>
      </w:pPr>
      <w:r>
        <w:rPr>
          <w:rFonts w:ascii="Times New Roman" w:hAnsi="Times New Roman" w:eastAsia="Times New Roman"/>
          <w:b/>
          <w:i w:val="0"/>
          <w:sz w:val="28"/>
        </w:rPr>
        <w:t>Disclosure of Interest</w:t>
      </w:r>
    </w:p>
    <w:p>
      <w:pPr>
        <w:spacing w:line="480" w:lineRule="auto" w:before="0" w:after="0"/>
        <w:ind w:firstLine="720"/>
      </w:pPr>
      <w:r>
        <w:rPr>
          <w:rFonts w:ascii="Times New Roman" w:hAnsi="Times New Roman" w:eastAsia="Times New Roman"/>
          <w:b w:val="0"/>
          <w:i w:val="0"/>
          <w:sz w:val="24"/>
        </w:rPr>
        <w:t>The authors report no competing interests.</w:t>
      </w:r>
    </w:p>
    <w:p>
      <w:pPr>
        <w:pStyle w:val="Heading1"/>
        <w:spacing w:before="360" w:after="240" w:line="240" w:lineRule="auto"/>
      </w:pPr>
      <w:r>
        <w:rPr>
          <w:rFonts w:ascii="Times New Roman" w:hAnsi="Times New Roman" w:eastAsia="Times New Roman"/>
          <w:b/>
          <w:i w:val="0"/>
          <w:sz w:val="28"/>
        </w:rPr>
        <w:t>ORCID</w:t>
      </w:r>
    </w:p>
    <w:p>
      <w:pPr>
        <w:spacing w:line="480" w:lineRule="auto" w:before="0" w:after="0"/>
        <w:ind w:firstLine="720"/>
      </w:pPr>
      <w:r>
        <w:rPr>
          <w:rFonts w:ascii="Times New Roman" w:hAnsi="Times New Roman" w:eastAsia="Times New Roman"/>
          <w:b w:val="0"/>
          <w:i w:val="0"/>
          <w:sz w:val="24"/>
        </w:rPr>
        <w:t>Dengke Wu https://orcid.org/0000-0003-4101-8461</w:t>
      </w:r>
    </w:p>
    <w:p>
      <w:pPr>
        <w:pStyle w:val="Heading1"/>
        <w:spacing w:before="360" w:after="240" w:line="240" w:lineRule="auto"/>
      </w:pPr>
      <w:r>
        <w:rPr>
          <w:rFonts w:ascii="Times New Roman" w:hAnsi="Times New Roman" w:eastAsia="Times New Roman"/>
          <w:b/>
          <w:i w:val="0"/>
          <w:sz w:val="28"/>
        </w:rPr>
        <w:t>Declaration of Generative AI in Scientific Writing</w:t>
      </w:r>
    </w:p>
    <w:p>
      <w:pPr>
        <w:spacing w:line="480" w:lineRule="auto" w:before="0" w:after="0"/>
        <w:ind w:firstLine="720"/>
      </w:pPr>
      <w:r>
        <w:rPr>
          <w:rFonts w:ascii="Times New Roman" w:hAnsi="Times New Roman" w:eastAsia="Times New Roman"/>
          <w:b w:val="0"/>
          <w:i w:val="0"/>
          <w:sz w:val="24"/>
        </w:rPr>
        <w:t>During preparation, the authors used LLMs for language editing. After using these tools, the authors reviewed and edited the content and take full responsibility for the publication.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