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9" w:lineRule="auto"/>
      </w:pPr>
      <w:r>
        <w:rPr>
          <w:rFonts w:ascii="Times New Roman" w:hAnsi="Times New Roman"/>
          <w:sz w:val="22"/>
        </w:rPr>
        <w:t>Correspondence</w:t>
      </w:r>
    </w:p>
    <w:p>
      <w:pPr>
        <w:spacing w:after="160" w:line="269" w:lineRule="auto"/>
      </w:pPr>
      <w:r>
        <w:rPr>
          <w:rFonts w:ascii="Times New Roman" w:hAnsi="Times New Roman"/>
          <w:sz w:val="22"/>
        </w:rPr>
        <w:t>Dengke Wu, MD</w:t>
      </w:r>
      <w:r>
        <w:br/>
      </w:r>
      <w:r>
        <w:rPr>
          <w:rFonts w:ascii="Times New Roman" w:hAnsi="Times New Roman"/>
          <w:sz w:val="22"/>
        </w:rPr>
        <w:t>Department of Emergency Medicine, and Emergency Medicine and Difficult Diseases Institute</w:t>
      </w:r>
      <w:r>
        <w:br/>
      </w:r>
      <w:r>
        <w:rPr>
          <w:rFonts w:ascii="Times New Roman" w:hAnsi="Times New Roman"/>
          <w:sz w:val="22"/>
        </w:rPr>
        <w:t>The Second Xiangya Hospital of Central South University, Changsha 410011, Hunan, China</w:t>
      </w:r>
      <w:r>
        <w:br/>
      </w:r>
      <w:r>
        <w:rPr>
          <w:rFonts w:ascii="Times New Roman" w:hAnsi="Times New Roman"/>
          <w:sz w:val="22"/>
        </w:rPr>
        <w:t>Email: wudk2010@csu.edu.cn  |  Tel: +86 731 8529 5000  |  ORCID: 0000-0003-4101-8461</w:t>
      </w:r>
    </w:p>
    <w:p>
      <w:pPr>
        <w:spacing w:after="160" w:line="269" w:lineRule="auto"/>
      </w:pPr>
      <w:r>
        <w:rPr>
          <w:rFonts w:ascii="Times New Roman" w:hAnsi="Times New Roman"/>
          <w:sz w:val="22"/>
        </w:rPr>
        <w:t>23 October 2026</w:t>
      </w:r>
      <w:r>
        <w:br/>
      </w:r>
      <w:r>
        <w:rPr>
          <w:rFonts w:ascii="Times New Roman" w:hAnsi="Times New Roman"/>
          <w:sz w:val="22"/>
        </w:rPr>
      </w:r>
      <w:r>
        <w:br/>
      </w:r>
      <w:r>
        <w:rPr>
          <w:rFonts w:ascii="Times New Roman" w:hAnsi="Times New Roman"/>
          <w:sz w:val="22"/>
        </w:rPr>
        <w:t>Editor-in-Chief</w:t>
      </w:r>
      <w:r>
        <w:br/>
      </w:r>
      <w:r>
        <w:rPr>
          <w:rFonts w:ascii="Times New Roman" w:hAnsi="Times New Roman"/>
          <w:sz w:val="22"/>
        </w:rPr>
        <w:t>NMR in Biomedicine</w:t>
      </w:r>
      <w:r>
        <w:br/>
      </w:r>
      <w:r>
        <w:rPr>
          <w:rFonts w:ascii="Times New Roman" w:hAnsi="Times New Roman"/>
          <w:sz w:val="22"/>
        </w:rPr>
        <w:t>John Wiley &amp; Sons</w:t>
      </w:r>
    </w:p>
    <w:p>
      <w:pPr>
        <w:spacing w:after="160" w:line="269" w:lineRule="auto"/>
      </w:pPr>
      <w:r>
        <w:rPr>
          <w:rFonts w:ascii="Times New Roman" w:hAnsi="Times New Roman"/>
          <w:b/>
          <w:sz w:val="22"/>
        </w:rPr>
        <w:t>Subject</w:t>
      </w:r>
    </w:p>
    <w:p>
      <w:pPr>
        <w:spacing w:after="160" w:line="269" w:lineRule="auto"/>
      </w:pPr>
      <w:r>
        <w:rPr>
          <w:rFonts w:ascii="Times New Roman" w:hAnsi="Times New Roman"/>
          <w:b/>
          <w:sz w:val="22"/>
        </w:rPr>
        <w:t>Revised manuscript resubmission — Manuscript ID 7830229: “Scanner Vendor Harmonisation of Spinal Cord Quantitative MRI Biomarkers: A Five-Method Benchmark”</w:t>
      </w:r>
    </w:p>
    <w:p>
      <w:pPr>
        <w:spacing w:after="160" w:line="269" w:lineRule="auto"/>
      </w:pPr>
      <w:r>
        <w:rPr>
          <w:rFonts w:ascii="Times New Roman" w:hAnsi="Times New Roman"/>
          <w:sz w:val="22"/>
        </w:rPr>
        <w:t>Dear Editor-in-Chief,</w:t>
      </w:r>
    </w:p>
    <w:p>
      <w:pPr>
        <w:spacing w:after="160" w:line="269" w:lineRule="auto"/>
      </w:pPr>
      <w:r>
        <w:rPr>
          <w:rFonts w:ascii="Times New Roman" w:hAnsi="Times New Roman"/>
          <w:sz w:val="22"/>
        </w:rPr>
        <w:t>Thank you for the decision letter of 19 October 2026 and for the reviewer's detailed assessment. We have revised the manuscript in response to every point raised, and we enclose the revised files together with a point-by-point response. All changes are described in the accompanying “Response to Reviewers” document; section and table numbers below refer to the revised manuscript.</w:t>
      </w:r>
    </w:p>
    <w:p>
      <w:pPr>
        <w:spacing w:after="160" w:line="269" w:lineRule="auto"/>
      </w:pPr>
      <w:r>
        <w:rPr>
          <w:rFonts w:ascii="Times New Roman" w:hAnsi="Times New Roman"/>
          <w:b/>
          <w:sz w:val="22"/>
        </w:rPr>
        <w:t>Summary of the principal changes</w:t>
      </w:r>
    </w:p>
    <w:p>
      <w:pPr>
        <w:spacing w:after="160" w:line="269" w:lineRule="auto"/>
      </w:pPr>
      <w:r>
        <w:rPr>
          <w:rFonts w:ascii="Times New Roman" w:hAnsi="Times New Roman"/>
          <w:sz w:val="22"/>
        </w:rPr>
        <w:t>1.  Clarity of the evaluation framework. A new Table 2 (“Evaluation endpoints at a glance”) states, for each endpoint, what it measures, which direction is desirable and its main caveat. Endpoint naming has been unified (“biological-covariate recovery” replaces “biological-signal recovery”), the definition of subject-level preservation has been corrected to match the implemented quantity, the Abstract has been rewritten in plainer language (295 → 250 words), the Key Points have been simplified, and each Results subsection now ends with a mini-conclusion so that the conclusions stated in the Abstract and Conclusion are traceable in the text.</w:t>
      </w:r>
    </w:p>
    <w:p>
      <w:pPr>
        <w:spacing w:after="160" w:line="269" w:lineRule="auto"/>
      </w:pPr>
      <w:r>
        <w:rPr>
          <w:rFonts w:ascii="Times New Roman" w:hAnsi="Times New Roman"/>
          <w:sz w:val="22"/>
        </w:rPr>
        <w:t>2.  The exploratory radiological-label endpoint has been circumscribed. The labels are now stated explicitly to be radiological assessments of mostly mild cord compression rather than clinical diagnoses (Valošek et al. 2024, ref [3]); the endpoint is demoted to exploratory throughout (Methods 2.4, Table 2, Results 3.3, Discussion, new Limitation (v)); references showing that these biomarkers discriminate cord compression and early degeneration have been added (Martin et al. 2018; Grabher et al. 2016); and all disease-related interpretation has been removed. We note that external validation on a clinically characterised cohort would be the correct standard, that no such open multi-vendor spinal cord qMRI dataset exists to our knowledge, and that we have therefore limited the claims rather than overstated them.</w:t>
      </w:r>
    </w:p>
    <w:p>
      <w:pPr>
        <w:spacing w:after="160" w:line="269" w:lineRule="auto"/>
      </w:pPr>
      <w:r>
        <w:rPr>
          <w:rFonts w:ascii="Times New Roman" w:hAnsi="Times New Roman"/>
          <w:sz w:val="22"/>
        </w:rPr>
        <w:t>3.  New age-confounding analysis (Supplementary Material S9). The labelled group is older (median 34.0 vs 28.0 years, p = 2 × 10⁻⁷) and age alone discriminates the labels (AUC 0.725); after residualising all biomarkers on age and sex, the post-harmonisation improvement persists (AUC 0.565 → 0.655), showing it is not an artefact of the age difference.</w:t>
      </w:r>
    </w:p>
    <w:p>
      <w:pPr>
        <w:spacing w:after="160" w:line="269" w:lineRule="auto"/>
      </w:pPr>
      <w:r>
        <w:rPr>
          <w:rFonts w:ascii="Times New Roman" w:hAnsi="Times New Roman"/>
          <w:sz w:val="22"/>
        </w:rPr>
        <w:t>4.  New site- and scanner-model-level harmonisation analysis (main text Section 3.8, Supplementary Material S10), in response to the reviewer's suggestion to harmonise at finer granularity given only three vendors.</w:t>
      </w:r>
    </w:p>
    <w:p>
      <w:pPr>
        <w:spacing w:after="160" w:line="269" w:lineRule="auto"/>
      </w:pPr>
      <w:r>
        <w:rPr>
          <w:rFonts w:ascii="Times New Roman" w:hAnsi="Times New Roman"/>
          <w:sz w:val="22"/>
        </w:rPr>
        <w:t>5.  Methodological detail for reproducibility. Section 2.2 has been expanded: the exact Spinal Cord Toolbox snapshot is now reported (master commit 93923f5e363d9400fbadab07459f125a08b21ad8, 2 June 2026), the analysis code repository is linked, all derivatives are declared as generated de novo, and a new Supplementary Table S2a compares our pipeline step by step with the spine-generic reference pipeline.</w:t>
      </w:r>
    </w:p>
    <w:p>
      <w:pPr>
        <w:spacing w:after="160" w:line="269" w:lineRule="auto"/>
      </w:pPr>
      <w:r>
        <w:rPr>
          <w:rFonts w:ascii="Times New Roman" w:hAnsi="Times New Roman"/>
          <w:b/>
          <w:sz w:val="22"/>
        </w:rPr>
        <w:t>Items of note</w:t>
      </w:r>
    </w:p>
    <w:p>
      <w:pPr>
        <w:spacing w:after="160" w:line="269" w:lineRule="auto"/>
      </w:pPr>
      <w:r>
        <w:rPr>
          <w:rFonts w:ascii="Times New Roman" w:hAnsi="Times New Roman"/>
          <w:sz w:val="22"/>
        </w:rPr>
        <w:t>•  The statement on AI-assisted writing has been moved from the Methods to the Acknowledgements, as requested; the Declarations file now points to it instead of repeating it.</w:t>
      </w:r>
    </w:p>
    <w:p>
      <w:pPr>
        <w:spacing w:after="160" w:line="269" w:lineRule="auto"/>
      </w:pPr>
      <w:r>
        <w:rPr>
          <w:rFonts w:ascii="Times New Roman" w:hAnsi="Times New Roman"/>
          <w:sz w:val="22"/>
        </w:rPr>
        <w:t>•  A tracked-changes version of the main text (Main_Text_TrackedChanges.pdf, produced by a paragraph-level comparison of the revised source against the previously submitted version; additions in blue, deletions in red) is enclosed to facilitate re-review.</w:t>
      </w:r>
    </w:p>
    <w:p>
      <w:pPr>
        <w:spacing w:after="160" w:line="269" w:lineRule="auto"/>
      </w:pPr>
      <w:r>
        <w:rPr>
          <w:rFonts w:ascii="Times New Roman" w:hAnsi="Times New Roman"/>
          <w:sz w:val="22"/>
        </w:rPr>
        <w:t>•  No previously reported numerical result was altered by this revision: the two new analyses are additions, and the one definitional correction (subject-level preservation) changes no value.</w:t>
      </w:r>
    </w:p>
    <w:p>
      <w:pPr>
        <w:spacing w:after="160" w:line="269" w:lineRule="auto"/>
      </w:pPr>
      <w:r>
        <w:rPr>
          <w:rFonts w:ascii="Times New Roman" w:hAnsi="Times New Roman"/>
          <w:b/>
          <w:sz w:val="22"/>
        </w:rPr>
        <w:t>Statements</w:t>
      </w:r>
    </w:p>
    <w:p>
      <w:pPr>
        <w:spacing w:after="160" w:line="269" w:lineRule="auto"/>
      </w:pPr>
      <w:r>
        <w:rPr>
          <w:rFonts w:ascii="Times New Roman" w:hAnsi="Times New Roman"/>
          <w:sz w:val="22"/>
        </w:rPr>
        <w:t>•  This manuscript has not been submitted elsewhere and is not under consideration by another journal; all authors have approved the revised version.</w:t>
      </w:r>
    </w:p>
    <w:p>
      <w:pPr>
        <w:spacing w:after="160" w:line="269" w:lineRule="auto"/>
      </w:pPr>
      <w:r>
        <w:rPr>
          <w:rFonts w:ascii="Times New Roman" w:hAnsi="Times New Roman"/>
          <w:sz w:val="22"/>
        </w:rPr>
        <w:t>•  An AI-based writing assistant was used only to improve English clarity and structure of author-written text; no AI tool was used for study design, data analysis, statistical computation, figure generation or interpretation of results. This is disclosed in the Acknowledgements of the revised manuscript.</w:t>
      </w:r>
    </w:p>
    <w:p>
      <w:pPr>
        <w:spacing w:after="160" w:line="269" w:lineRule="auto"/>
      </w:pPr>
      <w:r>
        <w:rPr>
          <w:rFonts w:ascii="Times New Roman" w:hAnsi="Times New Roman"/>
          <w:sz w:val="22"/>
        </w:rPr>
        <w:t>•  Funding: grant GWJJMB202510024181 and grant 20256759. The authors declare no competing interests.</w:t>
      </w:r>
    </w:p>
    <w:p>
      <w:pPr>
        <w:spacing w:after="160" w:line="269" w:lineRule="auto"/>
      </w:pPr>
      <w:r>
        <w:rPr>
          <w:rFonts w:ascii="Times New Roman" w:hAnsi="Times New Roman"/>
          <w:sz w:val="22"/>
        </w:rPr>
        <w:t>•  Data and code: the spine-generic multi-subject dataset (release r20231212) is openly available under CC0 (Zenodo DOI 10.5281/zenodo.4299140); all analysis code is available at https://github.com/wudengke2010/spine-generic-harmonization.</w:t>
      </w:r>
    </w:p>
    <w:p>
      <w:pPr>
        <w:spacing w:after="160" w:line="269" w:lineRule="auto"/>
      </w:pPr>
      <w:r>
        <w:rPr>
          <w:rFonts w:ascii="Times New Roman" w:hAnsi="Times New Roman"/>
          <w:sz w:val="22"/>
        </w:rPr>
        <w:t>We hope the revised manuscript now meets the journal's standards, and we thank you and the reviewer for the careful and constructive assessment.</w:t>
      </w:r>
    </w:p>
    <w:p>
      <w:pPr>
        <w:spacing w:after="160" w:line="269" w:lineRule="auto"/>
      </w:pPr>
      <w:r>
        <w:rPr>
          <w:rFonts w:ascii="Times New Roman" w:hAnsi="Times New Roman"/>
          <w:sz w:val="22"/>
        </w:rPr>
        <w:t>Yours sincerely,</w:t>
      </w:r>
    </w:p>
    <w:p>
      <w:pPr>
        <w:spacing w:after="160" w:line="269" w:lineRule="auto"/>
      </w:pPr>
      <w:r>
        <w:rPr>
          <w:rFonts w:ascii="Times New Roman" w:hAnsi="Times New Roman"/>
          <w:sz w:val="22"/>
        </w:rPr>
        <w:t>Dengke Wu, MD (corresponding author, on behalf of both authors)</w:t>
      </w:r>
      <w:r>
        <w:br/>
      </w:r>
      <w:r>
        <w:rPr>
          <w:rFonts w:ascii="Times New Roman" w:hAnsi="Times New Roman"/>
          <w:sz w:val="22"/>
        </w:rPr>
        <w:t>The Second Xiangya Hospital of Central South University, Changsha, Hunan, China</w:t>
      </w:r>
      <w:r>
        <w:br/>
      </w:r>
      <w:r>
        <w:rPr>
          <w:rFonts w:ascii="Times New Roman" w:hAnsi="Times New Roman"/>
          <w:sz w:val="22"/>
        </w:rPr>
        <w:t>wudk2010@csu.edu.cn</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(Revision) — NMR in Biomedicine 7830229</dc:title>
  <dc:subject>NMR in Biomedicine, revised manuscript resubmission</dc:subject>
  <dc:creator>Yilin Zhu; Dengke Wu</dc:creator>
  <cp:keywords/>
  <dc:description>generated by python-docx</dc:description>
  <cp:lastModifiedBy/>
  <cp:revision>1</cp:revision>
  <dcterms:created xsi:type="dcterms:W3CDTF">2013-12-23T23:15:00Z</dcterms:created>
  <dcterms:modified xsi:type="dcterms:W3CDTF">2013-12-23T23:15:00Z</dcterms:modified>
  <cp:category/>
</cp:coreProperties>
</file>