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rPr>
          <w:rFonts w:ascii="Calibri" w:hAnsi="Calibri" w:eastAsia="宋体"/>
          <w:b/>
          <w:color w:val="0B2545"/>
          <w:sz w:val="44"/>
        </w:rPr>
        <w:t>足球联赛购票系统</w:t>
      </w:r>
    </w:p>
    <w:p>
      <w:pPr>
        <w:spacing w:before="0" w:after="360" w:line="264" w:lineRule="auto"/>
        <w:jc w:val="center"/>
      </w:pPr>
      <w:r>
        <w:rPr>
          <w:rFonts w:ascii="Calibri" w:hAnsi="Calibri" w:eastAsia="宋体"/>
          <w:color w:val="555555"/>
          <w:sz w:val="24"/>
        </w:rPr>
        <w:t>需求分析与系统详细设计书</w:t>
      </w:r>
    </w:p>
    <w:p>
      <w:pPr>
        <w:spacing w:before="0" w:after="120" w:line="264" w:lineRule="auto"/>
      </w:pPr>
      <w:r>
        <w:rPr>
          <w:rFonts w:ascii="Calibri" w:hAnsi="Calibri" w:eastAsia="宋体"/>
        </w:rPr>
        <w:t>本文档面向课程设计阶段二成果，围绕足球联赛购票系统的业务目标、角色、功能需求、非功能需求、系统架构、功能模块和数据库设计进行说明，为后续编码实现、测试和最终总报告撰写提供依据。系统默认采用 Spring Boot + Vue + MySQL + MyBatis 的技术路线。</w:t>
      </w:r>
    </w:p>
    <w:p>
      <w:pPr>
        <w:pStyle w:val="Heading1"/>
      </w:pPr>
      <w:r>
        <w:t>1 系统需求</w:t>
      </w:r>
    </w:p>
    <w:p>
      <w:pPr>
        <w:pStyle w:val="Heading2"/>
      </w:pPr>
      <w:r>
        <w:t>1.1 功能需求</w:t>
      </w:r>
    </w:p>
    <w:p>
      <w:pPr>
        <w:pStyle w:val="Heading3"/>
      </w:pPr>
      <w:r>
        <w:t>1.1.1 系统角色及其功能</w:t>
      </w:r>
    </w:p>
    <w:p>
      <w:pPr>
        <w:spacing w:before="0" w:after="120" w:line="264" w:lineRule="auto"/>
      </w:pPr>
      <w:r>
        <w:rPr>
          <w:rFonts w:ascii="Calibri" w:hAnsi="Calibri" w:eastAsia="宋体"/>
        </w:rPr>
        <w:t>足球联赛购票系统主要服务于有观赛需求的普通用户，同时为联赛统一票务平台提供赛季赛程、主客场比赛、场馆、票务和检票管理能力。系统参考英超等职业足球联赛的组织方式：多个俱乐部在一个赛季内进行主客场双循环比赛，每轮包含多场对阵。本系统面向全联赛所有俱乐部比赛售票，而不是单个俱乐部的主场票务系统。根据系统使用者的职责差异，可以将系统角色划分为用户、俱乐部、检票员和管理员。</w:t>
      </w:r>
    </w:p>
    <w:tbl>
      <w:tblPr>
        <w:tblStyle w:val="TableGrid"/>
        <w:tblW w:type="dxa" w:w="9360"/>
        <w:jc w:val="center"/>
        <w:tblLayout w:type="fixed"/>
        <w:tblLook w:firstColumn="1" w:firstRow="1" w:lastColumn="0" w:lastRow="0" w:noHBand="0" w:noVBand="1" w:val="04A0"/>
        <w:tblInd w:w="120" w:type="dxa"/>
      </w:tblPr>
      <w:tblGrid>
        <w:gridCol w:w="1300"/>
        <w:gridCol w:w="2600"/>
        <w:gridCol w:w="5460"/>
      </w:tblGrid>
      <w:tr>
        <w:tc>
          <w:tcPr>
            <w:tcW w:type="dxa" w:w="1300"/>
            <w:shd w:fill="F2F4F7"/>
            <w:vAlign w:val="center"/>
            <w:tcMar>
              <w:top w:w="80" w:type="dxa"/>
              <w:start w:w="120" w:type="dxa"/>
              <w:bottom w:w="80" w:type="dxa"/>
              <w:end w:w="120" w:type="dxa"/>
            </w:tcMar>
          </w:tcPr>
          <w:p>
            <w:r>
              <w:rPr>
                <w:rFonts w:ascii="Calibri" w:hAnsi="Calibri" w:eastAsia="宋体"/>
                <w:b/>
              </w:rPr>
              <w:t>角色</w:t>
            </w:r>
          </w:p>
        </w:tc>
        <w:tc>
          <w:tcPr>
            <w:tcW w:type="dxa" w:w="2600"/>
            <w:shd w:fill="F2F4F7"/>
            <w:vAlign w:val="center"/>
            <w:tcMar>
              <w:top w:w="80" w:type="dxa"/>
              <w:start w:w="120" w:type="dxa"/>
              <w:bottom w:w="80" w:type="dxa"/>
              <w:end w:w="120" w:type="dxa"/>
            </w:tcMar>
          </w:tcPr>
          <w:p>
            <w:r>
              <w:rPr>
                <w:rFonts w:ascii="Calibri" w:hAnsi="Calibri" w:eastAsia="宋体"/>
                <w:b/>
              </w:rPr>
              <w:t>角色说明</w:t>
            </w:r>
          </w:p>
        </w:tc>
        <w:tc>
          <w:tcPr>
            <w:tcW w:type="dxa" w:w="5460"/>
            <w:shd w:fill="F2F4F7"/>
            <w:vAlign w:val="center"/>
            <w:tcMar>
              <w:top w:w="80" w:type="dxa"/>
              <w:start w:w="120" w:type="dxa"/>
              <w:bottom w:w="80" w:type="dxa"/>
              <w:end w:w="120" w:type="dxa"/>
            </w:tcMar>
          </w:tcPr>
          <w:p>
            <w:r>
              <w:rPr>
                <w:rFonts w:ascii="Calibri" w:hAnsi="Calibri" w:eastAsia="宋体"/>
                <w:b/>
              </w:rPr>
              <w:t>主要功能</w:t>
            </w:r>
          </w:p>
        </w:tc>
      </w:tr>
      <w:tr>
        <w:tc>
          <w:tcPr>
            <w:tcW w:type="dxa" w:w="1300"/>
            <w:vAlign w:val="center"/>
            <w:tcMar>
              <w:top w:w="80" w:type="dxa"/>
              <w:start w:w="120" w:type="dxa"/>
              <w:bottom w:w="80" w:type="dxa"/>
              <w:end w:w="120" w:type="dxa"/>
            </w:tcMar>
          </w:tcPr>
          <w:p>
            <w:pPr>
              <w:spacing w:before="0" w:after="0" w:line="252" w:lineRule="auto"/>
            </w:pPr>
            <w:r>
              <w:rPr>
                <w:rFonts w:ascii="Calibri" w:hAnsi="Calibri" w:eastAsia="宋体"/>
                <w:sz w:val="21"/>
              </w:rPr>
              <w:t>用户</w:t>
            </w:r>
          </w:p>
        </w:tc>
        <w:tc>
          <w:tcPr>
            <w:tcW w:type="dxa" w:w="2600"/>
            <w:vAlign w:val="center"/>
            <w:tcMar>
              <w:top w:w="80" w:type="dxa"/>
              <w:start w:w="120" w:type="dxa"/>
              <w:bottom w:w="80" w:type="dxa"/>
              <w:end w:w="120" w:type="dxa"/>
            </w:tcMar>
          </w:tcPr>
          <w:p>
            <w:pPr>
              <w:spacing w:before="0" w:after="0" w:line="252" w:lineRule="auto"/>
            </w:pPr>
            <w:r>
              <w:rPr>
                <w:rFonts w:ascii="Calibri" w:hAnsi="Calibri" w:eastAsia="宋体"/>
                <w:sz w:val="21"/>
              </w:rPr>
              <w:t>浏览足球联赛完整赛程并购买任意可售比赛门票的普通用户。</w:t>
            </w:r>
          </w:p>
        </w:tc>
        <w:tc>
          <w:tcPr>
            <w:tcW w:type="dxa" w:w="5460"/>
            <w:vAlign w:val="center"/>
            <w:tcMar>
              <w:top w:w="80" w:type="dxa"/>
              <w:start w:w="120" w:type="dxa"/>
              <w:bottom w:w="80" w:type="dxa"/>
              <w:end w:w="120" w:type="dxa"/>
            </w:tcMar>
          </w:tcPr>
          <w:p>
            <w:pPr>
              <w:spacing w:before="0" w:after="0" w:line="252" w:lineRule="auto"/>
            </w:pPr>
            <w:r>
              <w:rPr>
                <w:rFonts w:ascii="Calibri" w:hAnsi="Calibri" w:eastAsia="宋体"/>
                <w:sz w:val="21"/>
              </w:rPr>
              <w:t>注册登录、浏览赛季赛程、按俱乐部或轮次筛选比赛、查看票区票价和剩余连坐能力、选择票区和购票张数、提交订单、模拟支付、查看电子票、申请退票、查看订单记录。</w:t>
            </w:r>
          </w:p>
        </w:tc>
      </w:tr>
      <w:tr>
        <w:tc>
          <w:tcPr>
            <w:tcW w:type="dxa" w:w="1300"/>
            <w:vAlign w:val="center"/>
            <w:tcMar>
              <w:top w:w="80" w:type="dxa"/>
              <w:start w:w="120" w:type="dxa"/>
              <w:bottom w:w="80" w:type="dxa"/>
              <w:end w:w="120" w:type="dxa"/>
            </w:tcMar>
          </w:tcPr>
          <w:p>
            <w:pPr>
              <w:spacing w:before="0" w:after="0" w:line="252" w:lineRule="auto"/>
            </w:pPr>
            <w:r>
              <w:rPr>
                <w:rFonts w:ascii="Calibri" w:hAnsi="Calibri" w:eastAsia="宋体"/>
                <w:sz w:val="21"/>
              </w:rPr>
              <w:t>俱乐部</w:t>
            </w:r>
          </w:p>
        </w:tc>
        <w:tc>
          <w:tcPr>
            <w:tcW w:type="dxa" w:w="2600"/>
            <w:vAlign w:val="center"/>
            <w:tcMar>
              <w:top w:w="80" w:type="dxa"/>
              <w:start w:w="120" w:type="dxa"/>
              <w:bottom w:w="80" w:type="dxa"/>
              <w:end w:w="120" w:type="dxa"/>
            </w:tcMar>
          </w:tcPr>
          <w:p>
            <w:pPr>
              <w:spacing w:before="0" w:after="0" w:line="252" w:lineRule="auto"/>
            </w:pPr>
            <w:r>
              <w:rPr>
                <w:rFonts w:ascii="Calibri" w:hAnsi="Calibri" w:eastAsia="宋体"/>
                <w:sz w:val="21"/>
              </w:rPr>
              <w:t>联赛中的参赛俱乐部，拥有本俱乐部业务后台账号，负责维护本俱乐部和主场相关资料。</w:t>
            </w:r>
          </w:p>
        </w:tc>
        <w:tc>
          <w:tcPr>
            <w:tcW w:type="dxa" w:w="5460"/>
            <w:vAlign w:val="center"/>
            <w:tcMar>
              <w:top w:w="80" w:type="dxa"/>
              <w:start w:w="120" w:type="dxa"/>
              <w:bottom w:w="80" w:type="dxa"/>
              <w:end w:w="120" w:type="dxa"/>
            </w:tcMar>
          </w:tcPr>
          <w:p>
            <w:pPr>
              <w:spacing w:before="0" w:after="0" w:line="252" w:lineRule="auto"/>
            </w:pPr>
            <w:r>
              <w:rPr>
                <w:rFonts w:ascii="Calibri" w:hAnsi="Calibri" w:eastAsia="宋体"/>
                <w:sz w:val="21"/>
              </w:rPr>
              <w:t>维护俱乐部名称、队标、主场城市、主场地址、球员名单、教练信息、赛季战绩、主场座位布局和主场票区方案，查看本俱乐部主场比赛售票情况。</w:t>
            </w:r>
          </w:p>
        </w:tc>
      </w:tr>
      <w:tr>
        <w:tc>
          <w:tcPr>
            <w:tcW w:type="dxa" w:w="1300"/>
            <w:vAlign w:val="center"/>
            <w:tcMar>
              <w:top w:w="80" w:type="dxa"/>
              <w:start w:w="120" w:type="dxa"/>
              <w:bottom w:w="80" w:type="dxa"/>
              <w:end w:w="120" w:type="dxa"/>
            </w:tcMar>
          </w:tcPr>
          <w:p>
            <w:pPr>
              <w:spacing w:before="0" w:after="0" w:line="252" w:lineRule="auto"/>
            </w:pPr>
            <w:r>
              <w:rPr>
                <w:rFonts w:ascii="Calibri" w:hAnsi="Calibri" w:eastAsia="宋体"/>
                <w:sz w:val="21"/>
              </w:rPr>
              <w:t>检票员</w:t>
            </w:r>
          </w:p>
        </w:tc>
        <w:tc>
          <w:tcPr>
            <w:tcW w:type="dxa" w:w="2600"/>
            <w:vAlign w:val="center"/>
            <w:tcMar>
              <w:top w:w="80" w:type="dxa"/>
              <w:start w:w="120" w:type="dxa"/>
              <w:bottom w:w="80" w:type="dxa"/>
              <w:end w:w="120" w:type="dxa"/>
            </w:tcMar>
          </w:tcPr>
          <w:p>
            <w:pPr>
              <w:spacing w:before="0" w:after="0" w:line="252" w:lineRule="auto"/>
            </w:pPr>
            <w:r>
              <w:rPr>
                <w:rFonts w:ascii="Calibri" w:hAnsi="Calibri" w:eastAsia="宋体"/>
                <w:sz w:val="21"/>
              </w:rPr>
              <w:t>负责比赛入场时核验电子票状态的工作人员。</w:t>
            </w:r>
          </w:p>
        </w:tc>
        <w:tc>
          <w:tcPr>
            <w:tcW w:type="dxa" w:w="5460"/>
            <w:vAlign w:val="center"/>
            <w:tcMar>
              <w:top w:w="80" w:type="dxa"/>
              <w:start w:w="120" w:type="dxa"/>
              <w:bottom w:w="80" w:type="dxa"/>
              <w:end w:w="120" w:type="dxa"/>
            </w:tcMar>
          </w:tcPr>
          <w:p>
            <w:pPr>
              <w:spacing w:before="0" w:after="0" w:line="252" w:lineRule="auto"/>
            </w:pPr>
            <w:r>
              <w:rPr>
                <w:rFonts w:ascii="Calibri" w:hAnsi="Calibri" w:eastAsia="宋体"/>
                <w:sz w:val="21"/>
              </w:rPr>
              <w:t>扫描或输入电子票码、核验订单和场次信息、标记已入场、识别无效票和重复入场。</w:t>
            </w:r>
          </w:p>
        </w:tc>
      </w:tr>
      <w:tr>
        <w:tc>
          <w:tcPr>
            <w:tcW w:type="dxa" w:w="1300"/>
            <w:vAlign w:val="center"/>
            <w:tcMar>
              <w:top w:w="80" w:type="dxa"/>
              <w:start w:w="120" w:type="dxa"/>
              <w:bottom w:w="80" w:type="dxa"/>
              <w:end w:w="120" w:type="dxa"/>
            </w:tcMar>
          </w:tcPr>
          <w:p>
            <w:pPr>
              <w:spacing w:before="0" w:after="0" w:line="252" w:lineRule="auto"/>
            </w:pPr>
            <w:r>
              <w:rPr>
                <w:rFonts w:ascii="Calibri" w:hAnsi="Calibri" w:eastAsia="宋体"/>
                <w:sz w:val="21"/>
              </w:rPr>
              <w:t>管理员</w:t>
            </w:r>
          </w:p>
        </w:tc>
        <w:tc>
          <w:tcPr>
            <w:tcW w:type="dxa" w:w="2600"/>
            <w:vAlign w:val="center"/>
            <w:tcMar>
              <w:top w:w="80" w:type="dxa"/>
              <w:start w:w="120" w:type="dxa"/>
              <w:bottom w:w="80" w:type="dxa"/>
              <w:end w:w="120" w:type="dxa"/>
            </w:tcMar>
          </w:tcPr>
          <w:p>
            <w:pPr>
              <w:spacing w:before="0" w:after="0" w:line="252" w:lineRule="auto"/>
            </w:pPr>
            <w:r>
              <w:rPr>
                <w:rFonts w:ascii="Calibri" w:hAnsi="Calibri" w:eastAsia="宋体"/>
                <w:sz w:val="21"/>
              </w:rPr>
              <w:t>负责维护全联赛基础数据、发布赛程、管理统一票务和维护系统运行的管理人员。</w:t>
            </w:r>
          </w:p>
        </w:tc>
        <w:tc>
          <w:tcPr>
            <w:tcW w:type="dxa" w:w="5460"/>
            <w:vAlign w:val="center"/>
            <w:tcMar>
              <w:top w:w="80" w:type="dxa"/>
              <w:start w:w="120" w:type="dxa"/>
              <w:bottom w:w="80" w:type="dxa"/>
              <w:end w:w="120" w:type="dxa"/>
            </w:tcMar>
          </w:tcPr>
          <w:p>
            <w:pPr>
              <w:spacing w:before="0" w:after="0" w:line="252" w:lineRule="auto"/>
            </w:pPr>
            <w:r>
              <w:rPr>
                <w:rFonts w:ascii="Calibri" w:hAnsi="Calibri" w:eastAsia="宋体"/>
                <w:sz w:val="21"/>
              </w:rPr>
              <w:t>维护用户和角色权限、维护赛季和轮次、统一发布主客场比赛、导入或维护比赛成绩、维护俱乐部和主场信息、设置票区票价、管理座位库存、处理退票申请、查看全联赛销售统计、查看日志和维护系统参数。</w:t>
            </w:r>
          </w:p>
        </w:tc>
      </w:tr>
    </w:tbl>
    <w:p/>
    <w:p>
      <w:pPr>
        <w:pStyle w:val="Heading3"/>
      </w:pPr>
      <w:r>
        <w:t>1.1.2 需求规定</w:t>
      </w:r>
    </w:p>
    <w:p>
      <w:pPr>
        <w:spacing w:before="0" w:after="120" w:line="264" w:lineRule="auto"/>
      </w:pPr>
      <w:r>
        <w:rPr>
          <w:rFonts w:ascii="Calibri" w:hAnsi="Calibri" w:eastAsia="宋体"/>
        </w:rPr>
        <w:t>系统功能围绕“浏览赛事、选择票区、填写购票张数、系统自动分配连坐座位、生成订单、完成支付、生成电子票、现场检票、后台管理”这一完整购票链路展开。各功能点既要支持用户端操作，也要保证后台对赛事和票务资源的可维护性。</w:t>
      </w:r>
    </w:p>
    <w:tbl>
      <w:tblPr>
        <w:tblStyle w:val="TableGrid"/>
        <w:tblW w:type="dxa" w:w="9360"/>
        <w:jc w:val="center"/>
        <w:tblLayout w:type="fixed"/>
        <w:tblLook w:firstColumn="1" w:firstRow="1" w:lastColumn="0" w:lastRow="0" w:noHBand="0" w:noVBand="1" w:val="04A0"/>
        <w:tblInd w:w="120" w:type="dxa"/>
      </w:tblPr>
      <w:tblGrid>
        <w:gridCol w:w="1200"/>
        <w:gridCol w:w="1800"/>
        <w:gridCol w:w="6360"/>
      </w:tblGrid>
      <w:tr>
        <w:tc>
          <w:tcPr>
            <w:tcW w:type="dxa" w:w="1200"/>
            <w:shd w:fill="F2F4F7"/>
            <w:vAlign w:val="center"/>
            <w:tcMar>
              <w:top w:w="80" w:type="dxa"/>
              <w:start w:w="120" w:type="dxa"/>
              <w:bottom w:w="80" w:type="dxa"/>
              <w:end w:w="120" w:type="dxa"/>
            </w:tcMar>
          </w:tcPr>
          <w:p>
            <w:r>
              <w:rPr>
                <w:rFonts w:ascii="Calibri" w:hAnsi="Calibri" w:eastAsia="宋体"/>
                <w:b/>
              </w:rPr>
              <w:t>功能编号</w:t>
            </w:r>
          </w:p>
        </w:tc>
        <w:tc>
          <w:tcPr>
            <w:tcW w:type="dxa" w:w="1800"/>
            <w:shd w:fill="F2F4F7"/>
            <w:vAlign w:val="center"/>
            <w:tcMar>
              <w:top w:w="80" w:type="dxa"/>
              <w:start w:w="120" w:type="dxa"/>
              <w:bottom w:w="80" w:type="dxa"/>
              <w:end w:w="120" w:type="dxa"/>
            </w:tcMar>
          </w:tcPr>
          <w:p>
            <w:r>
              <w:rPr>
                <w:rFonts w:ascii="Calibri" w:hAnsi="Calibri" w:eastAsia="宋体"/>
                <w:b/>
              </w:rPr>
              <w:t>功能名称</w:t>
            </w:r>
          </w:p>
        </w:tc>
        <w:tc>
          <w:tcPr>
            <w:tcW w:type="dxa" w:w="6360"/>
            <w:shd w:fill="F2F4F7"/>
            <w:vAlign w:val="center"/>
            <w:tcMar>
              <w:top w:w="80" w:type="dxa"/>
              <w:start w:w="120" w:type="dxa"/>
              <w:bottom w:w="80" w:type="dxa"/>
              <w:end w:w="120" w:type="dxa"/>
            </w:tcMar>
          </w:tcPr>
          <w:p>
            <w:r>
              <w:rPr>
                <w:rFonts w:ascii="Calibri" w:hAnsi="Calibri" w:eastAsia="宋体"/>
                <w:b/>
              </w:rPr>
              <w:t>功能说明</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F01</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用户注册与登录</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用户通过手机号或账号密码注册登录；系统记录用户基础信息，并支持修改个人资料和密码。</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F02</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赛事浏览与查询</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用户可按赛季、轮次、主队、客队、比赛时间、场馆、票价区间等条件查询比赛，并查看比赛详情。</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F03</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票区与连坐能力展示</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系统按比赛票区展示票价、剩余票数和当前最大可接纳连坐数；未最终确定的行不显示具体座位，用户只选择票区和购票张数。</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F04</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订单创建与座位规划</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用户确认比赛、票区和张数后创建订单；系统限制单笔最多购买 4 张，并通过座位分配算法尽量规划连续座位，然后锁定对应库存。</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F05</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模拟支付</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用户在规定时间内完成模拟支付；支付成功后订单状态变为已支付，系统生成电子票。</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F06</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电子票管理</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系统为每张票生成唯一电子票码，用户可查看电子票信息、入场时间、座位和检票状态。</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F07</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退票申请</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用户在比赛开始前按规则提交退票申请；管理员审核后释放座位并更新订单状态。</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F08</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检票核验</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检票员通过电子票码核验票据，系统校验场次、票据状态和入场次数，防止重复入场。</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F09</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俱乐部资料与主场管理</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俱乐部维护本俱乐部名称、队标、主场城市、主场地址、球员、教练、赛季胜场、主场座位布局和票区方案。</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F10</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赛事与票务后台管理</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管理员统一维护赛季、轮次、俱乐部、主客场比赛、比赛成绩、主场座位布局、场馆、票区票价、座位库存和上下架状态。</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eastAsia="宋体"/>
                <w:sz w:val="21"/>
              </w:rPr>
              <w:t>F11</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统计分析</w:t>
            </w:r>
          </w:p>
        </w:tc>
        <w:tc>
          <w:tcPr>
            <w:tcW w:type="dxa" w:w="6360"/>
            <w:vAlign w:val="center"/>
            <w:tcMar>
              <w:top w:w="80" w:type="dxa"/>
              <w:start w:w="120" w:type="dxa"/>
              <w:bottom w:w="80" w:type="dxa"/>
              <w:end w:w="120" w:type="dxa"/>
            </w:tcMar>
          </w:tcPr>
          <w:p>
            <w:pPr>
              <w:spacing w:before="0" w:after="0" w:line="252" w:lineRule="auto"/>
            </w:pPr>
            <w:r>
              <w:rPr>
                <w:rFonts w:ascii="Calibri" w:hAnsi="Calibri" w:eastAsia="宋体"/>
                <w:sz w:val="21"/>
              </w:rPr>
              <w:t>系统统计全联赛、各轮次、各俱乐部主场比赛的售票数量、销售额、退票数量、上座率和热门赛事，为运营管理提供依据。</w:t>
            </w:r>
          </w:p>
        </w:tc>
      </w:tr>
    </w:tbl>
    <w:p/>
    <w:p>
      <w:pPr>
        <w:pStyle w:val="Heading3"/>
      </w:pPr>
      <w:r>
        <w:t>1.1.3 业务流程概述</w:t>
      </w:r>
    </w:p>
    <w:p>
      <w:pPr>
        <w:pStyle w:val="ListNumber"/>
        <w:spacing w:before="0" w:after="80" w:line="264" w:lineRule="auto"/>
      </w:pPr>
      <w:r>
        <w:rPr>
          <w:rFonts w:ascii="Calibri" w:hAnsi="Calibri" w:eastAsia="宋体"/>
        </w:rPr>
        <w:t>俱乐部维护本俱乐部名称、队标、主场城市、主场地址、球员名单、教练信息、赛季战绩和主场座位布局，作为后续主场比赛展示和票务配置的基础数据。</w:t>
      </w:r>
    </w:p>
    <w:p>
      <w:pPr>
        <w:pStyle w:val="ListNumber"/>
        <w:spacing w:before="0" w:after="80" w:line="264" w:lineRule="auto"/>
      </w:pPr>
      <w:r>
        <w:rPr>
          <w:rFonts w:ascii="Calibri" w:hAnsi="Calibri" w:eastAsia="宋体"/>
        </w:rPr>
        <w:t>管理员创建赛季和轮次，基于俱乐部和主场数据维护全联赛主客场赛程，并将比赛发布为可售状态；比赛结束后由管理员导入或维护比赛成绩。</w:t>
      </w:r>
    </w:p>
    <w:p>
      <w:pPr>
        <w:pStyle w:val="ListNumber"/>
        <w:spacing w:before="0" w:after="80" w:line="264" w:lineRule="auto"/>
      </w:pPr>
      <w:r>
        <w:rPr>
          <w:rFonts w:ascii="Calibri" w:hAnsi="Calibri" w:eastAsia="宋体"/>
        </w:rPr>
        <w:t>俱乐部可维护本俱乐部主场票区方案和建议票价，管理员统一确认正式售票配置。</w:t>
      </w:r>
    </w:p>
    <w:p>
      <w:pPr>
        <w:pStyle w:val="ListNumber"/>
        <w:spacing w:before="0" w:after="80" w:line="264" w:lineRule="auto"/>
      </w:pPr>
      <w:r>
        <w:rPr>
          <w:rFonts w:ascii="Calibri" w:hAnsi="Calibri" w:eastAsia="宋体"/>
        </w:rPr>
        <w:t>购票用户登录系统后浏览联赛赛程，按轮次或俱乐部进入比赛详情页，查看主客队、场馆、票区票价、余票数量和该票区当前最大可接纳连坐数。</w:t>
      </w:r>
    </w:p>
    <w:p>
      <w:pPr>
        <w:pStyle w:val="ListNumber"/>
        <w:spacing w:before="0" w:after="80" w:line="264" w:lineRule="auto"/>
      </w:pPr>
      <w:r>
        <w:rPr>
          <w:rFonts w:ascii="Calibri" w:hAnsi="Calibri" w:eastAsia="宋体"/>
        </w:rPr>
        <w:t>在座位行尚未最终确定前，用户端不展示具体座位号，只展示票区、余票和最大连坐能力，以便系统继续按订单组合优化同一排内的连坐规划。</w:t>
      </w:r>
    </w:p>
    <w:p>
      <w:pPr>
        <w:pStyle w:val="ListNumber"/>
        <w:spacing w:before="0" w:after="80" w:line="264" w:lineRule="auto"/>
      </w:pPr>
      <w:r>
        <w:rPr>
          <w:rFonts w:ascii="Calibri" w:hAnsi="Calibri" w:eastAsia="宋体"/>
        </w:rPr>
        <w:t>用户选择票区并填写购票张数后提交订单，系统校验张数是否超过单笔上限 4 张，并调用座位分配算法优先规划连续座位。</w:t>
      </w:r>
    </w:p>
    <w:p>
      <w:pPr>
        <w:pStyle w:val="ListNumber"/>
        <w:spacing w:before="0" w:after="80" w:line="264" w:lineRule="auto"/>
      </w:pPr>
      <w:r>
        <w:rPr>
          <w:rFonts w:ascii="Calibri" w:hAnsi="Calibri" w:eastAsia="宋体"/>
        </w:rPr>
        <w:t>若存在满足张数的连续座位，系统直接分配该组座位；若没有完整连坐但仍有余票，系统提示用户当前最大可连坐数，并建议用户分开下单。</w:t>
      </w:r>
    </w:p>
    <w:p>
      <w:pPr>
        <w:pStyle w:val="ListNumber"/>
        <w:spacing w:before="0" w:after="80" w:line="264" w:lineRule="auto"/>
      </w:pPr>
      <w:r>
        <w:rPr>
          <w:rFonts w:ascii="Calibri" w:hAnsi="Calibri" w:eastAsia="宋体"/>
        </w:rPr>
        <w:t>订单生成后，系统在待支付期间临时锁定规划出的座位或行内候选位置，避免其他用户重复购买。</w:t>
      </w:r>
    </w:p>
    <w:p>
      <w:pPr>
        <w:pStyle w:val="ListNumber"/>
        <w:spacing w:before="0" w:after="80" w:line="264" w:lineRule="auto"/>
      </w:pPr>
      <w:r>
        <w:rPr>
          <w:rFonts w:ascii="Calibri" w:hAnsi="Calibri" w:eastAsia="宋体"/>
        </w:rPr>
        <w:t>用户完成模拟支付后，系统确认订单为已支付状态，扣减库存并为每张票生成唯一电子票码。</w:t>
      </w:r>
    </w:p>
    <w:p>
      <w:pPr>
        <w:pStyle w:val="ListNumber"/>
        <w:spacing w:before="0" w:after="80" w:line="264" w:lineRule="auto"/>
      </w:pPr>
      <w:r>
        <w:rPr>
          <w:rFonts w:ascii="Calibri" w:hAnsi="Calibri" w:eastAsia="宋体"/>
        </w:rPr>
        <w:t>比赛入场时，检票员扫描或输入电子票码，系统核验票据是否属于当前场次且未被使用。</w:t>
      </w:r>
    </w:p>
    <w:p>
      <w:pPr>
        <w:pStyle w:val="ListNumber"/>
        <w:spacing w:before="0" w:after="80" w:line="264" w:lineRule="auto"/>
      </w:pPr>
      <w:r>
        <w:rPr>
          <w:rFonts w:ascii="Calibri" w:hAnsi="Calibri" w:eastAsia="宋体"/>
        </w:rPr>
        <w:t>若票据有效，系统记录检票时间并将电子票状态更新为已入场；若票据无效或重复使用，系统提示拒绝入场。</w:t>
      </w:r>
    </w:p>
    <w:p>
      <w:pPr>
        <w:pStyle w:val="Heading3"/>
      </w:pPr>
      <w:r>
        <w:t>1.1.4 业务实体分析</w:t>
      </w:r>
    </w:p>
    <w:p>
      <w:pPr>
        <w:spacing w:before="0" w:after="120" w:line="264" w:lineRule="auto"/>
      </w:pPr>
      <w:r>
        <w:rPr>
          <w:rFonts w:ascii="Calibri" w:hAnsi="Calibri" w:eastAsia="宋体"/>
        </w:rPr>
        <w:t>根据足球联赛购票业务，系统涉及的核心实体包括用户、角色、赛季、轮次、比赛、比赛成绩、俱乐部、球员、球员赛季数据、教练、赛季战绩、场馆、票区、座位、订单、电子票、支付记录、退票申请和检票记录。这些实体共同支撑从赛事发布到购票入场的完整数据链路。</w:t>
      </w:r>
    </w:p>
    <w:tbl>
      <w:tblPr>
        <w:tblStyle w:val="TableGrid"/>
        <w:tblW w:type="dxa" w:w="9360"/>
        <w:jc w:val="center"/>
        <w:tblLayout w:type="fixed"/>
        <w:tblLook w:firstColumn="1" w:firstRow="1" w:lastColumn="0" w:lastRow="0" w:noHBand="0" w:noVBand="1" w:val="04A0"/>
        <w:tblInd w:w="120" w:type="dxa"/>
      </w:tblPr>
      <w:tblGrid>
        <w:gridCol w:w="1500"/>
        <w:gridCol w:w="3600"/>
        <w:gridCol w:w="4260"/>
      </w:tblGrid>
      <w:tr>
        <w:tc>
          <w:tcPr>
            <w:tcW w:type="dxa" w:w="1500"/>
            <w:shd w:fill="F2F4F7"/>
            <w:vAlign w:val="center"/>
            <w:tcMar>
              <w:top w:w="80" w:type="dxa"/>
              <w:start w:w="120" w:type="dxa"/>
              <w:bottom w:w="80" w:type="dxa"/>
              <w:end w:w="120" w:type="dxa"/>
            </w:tcMar>
          </w:tcPr>
          <w:p>
            <w:r>
              <w:rPr>
                <w:rFonts w:ascii="Calibri" w:hAnsi="Calibri" w:eastAsia="宋体"/>
                <w:b/>
              </w:rPr>
              <w:t>实体</w:t>
            </w:r>
          </w:p>
        </w:tc>
        <w:tc>
          <w:tcPr>
            <w:tcW w:type="dxa" w:w="3600"/>
            <w:shd w:fill="F2F4F7"/>
            <w:vAlign w:val="center"/>
            <w:tcMar>
              <w:top w:w="80" w:type="dxa"/>
              <w:start w:w="120" w:type="dxa"/>
              <w:bottom w:w="80" w:type="dxa"/>
              <w:end w:w="120" w:type="dxa"/>
            </w:tcMar>
          </w:tcPr>
          <w:p>
            <w:r>
              <w:rPr>
                <w:rFonts w:ascii="Calibri" w:hAnsi="Calibri" w:eastAsia="宋体"/>
                <w:b/>
              </w:rPr>
              <w:t>关键属性</w:t>
            </w:r>
          </w:p>
        </w:tc>
        <w:tc>
          <w:tcPr>
            <w:tcW w:type="dxa" w:w="4260"/>
            <w:shd w:fill="F2F4F7"/>
            <w:vAlign w:val="center"/>
            <w:tcMar>
              <w:top w:w="80" w:type="dxa"/>
              <w:start w:w="120" w:type="dxa"/>
              <w:bottom w:w="80" w:type="dxa"/>
              <w:end w:w="120" w:type="dxa"/>
            </w:tcMar>
          </w:tcPr>
          <w:p>
            <w:r>
              <w:rPr>
                <w:rFonts w:ascii="Calibri" w:hAnsi="Calibri" w:eastAsia="宋体"/>
                <w:b/>
              </w:rPr>
              <w:t>说明</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用户</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用户编号、姓名、手机号、密码、角色、所属俱乐部、状态、创建时间</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记录用户、俱乐部、检票员和管理员等账号基础信息。</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角色</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角色编号、角色名称、权限集合</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区分用户、俱乐部、检票员和管理员。</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赛季</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赛季编号、赛季名称、开始日期、结束日期、状态</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记录一个完整联赛赛季，是双循环赛程的组织单位。</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轮次</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轮次编号、赛季编号、轮次名称、开始日期、结束日期</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记录联赛第几轮比赛，便于赛程展示和查询。</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俱乐部</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俱乐部编号、俱乐部名称、队标、主场城市、主场地址、简介</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记录参赛俱乐部展示信息；俱乐部注册时需要录入主场相关信息。</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球员</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球员编号、俱乐部编号、姓名、号码、位置、状态</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记录俱乐部球员名单，作为后续射手榜、转会等扩展功能的基础对象。</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球员赛季数据</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赛季编号、球员编号、出场数、进球数、助攻数、所属俱乐部</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记录球员在某个赛季的统计数据，可用于扩展射手榜等功能。</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教练</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教练编号、俱乐部编号、姓名、职务、简介</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记录俱乐部教练信息，用于俱乐部资料和比赛详情页展示。</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赛季战绩</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赛季编号、俱乐部编号、胜场、平场、负场、进球、失球、积分</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记录俱乐部在某个赛季的联赛表现，用于积分榜和比赛详情页展示。</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场馆</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场馆编号、场馆名称、城市、地址、容量、排数、座位布局说明</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记录俱乐部主场或比赛举办地点及其座位布局基础信息。</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比赛</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比赛编号、赛季、轮次、主队、客队、比赛时间、场馆、比分、状态</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描述一场具体足球比赛，是购票业务和比赛结果展示的核心对象。</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票区</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票区编号、赛事编号、区域名称、票价、总票数、剩余票数、最大连坐数</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按区域管理不同价格、库存和当前可连续分配能力。</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座位</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座位编号、场馆编号、票区编号、排号、座号、状态</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记录可售、锁定、已售、停用等座位状态，供系统自动规划连坐座位。</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订单</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订单编号、用户编号、总金额、订单状态、创建时间、支付截止时间</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记录用户一次购票行为及其状态流转。</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电子票</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票码、订单编号、比赛编号、座位编号、票状态、入场时间</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作为用户入场凭证，需保证唯一性和不可重复使用。</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支付记录</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支付编号、订单编号、支付金额、支付方式、支付状态、支付时间</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记录订单支付过程，课程设计中可实现模拟支付。</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退票申请</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申请编号、订单编号、申请原因、审核状态、审核时间</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支持用户退票和后台审核。</w:t>
            </w:r>
          </w:p>
        </w:tc>
      </w:tr>
      <w:tr>
        <w:tc>
          <w:tcPr>
            <w:tcW w:type="dxa" w:w="1500"/>
            <w:vAlign w:val="center"/>
            <w:tcMar>
              <w:top w:w="80" w:type="dxa"/>
              <w:start w:w="120" w:type="dxa"/>
              <w:bottom w:w="80" w:type="dxa"/>
              <w:end w:w="120" w:type="dxa"/>
            </w:tcMar>
          </w:tcPr>
          <w:p>
            <w:pPr>
              <w:spacing w:before="0" w:after="0" w:line="252" w:lineRule="auto"/>
            </w:pPr>
            <w:r>
              <w:rPr>
                <w:rFonts w:ascii="Calibri" w:hAnsi="Calibri" w:eastAsia="宋体"/>
                <w:sz w:val="21"/>
              </w:rPr>
              <w:t>检票记录</w:t>
            </w:r>
          </w:p>
        </w:tc>
        <w:tc>
          <w:tcPr>
            <w:tcW w:type="dxa" w:w="3600"/>
            <w:vAlign w:val="center"/>
            <w:tcMar>
              <w:top w:w="80" w:type="dxa"/>
              <w:start w:w="120" w:type="dxa"/>
              <w:bottom w:w="80" w:type="dxa"/>
              <w:end w:w="120" w:type="dxa"/>
            </w:tcMar>
          </w:tcPr>
          <w:p>
            <w:pPr>
              <w:spacing w:before="0" w:after="0" w:line="252" w:lineRule="auto"/>
            </w:pPr>
            <w:r>
              <w:rPr>
                <w:rFonts w:ascii="Calibri" w:hAnsi="Calibri" w:eastAsia="宋体"/>
                <w:sz w:val="21"/>
              </w:rPr>
              <w:t>记录编号、票码、检票员编号、检票结果、检票时间</w:t>
            </w:r>
          </w:p>
        </w:tc>
        <w:tc>
          <w:tcPr>
            <w:tcW w:type="dxa" w:w="4260"/>
            <w:vAlign w:val="center"/>
            <w:tcMar>
              <w:top w:w="80" w:type="dxa"/>
              <w:start w:w="120" w:type="dxa"/>
              <w:bottom w:w="80" w:type="dxa"/>
              <w:end w:w="120" w:type="dxa"/>
            </w:tcMar>
          </w:tcPr>
          <w:p>
            <w:pPr>
              <w:spacing w:before="0" w:after="0" w:line="252" w:lineRule="auto"/>
            </w:pPr>
            <w:r>
              <w:rPr>
                <w:rFonts w:ascii="Calibri" w:hAnsi="Calibri" w:eastAsia="宋体"/>
                <w:sz w:val="21"/>
              </w:rPr>
              <w:t>记录入场核验过程，便于追溯异常票据。</w:t>
            </w:r>
          </w:p>
        </w:tc>
      </w:tr>
    </w:tbl>
    <w:p/>
    <w:p>
      <w:pPr>
        <w:pStyle w:val="Heading2"/>
      </w:pPr>
      <w:r>
        <w:t>1.2 非功能性需求</w:t>
      </w:r>
    </w:p>
    <w:tbl>
      <w:tblPr>
        <w:tblStyle w:val="TableGrid"/>
        <w:tblW w:type="dxa" w:w="9360"/>
        <w:jc w:val="center"/>
        <w:tblLayout w:type="fixed"/>
        <w:tblLook w:firstColumn="1" w:firstRow="1" w:lastColumn="0" w:lastRow="0" w:noHBand="0" w:noVBand="1" w:val="04A0"/>
        <w:tblInd w:w="120" w:type="dxa"/>
      </w:tblPr>
      <w:tblGrid>
        <w:gridCol w:w="1800"/>
        <w:gridCol w:w="7560"/>
      </w:tblGrid>
      <w:tr>
        <w:tc>
          <w:tcPr>
            <w:tcW w:type="dxa" w:w="1800"/>
            <w:shd w:fill="F2F4F7"/>
            <w:vAlign w:val="center"/>
            <w:tcMar>
              <w:top w:w="80" w:type="dxa"/>
              <w:start w:w="120" w:type="dxa"/>
              <w:bottom w:w="80" w:type="dxa"/>
              <w:end w:w="120" w:type="dxa"/>
            </w:tcMar>
          </w:tcPr>
          <w:p>
            <w:r>
              <w:rPr>
                <w:rFonts w:ascii="Calibri" w:hAnsi="Calibri" w:eastAsia="宋体"/>
                <w:b/>
              </w:rPr>
              <w:t>类别</w:t>
            </w:r>
          </w:p>
        </w:tc>
        <w:tc>
          <w:tcPr>
            <w:tcW w:type="dxa" w:w="7560"/>
            <w:shd w:fill="F2F4F7"/>
            <w:vAlign w:val="center"/>
            <w:tcMar>
              <w:top w:w="80" w:type="dxa"/>
              <w:start w:w="120" w:type="dxa"/>
              <w:bottom w:w="80" w:type="dxa"/>
              <w:end w:w="120" w:type="dxa"/>
            </w:tcMar>
          </w:tcPr>
          <w:p>
            <w:r>
              <w:rPr>
                <w:rFonts w:ascii="Calibri" w:hAnsi="Calibri" w:eastAsia="宋体"/>
                <w:b/>
              </w:rPr>
              <w:t>需求说明</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性能需求</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常规查询页面响应时间应控制在 2 秒以内；购票高峰期订单创建、库存扣减和连坐座位规划应避免超卖和长时间等待。</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安全需求</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用户密码需加密存储；后台接口应按角色鉴权；电子票码应具有唯一性，防止伪造和重复使用。</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可靠性需求</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支付成功、库存扣减和电子票生成应保持事务一致；异常中断时订单状态应可恢复。</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易用性需求</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赛事列表、票区选择、购票张数填写、订单确认和电子票查看流程应清晰，用户不需要手动寻找座位即可完成购票。</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可维护性需求</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采用 MVC 分层结构，将控制层、业务逻辑层、数据访问层和前端展示层分离，便于扩展和测试。</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兼容性需求</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用户端页面适配常见桌面浏览器和移动端浏览器；后台管理页面优先保证桌面端操作效率。</w:t>
            </w:r>
          </w:p>
        </w:tc>
      </w:tr>
    </w:tbl>
    <w:p/>
    <w:p>
      <w:pPr>
        <w:pStyle w:val="Heading1"/>
      </w:pPr>
      <w:r>
        <w:t>2 系统设计</w:t>
      </w:r>
    </w:p>
    <w:p>
      <w:pPr>
        <w:pStyle w:val="Heading2"/>
      </w:pPr>
      <w:r>
        <w:t>2.1 系统总体架构设计</w:t>
      </w:r>
    </w:p>
    <w:p>
      <w:pPr>
        <w:spacing w:before="0" w:after="120" w:line="264" w:lineRule="auto"/>
      </w:pPr>
      <w:r>
        <w:rPr>
          <w:rFonts w:ascii="Calibri" w:hAnsi="Calibri" w:eastAsia="宋体"/>
        </w:rPr>
        <w:t>系统按照使用场景划分为用户端、俱乐部端、检票端、管理员后台和数据与算法层。前四个模块面向不同角色提供业务功能，数据与算法层为各端提供统一的数据存储、票务状态管理和连坐规划能力。</w:t>
      </w:r>
    </w:p>
    <w:tbl>
      <w:tblPr>
        <w:tblStyle w:val="TableGrid"/>
        <w:tblW w:type="dxa" w:w="9360"/>
        <w:jc w:val="center"/>
        <w:tblLayout w:type="fixed"/>
        <w:tblLook w:firstColumn="1" w:firstRow="1" w:lastColumn="0" w:lastRow="0" w:noHBand="0" w:noVBand="1" w:val="04A0"/>
        <w:tblInd w:w="120" w:type="dxa"/>
      </w:tblPr>
      <w:tblGrid>
        <w:gridCol w:w="1600"/>
        <w:gridCol w:w="5260"/>
        <w:gridCol w:w="2500"/>
      </w:tblGrid>
      <w:tr>
        <w:tc>
          <w:tcPr>
            <w:tcW w:type="dxa" w:w="1600"/>
            <w:shd w:fill="F2F4F7"/>
            <w:vAlign w:val="center"/>
            <w:tcMar>
              <w:top w:w="80" w:type="dxa"/>
              <w:start w:w="120" w:type="dxa"/>
              <w:bottom w:w="80" w:type="dxa"/>
              <w:end w:w="120" w:type="dxa"/>
            </w:tcMar>
          </w:tcPr>
          <w:p>
            <w:r>
              <w:rPr>
                <w:rFonts w:ascii="Calibri" w:hAnsi="Calibri" w:eastAsia="宋体"/>
                <w:b/>
              </w:rPr>
              <w:t>模块</w:t>
            </w:r>
          </w:p>
        </w:tc>
        <w:tc>
          <w:tcPr>
            <w:tcW w:type="dxa" w:w="5260"/>
            <w:shd w:fill="F2F4F7"/>
            <w:vAlign w:val="center"/>
            <w:tcMar>
              <w:top w:w="80" w:type="dxa"/>
              <w:start w:w="120" w:type="dxa"/>
              <w:bottom w:w="80" w:type="dxa"/>
              <w:end w:w="120" w:type="dxa"/>
            </w:tcMar>
          </w:tcPr>
          <w:p>
            <w:r>
              <w:rPr>
                <w:rFonts w:ascii="Calibri" w:hAnsi="Calibri" w:eastAsia="宋体"/>
                <w:b/>
              </w:rPr>
              <w:t>主要功能</w:t>
            </w:r>
          </w:p>
        </w:tc>
        <w:tc>
          <w:tcPr>
            <w:tcW w:type="dxa" w:w="2500"/>
            <w:shd w:fill="F2F4F7"/>
            <w:vAlign w:val="center"/>
            <w:tcMar>
              <w:top w:w="80" w:type="dxa"/>
              <w:start w:w="120" w:type="dxa"/>
              <w:bottom w:w="80" w:type="dxa"/>
              <w:end w:w="120" w:type="dxa"/>
            </w:tcMar>
          </w:tcPr>
          <w:p>
            <w:r>
              <w:rPr>
                <w:rFonts w:ascii="Calibri" w:hAnsi="Calibri" w:eastAsia="宋体"/>
                <w:b/>
              </w:rPr>
              <w:t>面向角色</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用户端</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浏览赛程、查看俱乐部资料、查看比赛详情、选择票区购票、查看订单和电子票、提交退票申请。</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用户</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俱乐部端</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维护俱乐部资料、球员、教练、主场信息、主场座位布局、票区方案，查看本俱乐部主场销售情况。</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俱乐部</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检票端</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输入或扫描电子票码，核验票据状态，记录入场结果，识别无效票和重复入场。</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检票员</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管理员后台</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维护赛季、轮次、赛程、比赛成绩、票务配置、退票处理、用户权限和统计分析。</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管理员</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数据与算法层</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保存俱乐部、赛程、票务、订单、电子票和检票数据，提供连坐规划和最大连坐数计算。</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系统内部</w:t>
            </w:r>
          </w:p>
        </w:tc>
      </w:tr>
    </w:tbl>
    <w:p/>
    <w:p>
      <w:pPr>
        <w:spacing w:before="0" w:after="120" w:line="264" w:lineRule="auto"/>
      </w:pPr>
      <w:r>
        <w:rPr>
          <w:rFonts w:ascii="Calibri" w:hAnsi="Calibri" w:eastAsia="宋体"/>
        </w:rPr>
        <w:t>技术实现上，系统采用前后端分离的 MVC 分层思想。前端 Vue 页面负责用户交互和数据展示；后端 Spring Boot 提供 REST API；Controller 层接收请求并进行参数校验；Service 层封装购票、支付、退票、检票、比赛成绩维护和连坐规划等核心业务逻辑；Mapper/DAO 层通过 MyBatis 访问 MySQL 数据库。</w:t>
      </w:r>
    </w:p>
    <w:tbl>
      <w:tblPr>
        <w:tblStyle w:val="TableGrid"/>
        <w:tblW w:type="dxa" w:w="9360"/>
        <w:jc w:val="center"/>
        <w:tblLayout w:type="fixed"/>
        <w:tblLook w:firstColumn="1" w:firstRow="1" w:lastColumn="0" w:lastRow="0" w:noHBand="0" w:noVBand="1" w:val="04A0"/>
        <w:tblInd w:w="120" w:type="dxa"/>
      </w:tblPr>
      <w:tblGrid>
        <w:gridCol w:w="1600"/>
        <w:gridCol w:w="5260"/>
        <w:gridCol w:w="2500"/>
      </w:tblGrid>
      <w:tr>
        <w:tc>
          <w:tcPr>
            <w:tcW w:type="dxa" w:w="1600"/>
            <w:shd w:fill="F2F4F7"/>
            <w:vAlign w:val="center"/>
            <w:tcMar>
              <w:top w:w="80" w:type="dxa"/>
              <w:start w:w="120" w:type="dxa"/>
              <w:bottom w:w="80" w:type="dxa"/>
              <w:end w:w="120" w:type="dxa"/>
            </w:tcMar>
          </w:tcPr>
          <w:p>
            <w:r>
              <w:rPr>
                <w:rFonts w:ascii="Calibri" w:hAnsi="Calibri" w:eastAsia="宋体"/>
                <w:b/>
              </w:rPr>
              <w:t>技术层次</w:t>
            </w:r>
          </w:p>
        </w:tc>
        <w:tc>
          <w:tcPr>
            <w:tcW w:type="dxa" w:w="5260"/>
            <w:shd w:fill="F2F4F7"/>
            <w:vAlign w:val="center"/>
            <w:tcMar>
              <w:top w:w="80" w:type="dxa"/>
              <w:start w:w="120" w:type="dxa"/>
              <w:bottom w:w="80" w:type="dxa"/>
              <w:end w:w="120" w:type="dxa"/>
            </w:tcMar>
          </w:tcPr>
          <w:p>
            <w:r>
              <w:rPr>
                <w:rFonts w:ascii="Calibri" w:hAnsi="Calibri" w:eastAsia="宋体"/>
                <w:b/>
              </w:rPr>
              <w:t>主要职责</w:t>
            </w:r>
          </w:p>
        </w:tc>
        <w:tc>
          <w:tcPr>
            <w:tcW w:type="dxa" w:w="2500"/>
            <w:shd w:fill="F2F4F7"/>
            <w:vAlign w:val="center"/>
            <w:tcMar>
              <w:top w:w="80" w:type="dxa"/>
              <w:start w:w="120" w:type="dxa"/>
              <w:bottom w:w="80" w:type="dxa"/>
              <w:end w:w="120" w:type="dxa"/>
            </w:tcMar>
          </w:tcPr>
          <w:p>
            <w:r>
              <w:rPr>
                <w:rFonts w:ascii="Calibri" w:hAnsi="Calibri" w:eastAsia="宋体"/>
                <w:b/>
              </w:rPr>
              <w:t>建议技术</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表示层</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用户端、俱乐部端、检票端和管理员后台页面。</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Vue、Element Plus、Axios</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控制层</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接收前端请求，完成参数校验、登录鉴权、接口响应封装。</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Spring MVC Controller</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业务逻辑层</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处理连坐座位规划、库存锁定、订单支付、电子票生成、退票处理、检票核验和比赛成绩维护等核心规则。</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Spring Boot Service</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数据访问层</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完成用户、俱乐部、赛事、票务、订单、检票记录等数据的增删改查。</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MyBatis Mapper</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数据层</w:t>
            </w:r>
          </w:p>
        </w:tc>
        <w:tc>
          <w:tcPr>
            <w:tcW w:type="dxa" w:w="5260"/>
            <w:vAlign w:val="center"/>
            <w:tcMar>
              <w:top w:w="80" w:type="dxa"/>
              <w:start w:w="120" w:type="dxa"/>
              <w:bottom w:w="80" w:type="dxa"/>
              <w:end w:w="120" w:type="dxa"/>
            </w:tcMar>
          </w:tcPr>
          <w:p>
            <w:pPr>
              <w:spacing w:before="0" w:after="0" w:line="252" w:lineRule="auto"/>
            </w:pPr>
            <w:r>
              <w:rPr>
                <w:rFonts w:ascii="Calibri" w:hAnsi="Calibri" w:eastAsia="宋体"/>
                <w:sz w:val="21"/>
              </w:rPr>
              <w:t>存储系统核心业务数据，并通过事务保证订单、库存和电子票状态一致。</w:t>
            </w:r>
          </w:p>
        </w:tc>
        <w:tc>
          <w:tcPr>
            <w:tcW w:type="dxa" w:w="2500"/>
            <w:vAlign w:val="center"/>
            <w:tcMar>
              <w:top w:w="80" w:type="dxa"/>
              <w:start w:w="120" w:type="dxa"/>
              <w:bottom w:w="80" w:type="dxa"/>
              <w:end w:w="120" w:type="dxa"/>
            </w:tcMar>
          </w:tcPr>
          <w:p>
            <w:pPr>
              <w:spacing w:before="0" w:after="0" w:line="252" w:lineRule="auto"/>
            </w:pPr>
            <w:r>
              <w:rPr>
                <w:rFonts w:ascii="Calibri" w:hAnsi="Calibri" w:eastAsia="宋体"/>
                <w:sz w:val="21"/>
              </w:rPr>
              <w:t>MySQL</w:t>
            </w:r>
          </w:p>
        </w:tc>
      </w:tr>
    </w:tbl>
    <w:p/>
    <w:p>
      <w:pPr>
        <w:pStyle w:val="Heading2"/>
      </w:pPr>
      <w:r>
        <w:t>2.2 功能模块设计</w:t>
      </w:r>
    </w:p>
    <w:p>
      <w:pPr>
        <w:pStyle w:val="Heading3"/>
      </w:pPr>
      <w:r>
        <w:t>2.2.1 功能模块划分</w:t>
      </w:r>
    </w:p>
    <w:tbl>
      <w:tblPr>
        <w:tblStyle w:val="TableGrid"/>
        <w:tblW w:type="dxa" w:w="9360"/>
        <w:jc w:val="center"/>
        <w:tblLayout w:type="fixed"/>
        <w:tblLook w:firstColumn="1" w:firstRow="1" w:lastColumn="0" w:lastRow="0" w:noHBand="0" w:noVBand="1" w:val="04A0"/>
        <w:tblInd w:w="120" w:type="dxa"/>
      </w:tblPr>
      <w:tblGrid>
        <w:gridCol w:w="1800"/>
        <w:gridCol w:w="3000"/>
        <w:gridCol w:w="4560"/>
      </w:tblGrid>
      <w:tr>
        <w:tc>
          <w:tcPr>
            <w:tcW w:type="dxa" w:w="1800"/>
            <w:shd w:fill="F2F4F7"/>
            <w:vAlign w:val="center"/>
            <w:tcMar>
              <w:top w:w="80" w:type="dxa"/>
              <w:start w:w="120" w:type="dxa"/>
              <w:bottom w:w="80" w:type="dxa"/>
              <w:end w:w="120" w:type="dxa"/>
            </w:tcMar>
          </w:tcPr>
          <w:p>
            <w:r>
              <w:rPr>
                <w:rFonts w:ascii="Calibri" w:hAnsi="Calibri" w:eastAsia="宋体"/>
                <w:b/>
              </w:rPr>
              <w:t>模块</w:t>
            </w:r>
          </w:p>
        </w:tc>
        <w:tc>
          <w:tcPr>
            <w:tcW w:type="dxa" w:w="3000"/>
            <w:shd w:fill="F2F4F7"/>
            <w:vAlign w:val="center"/>
            <w:tcMar>
              <w:top w:w="80" w:type="dxa"/>
              <w:start w:w="120" w:type="dxa"/>
              <w:bottom w:w="80" w:type="dxa"/>
              <w:end w:w="120" w:type="dxa"/>
            </w:tcMar>
          </w:tcPr>
          <w:p>
            <w:r>
              <w:rPr>
                <w:rFonts w:ascii="Calibri" w:hAnsi="Calibri" w:eastAsia="宋体"/>
                <w:b/>
              </w:rPr>
              <w:t>子功能</w:t>
            </w:r>
          </w:p>
        </w:tc>
        <w:tc>
          <w:tcPr>
            <w:tcW w:type="dxa" w:w="4560"/>
            <w:shd w:fill="F2F4F7"/>
            <w:vAlign w:val="center"/>
            <w:tcMar>
              <w:top w:w="80" w:type="dxa"/>
              <w:start w:w="120" w:type="dxa"/>
              <w:bottom w:w="80" w:type="dxa"/>
              <w:end w:w="120" w:type="dxa"/>
            </w:tcMar>
          </w:tcPr>
          <w:p>
            <w:r>
              <w:rPr>
                <w:rFonts w:ascii="Calibri" w:hAnsi="Calibri" w:eastAsia="宋体"/>
                <w:b/>
              </w:rPr>
              <w:t>说明</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账号权限模块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注册、登录、个人信息、角色权限、所属俱乐部绑定</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统一管理用户身份和后台权限。</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赛事浏览模块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赛事列表、条件筛选、赛事详情、俱乐部资料、场馆信息</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为购票用户提供赛事发现入口。</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购票订单模块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票区选择、张数限制、连坐座位规划、创建订单、库存锁定、订单查询、取消订单</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完成购票核心流程。</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支付与电子票模块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模拟支付、电子票生成、票码展示、票据状态管理</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连接订单和入场凭证。</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退票管理模块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退票申请、退票审核、库存释放、订单状态更新</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支持比赛开始前的退票处理。</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检票入场模块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票码核验、入场记录、重复检票识别</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保障现场入场秩序。</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俱乐部管理模块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俱乐部名称、队标、主场城市、主场地址、球员、教练、赛季战绩、主场座位布局、票区方案维护</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支持各俱乐部维护自己的主场基础资料。</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后台运营模块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赛季、轮次、俱乐部、主场座位布局、全联赛主客场比赛、比赛成绩、场馆、票区、票价、库存维护</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支撑统一联赛赛程发布、成绩导入和票务资源管理。</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统计分析模块</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宋体"/>
                <w:sz w:val="21"/>
              </w:rPr>
              <w:t>销售额、售票量、退票量、上座率、赛季战绩统计</w:t>
            </w:r>
          </w:p>
        </w:tc>
        <w:tc>
          <w:tcPr>
            <w:tcW w:type="dxa" w:w="4560"/>
            <w:vAlign w:val="center"/>
            <w:tcMar>
              <w:top w:w="80" w:type="dxa"/>
              <w:start w:w="120" w:type="dxa"/>
              <w:bottom w:w="80" w:type="dxa"/>
              <w:end w:w="120" w:type="dxa"/>
            </w:tcMar>
          </w:tcPr>
          <w:p>
            <w:pPr>
              <w:spacing w:before="0" w:after="0" w:line="252" w:lineRule="auto"/>
            </w:pPr>
            <w:r>
              <w:rPr>
                <w:rFonts w:ascii="Calibri" w:hAnsi="Calibri" w:eastAsia="宋体"/>
                <w:sz w:val="21"/>
              </w:rPr>
              <w:t>为管理员提供运营数据和联赛展示数据。</w:t>
            </w:r>
          </w:p>
        </w:tc>
      </w:tr>
    </w:tbl>
    <w:p/>
    <w:p>
      <w:pPr>
        <w:pStyle w:val="Heading3"/>
      </w:pPr>
      <w:r>
        <w:t>2.2.2 购票功能点设计</w:t>
      </w:r>
    </w:p>
    <w:p>
      <w:pPr>
        <w:spacing w:before="0" w:after="120" w:line="264" w:lineRule="auto"/>
      </w:pPr>
      <w:r>
        <w:rPr>
          <w:rFonts w:ascii="Calibri" w:hAnsi="Calibri" w:eastAsia="宋体"/>
        </w:rPr>
        <w:t>购票功能是系统的核心功能点，涉及前端页面、后端接口、业务服务和数据库表的协同。该功能不要求用户手动选择具体座位，而是由用户选择票区和购票张数，系统根据该票区的座位分布与实时状态自动规划座位。不同俱乐部主场的具体排数和每排宽度可能不同，因此座位规划应基于场馆录入的实际座位布局数据执行，而不能假设每个票区拥有固定排数或固定每排座位数。该功能需要重点处理连坐分配、座位状态、订单状态和支付状态的一致性。</w:t>
      </w:r>
    </w:p>
    <w:tbl>
      <w:tblPr>
        <w:tblStyle w:val="TableGrid"/>
        <w:tblW w:type="dxa" w:w="9360"/>
        <w:jc w:val="center"/>
        <w:tblLayout w:type="fixed"/>
        <w:tblLook w:firstColumn="1" w:firstRow="1" w:lastColumn="0" w:lastRow="0" w:noHBand="0" w:noVBand="1" w:val="04A0"/>
        <w:tblInd w:w="120" w:type="dxa"/>
      </w:tblPr>
      <w:tblGrid>
        <w:gridCol w:w="1600"/>
        <w:gridCol w:w="3300"/>
        <w:gridCol w:w="4460"/>
      </w:tblGrid>
      <w:tr>
        <w:tc>
          <w:tcPr>
            <w:tcW w:type="dxa" w:w="1600"/>
            <w:shd w:fill="F2F4F7"/>
            <w:vAlign w:val="center"/>
            <w:tcMar>
              <w:top w:w="80" w:type="dxa"/>
              <w:start w:w="120" w:type="dxa"/>
              <w:bottom w:w="80" w:type="dxa"/>
              <w:end w:w="120" w:type="dxa"/>
            </w:tcMar>
          </w:tcPr>
          <w:p>
            <w:r>
              <w:rPr>
                <w:rFonts w:ascii="Calibri" w:hAnsi="Calibri" w:eastAsia="宋体"/>
                <w:b/>
              </w:rPr>
              <w:t>资源类型</w:t>
            </w:r>
          </w:p>
        </w:tc>
        <w:tc>
          <w:tcPr>
            <w:tcW w:type="dxa" w:w="3300"/>
            <w:shd w:fill="F2F4F7"/>
            <w:vAlign w:val="center"/>
            <w:tcMar>
              <w:top w:w="80" w:type="dxa"/>
              <w:start w:w="120" w:type="dxa"/>
              <w:bottom w:w="80" w:type="dxa"/>
              <w:end w:w="120" w:type="dxa"/>
            </w:tcMar>
          </w:tcPr>
          <w:p>
            <w:r>
              <w:rPr>
                <w:rFonts w:ascii="Calibri" w:hAnsi="Calibri" w:eastAsia="宋体"/>
                <w:b/>
              </w:rPr>
              <w:t>资源名称</w:t>
            </w:r>
          </w:p>
        </w:tc>
        <w:tc>
          <w:tcPr>
            <w:tcW w:type="dxa" w:w="4460"/>
            <w:shd w:fill="F2F4F7"/>
            <w:vAlign w:val="center"/>
            <w:tcMar>
              <w:top w:w="80" w:type="dxa"/>
              <w:start w:w="120" w:type="dxa"/>
              <w:bottom w:w="80" w:type="dxa"/>
              <w:end w:w="120" w:type="dxa"/>
            </w:tcMar>
          </w:tcPr>
          <w:p>
            <w:r>
              <w:rPr>
                <w:rFonts w:ascii="Calibri" w:hAnsi="Calibri" w:eastAsia="宋体"/>
                <w:b/>
              </w:rPr>
              <w:t>说明</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前端页面</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宋体"/>
                <w:sz w:val="21"/>
              </w:rPr>
              <w:t>MatchList.vue、MatchDetail.vue、ZoneSelect.vue、OrderConfirm.vue</w:t>
            </w:r>
          </w:p>
        </w:tc>
        <w:tc>
          <w:tcPr>
            <w:tcW w:type="dxa" w:w="4460"/>
            <w:vAlign w:val="center"/>
            <w:tcMar>
              <w:top w:w="80" w:type="dxa"/>
              <w:start w:w="120" w:type="dxa"/>
              <w:bottom w:w="80" w:type="dxa"/>
              <w:end w:w="120" w:type="dxa"/>
            </w:tcMar>
          </w:tcPr>
          <w:p>
            <w:pPr>
              <w:spacing w:before="0" w:after="0" w:line="252" w:lineRule="auto"/>
            </w:pPr>
            <w:r>
              <w:rPr>
                <w:rFonts w:ascii="Calibri" w:hAnsi="Calibri" w:eastAsia="宋体"/>
                <w:sz w:val="21"/>
              </w:rPr>
              <w:t>展示赛事、票区、当前最大连坐数、订单确认和支付入口。</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控制层</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宋体"/>
                <w:sz w:val="21"/>
              </w:rPr>
              <w:t>MatchController、TicketController、OrderController</w:t>
            </w:r>
          </w:p>
        </w:tc>
        <w:tc>
          <w:tcPr>
            <w:tcW w:type="dxa" w:w="4460"/>
            <w:vAlign w:val="center"/>
            <w:tcMar>
              <w:top w:w="80" w:type="dxa"/>
              <w:start w:w="120" w:type="dxa"/>
              <w:bottom w:w="80" w:type="dxa"/>
              <w:end w:w="120" w:type="dxa"/>
            </w:tcMar>
          </w:tcPr>
          <w:p>
            <w:pPr>
              <w:spacing w:before="0" w:after="0" w:line="252" w:lineRule="auto"/>
            </w:pPr>
            <w:r>
              <w:rPr>
                <w:rFonts w:ascii="Calibri" w:hAnsi="Calibri" w:eastAsia="宋体"/>
                <w:sz w:val="21"/>
              </w:rPr>
              <w:t>提供赛事查询、票区查询、连坐能力查询、订单创建和支付确认接口。</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业务层</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宋体"/>
                <w:sz w:val="21"/>
              </w:rPr>
              <w:t>MatchService、TicketService、SeatAllocateService、OrderService、PaymentService</w:t>
            </w:r>
          </w:p>
        </w:tc>
        <w:tc>
          <w:tcPr>
            <w:tcW w:type="dxa" w:w="4460"/>
            <w:vAlign w:val="center"/>
            <w:tcMar>
              <w:top w:w="80" w:type="dxa"/>
              <w:start w:w="120" w:type="dxa"/>
              <w:bottom w:w="80" w:type="dxa"/>
              <w:end w:w="120" w:type="dxa"/>
            </w:tcMar>
          </w:tcPr>
          <w:p>
            <w:pPr>
              <w:spacing w:before="0" w:after="0" w:line="252" w:lineRule="auto"/>
            </w:pPr>
            <w:r>
              <w:rPr>
                <w:rFonts w:ascii="Calibri" w:hAnsi="Calibri" w:eastAsia="宋体"/>
                <w:sz w:val="21"/>
              </w:rPr>
              <w:t>处理赛事读取、库存校验、连坐座位规划、订单创建、支付确认和电子票生成。</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数据访问层</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宋体"/>
                <w:sz w:val="21"/>
              </w:rPr>
              <w:t>MatchMapper、SeatMapper、OrderMapper、TicketMapper</w:t>
            </w:r>
          </w:p>
        </w:tc>
        <w:tc>
          <w:tcPr>
            <w:tcW w:type="dxa" w:w="4460"/>
            <w:vAlign w:val="center"/>
            <w:tcMar>
              <w:top w:w="80" w:type="dxa"/>
              <w:start w:w="120" w:type="dxa"/>
              <w:bottom w:w="80" w:type="dxa"/>
              <w:end w:w="120" w:type="dxa"/>
            </w:tcMar>
          </w:tcPr>
          <w:p>
            <w:pPr>
              <w:spacing w:before="0" w:after="0" w:line="252" w:lineRule="auto"/>
            </w:pPr>
            <w:r>
              <w:rPr>
                <w:rFonts w:ascii="Calibri" w:hAnsi="Calibri" w:eastAsia="宋体"/>
                <w:sz w:val="21"/>
              </w:rPr>
              <w:t>访问赛事、座位、订单和电子票相关数据表。</w:t>
            </w:r>
          </w:p>
        </w:tc>
      </w:tr>
      <w:tr>
        <w:tc>
          <w:tcPr>
            <w:tcW w:type="dxa" w:w="1600"/>
            <w:vAlign w:val="center"/>
            <w:tcMar>
              <w:top w:w="80" w:type="dxa"/>
              <w:start w:w="120" w:type="dxa"/>
              <w:bottom w:w="80" w:type="dxa"/>
              <w:end w:w="120" w:type="dxa"/>
            </w:tcMar>
          </w:tcPr>
          <w:p>
            <w:pPr>
              <w:spacing w:before="0" w:after="0" w:line="252" w:lineRule="auto"/>
            </w:pPr>
            <w:r>
              <w:rPr>
                <w:rFonts w:ascii="Calibri" w:hAnsi="Calibri" w:eastAsia="宋体"/>
                <w:sz w:val="21"/>
              </w:rPr>
              <w:t>数据库表</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宋体"/>
                <w:sz w:val="21"/>
              </w:rPr>
              <w:t>match_info、seat_info、ticket_zone、ticket_order、e_ticket、payment_record</w:t>
            </w:r>
          </w:p>
        </w:tc>
        <w:tc>
          <w:tcPr>
            <w:tcW w:type="dxa" w:w="4460"/>
            <w:vAlign w:val="center"/>
            <w:tcMar>
              <w:top w:w="80" w:type="dxa"/>
              <w:start w:w="120" w:type="dxa"/>
              <w:bottom w:w="80" w:type="dxa"/>
              <w:end w:w="120" w:type="dxa"/>
            </w:tcMar>
          </w:tcPr>
          <w:p>
            <w:pPr>
              <w:spacing w:before="0" w:after="0" w:line="252" w:lineRule="auto"/>
            </w:pPr>
            <w:r>
              <w:rPr>
                <w:rFonts w:ascii="Calibri" w:hAnsi="Calibri" w:eastAsia="宋体"/>
                <w:sz w:val="21"/>
              </w:rPr>
              <w:t>保存购票流程相关核心数据。</w:t>
            </w:r>
          </w:p>
        </w:tc>
      </w:tr>
    </w:tbl>
    <w:p/>
    <w:p>
      <w:pPr>
        <w:spacing w:before="0" w:after="120" w:line="264" w:lineRule="auto"/>
      </w:pPr>
      <w:r>
        <w:rPr>
          <w:rFonts w:ascii="Calibri" w:hAnsi="Calibri" w:eastAsia="宋体"/>
        </w:rPr>
        <w:t>购票业务逻辑过程为：用户选择赛事后进入票区选择页面；系统查询该比赛下各票区的票价、余票和当前最大可接纳连坐数；用户选择票区并输入购票张数，张数不得超过系统设置的单笔上限 4 张；后端在事务中校验票区余票和座位状态，并调用连坐座位分配算法。系统以“排”为基本规划单位，连坐必须发生在同一排内。每个俱乐部主场的排数、每排座位数和票区划分均来自场馆座位布局数据。若某一排尚未排满，且后续订单仍可能改变该排内不同订单的位置组合，系统暂不向用户公布具体座位号；当某一排已经排满，或该排剩余空间已经无法形成更优组合时，该排座位规划被标记为最终确定，系统再向相关用户展示具体座位。算法按排号优先级扫描该票区各排的剩余连续空间，优先寻找能够容纳本次购票张数的行内连续区间；若存在多个可选行，则优先选择位置更靠前、剩余空间利用率更高、座位更靠近看台中线的行。越早下单的用户，在满足连坐和行级规划的前提下，系统应尽量分配更靠前、更居中的座位。以一个简化示例说明：若某票区每排 6 个座位、共两排，购票张数顺序为 4、1、2、1、3，系统可将第一排规划为 1、4、1，第二排规划为 2、3，此时剩余最大连续空间为 1，并提示用户最多可购买 1 张；若购票张数顺序为 4、2、1、1、3，则可将第一排规划为 4、2，第二排规划为 1、1、3。若找到合适座位，系统生成待支付订单并将座位状态改为锁定；用户支付成功后，系统将订单状态改为已支付，座位状态改为已售，并为每个座位生成电子票。若用户超时未支付，系统取消订单并释放座位。</w:t>
      </w:r>
    </w:p>
    <w:p>
      <w:pPr>
        <w:pStyle w:val="Heading3"/>
      </w:pPr>
      <w:r>
        <w:t>2.2.3 检票功能点设计</w:t>
      </w:r>
    </w:p>
    <w:p>
      <w:pPr>
        <w:spacing w:before="0" w:after="120" w:line="264" w:lineRule="auto"/>
      </w:pPr>
      <w:r>
        <w:rPr>
          <w:rFonts w:ascii="Calibri" w:hAnsi="Calibri" w:eastAsia="宋体"/>
        </w:rPr>
        <w:t>检票功能用于比赛现场入场核验。检票员输入或扫描电子票码后，系统查询电子票、订单、赛事和座位信息，判断票据是否有效。若票据属于当前场次、订单已支付且票据未使用，则允许入场并记录检票结果；否则提示票据无效、已退票、未支付或已入场。</w:t>
      </w:r>
    </w:p>
    <w:tbl>
      <w:tblPr>
        <w:tblStyle w:val="TableGrid"/>
        <w:tblW w:type="dxa" w:w="9360"/>
        <w:jc w:val="center"/>
        <w:tblLayout w:type="fixed"/>
        <w:tblLook w:firstColumn="1" w:firstRow="1" w:lastColumn="0" w:lastRow="0" w:noHBand="0" w:noVBand="1" w:val="04A0"/>
        <w:tblInd w:w="120" w:type="dxa"/>
      </w:tblPr>
      <w:tblGrid>
        <w:gridCol w:w="1800"/>
        <w:gridCol w:w="3780"/>
        <w:gridCol w:w="3780"/>
      </w:tblGrid>
      <w:tr>
        <w:tc>
          <w:tcPr>
            <w:tcW w:type="dxa" w:w="1800"/>
            <w:shd w:fill="F2F4F7"/>
            <w:vAlign w:val="center"/>
            <w:tcMar>
              <w:top w:w="80" w:type="dxa"/>
              <w:start w:w="120" w:type="dxa"/>
              <w:bottom w:w="80" w:type="dxa"/>
              <w:end w:w="120" w:type="dxa"/>
            </w:tcMar>
          </w:tcPr>
          <w:p>
            <w:r>
              <w:rPr>
                <w:rFonts w:ascii="Calibri" w:hAnsi="Calibri" w:eastAsia="宋体"/>
                <w:b/>
              </w:rPr>
              <w:t>校验项</w:t>
            </w:r>
          </w:p>
        </w:tc>
        <w:tc>
          <w:tcPr>
            <w:tcW w:type="dxa" w:w="3780"/>
            <w:shd w:fill="F2F4F7"/>
            <w:vAlign w:val="center"/>
            <w:tcMar>
              <w:top w:w="80" w:type="dxa"/>
              <w:start w:w="120" w:type="dxa"/>
              <w:bottom w:w="80" w:type="dxa"/>
              <w:end w:w="120" w:type="dxa"/>
            </w:tcMar>
          </w:tcPr>
          <w:p>
            <w:r>
              <w:rPr>
                <w:rFonts w:ascii="Calibri" w:hAnsi="Calibri" w:eastAsia="宋体"/>
                <w:b/>
              </w:rPr>
              <w:t>通过条件</w:t>
            </w:r>
          </w:p>
        </w:tc>
        <w:tc>
          <w:tcPr>
            <w:tcW w:type="dxa" w:w="3780"/>
            <w:shd w:fill="F2F4F7"/>
            <w:vAlign w:val="center"/>
            <w:tcMar>
              <w:top w:w="80" w:type="dxa"/>
              <w:start w:w="120" w:type="dxa"/>
              <w:bottom w:w="80" w:type="dxa"/>
              <w:end w:w="120" w:type="dxa"/>
            </w:tcMar>
          </w:tcPr>
          <w:p>
            <w:r>
              <w:rPr>
                <w:rFonts w:ascii="Calibri" w:hAnsi="Calibri" w:eastAsia="宋体"/>
                <w:b/>
              </w:rPr>
              <w:t>失败处理</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票码真实性</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宋体"/>
                <w:sz w:val="21"/>
              </w:rPr>
              <w:t>电子票码在系统中存在且未被删除。</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宋体"/>
                <w:sz w:val="21"/>
              </w:rPr>
              <w:t>提示票码不存在或无效。</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订单状态</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宋体"/>
                <w:sz w:val="21"/>
              </w:rPr>
              <w:t>关联订单状态为已支付。</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宋体"/>
                <w:sz w:val="21"/>
              </w:rPr>
              <w:t>提示订单未支付、已取消或已退票。</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赛事匹配</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宋体"/>
                <w:sz w:val="21"/>
              </w:rPr>
              <w:t>电子票对应赛事为当前检票场次。</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宋体"/>
                <w:sz w:val="21"/>
              </w:rPr>
              <w:t>提示非当前场次票据。</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入场状态</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宋体"/>
                <w:sz w:val="21"/>
              </w:rPr>
              <w:t>电子票状态为未使用。</w:t>
            </w:r>
          </w:p>
        </w:tc>
        <w:tc>
          <w:tcPr>
            <w:tcW w:type="dxa" w:w="3780"/>
            <w:vAlign w:val="center"/>
            <w:tcMar>
              <w:top w:w="80" w:type="dxa"/>
              <w:start w:w="120" w:type="dxa"/>
              <w:bottom w:w="80" w:type="dxa"/>
              <w:end w:w="120" w:type="dxa"/>
            </w:tcMar>
          </w:tcPr>
          <w:p>
            <w:pPr>
              <w:spacing w:before="0" w:after="0" w:line="252" w:lineRule="auto"/>
            </w:pPr>
            <w:r>
              <w:rPr>
                <w:rFonts w:ascii="Calibri" w:hAnsi="Calibri" w:eastAsia="宋体"/>
                <w:sz w:val="21"/>
              </w:rPr>
              <w:t>提示该票已入场，禁止重复检票。</w:t>
            </w:r>
          </w:p>
        </w:tc>
      </w:tr>
    </w:tbl>
    <w:p/>
    <w:p>
      <w:pPr>
        <w:pStyle w:val="Heading2"/>
      </w:pPr>
      <w:r>
        <w:t>2.3 数据库设计</w:t>
      </w:r>
    </w:p>
    <w:p>
      <w:pPr>
        <w:pStyle w:val="Heading3"/>
      </w:pPr>
      <w:r>
        <w:t>2.3.1 逻辑结构设计</w:t>
      </w:r>
    </w:p>
    <w:p>
      <w:pPr>
        <w:spacing w:before="0" w:after="120" w:line="264" w:lineRule="auto"/>
      </w:pPr>
      <w:r>
        <w:rPr>
          <w:rFonts w:ascii="Calibri" w:hAnsi="Calibri" w:eastAsia="宋体"/>
        </w:rPr>
        <w:t>数据库逻辑结构围绕赛事、票务、订单和检票四条主线建立。用户通过订单购买赛事座位；订单支付成功后生成电子票；电子票在比赛入场时产生检票记录。主要实体关系如下：</w:t>
      </w:r>
    </w:p>
    <w:p>
      <w:pPr>
        <w:pStyle w:val="ListBullet"/>
        <w:spacing w:before="0" w:after="80" w:line="264" w:lineRule="auto"/>
      </w:pPr>
      <w:r>
        <w:rPr>
          <w:rFonts w:ascii="Calibri" w:hAnsi="Calibri" w:eastAsia="宋体"/>
        </w:rPr>
        <w:t>一个用户可以创建多个订单，一个订单只属于一个用户。</w:t>
      </w:r>
    </w:p>
    <w:p>
      <w:pPr>
        <w:pStyle w:val="ListBullet"/>
        <w:spacing w:before="0" w:after="80" w:line="264" w:lineRule="auto"/>
      </w:pPr>
      <w:r>
        <w:rPr>
          <w:rFonts w:ascii="Calibri" w:hAnsi="Calibri" w:eastAsia="宋体"/>
        </w:rPr>
        <w:t>一个赛季包含多个轮次，一个轮次包含多场比赛。</w:t>
      </w:r>
    </w:p>
    <w:p>
      <w:pPr>
        <w:pStyle w:val="ListBullet"/>
        <w:spacing w:before="0" w:after="80" w:line="264" w:lineRule="auto"/>
      </w:pPr>
      <w:r>
        <w:rPr>
          <w:rFonts w:ascii="Calibri" w:hAnsi="Calibri" w:eastAsia="宋体"/>
        </w:rPr>
        <w:t>一个俱乐部在一个赛季对应一条赛季战绩记录，用于展示胜场、平场、负场和积分。</w:t>
      </w:r>
    </w:p>
    <w:p>
      <w:pPr>
        <w:pStyle w:val="ListBullet"/>
        <w:spacing w:before="0" w:after="80" w:line="264" w:lineRule="auto"/>
      </w:pPr>
      <w:r>
        <w:rPr>
          <w:rFonts w:ascii="Calibri" w:hAnsi="Calibri" w:eastAsia="宋体"/>
        </w:rPr>
        <w:t>一个球员属于一个俱乐部，球员在不同赛季可对应不同的赛季数据，为射手榜和转会扩展预留基础。</w:t>
      </w:r>
    </w:p>
    <w:p>
      <w:pPr>
        <w:pStyle w:val="ListBullet"/>
        <w:spacing w:before="0" w:after="80" w:line="264" w:lineRule="auto"/>
      </w:pPr>
      <w:r>
        <w:rPr>
          <w:rFonts w:ascii="Calibri" w:hAnsi="Calibri" w:eastAsia="宋体"/>
        </w:rPr>
        <w:t>一场比赛属于一个主场场馆，关联一个主队俱乐部和一个客队俱乐部，并包含多个票区。</w:t>
      </w:r>
    </w:p>
    <w:p>
      <w:pPr>
        <w:pStyle w:val="ListBullet"/>
        <w:spacing w:before="0" w:after="80" w:line="264" w:lineRule="auto"/>
      </w:pPr>
      <w:r>
        <w:rPr>
          <w:rFonts w:ascii="Calibri" w:hAnsi="Calibri" w:eastAsia="宋体"/>
        </w:rPr>
        <w:t>一个票区包含多个座位，票区决定票价；系统根据票区内可售座位的连续情况计算当前最大可接纳连坐数。</w:t>
      </w:r>
    </w:p>
    <w:p>
      <w:pPr>
        <w:pStyle w:val="ListBullet"/>
        <w:spacing w:before="0" w:after="80" w:line="264" w:lineRule="auto"/>
      </w:pPr>
      <w:r>
        <w:rPr>
          <w:rFonts w:ascii="Calibri" w:hAnsi="Calibri" w:eastAsia="宋体"/>
        </w:rPr>
        <w:t>一个订单可以包含多张电子票，每张电子票对应一个赛事座位。</w:t>
      </w:r>
    </w:p>
    <w:p>
      <w:pPr>
        <w:pStyle w:val="ListBullet"/>
        <w:spacing w:before="0" w:after="80" w:line="264" w:lineRule="auto"/>
      </w:pPr>
      <w:r>
        <w:rPr>
          <w:rFonts w:ascii="Calibri" w:hAnsi="Calibri" w:eastAsia="宋体"/>
        </w:rPr>
        <w:t>一张电子票最多生成一条成功入场记录，但可保留多条失败检票记录用于追溯。</w:t>
      </w:r>
    </w:p>
    <w:p>
      <w:pPr>
        <w:pStyle w:val="ListBullet"/>
        <w:spacing w:before="0" w:after="80" w:line="264" w:lineRule="auto"/>
      </w:pPr>
      <w:r>
        <w:rPr>
          <w:rFonts w:ascii="Calibri" w:hAnsi="Calibri" w:eastAsia="宋体"/>
        </w:rPr>
        <w:t>退票申请与订单关联，审核通过后需要同步更新订单、电子票和座位库存状态。</w:t>
      </w:r>
    </w:p>
    <w:p>
      <w:pPr>
        <w:pStyle w:val="Heading3"/>
      </w:pPr>
      <w:r>
        <w:t>2.3.2 物理结构设计</w:t>
      </w:r>
    </w:p>
    <w:tbl>
      <w:tblPr>
        <w:tblStyle w:val="TableGrid"/>
        <w:tblW w:type="dxa" w:w="9360"/>
        <w:jc w:val="center"/>
        <w:tblLayout w:type="fixed"/>
        <w:tblLook w:firstColumn="1" w:firstRow="1" w:lastColumn="0" w:lastRow="0" w:noHBand="0" w:noVBand="1" w:val="04A0"/>
        <w:tblInd w:w="120" w:type="dxa"/>
      </w:tblPr>
      <w:tblGrid>
        <w:gridCol w:w="1700"/>
        <w:gridCol w:w="4960"/>
        <w:gridCol w:w="2700"/>
      </w:tblGrid>
      <w:tr>
        <w:tc>
          <w:tcPr>
            <w:tcW w:type="dxa" w:w="1700"/>
            <w:shd w:fill="F2F4F7"/>
            <w:vAlign w:val="center"/>
            <w:tcMar>
              <w:top w:w="80" w:type="dxa"/>
              <w:start w:w="120" w:type="dxa"/>
              <w:bottom w:w="80" w:type="dxa"/>
              <w:end w:w="120" w:type="dxa"/>
            </w:tcMar>
          </w:tcPr>
          <w:p>
            <w:r>
              <w:rPr>
                <w:rFonts w:ascii="Calibri" w:hAnsi="Calibri" w:eastAsia="宋体"/>
                <w:b/>
              </w:rPr>
              <w:t>表名</w:t>
            </w:r>
          </w:p>
        </w:tc>
        <w:tc>
          <w:tcPr>
            <w:tcW w:type="dxa" w:w="4960"/>
            <w:shd w:fill="F2F4F7"/>
            <w:vAlign w:val="center"/>
            <w:tcMar>
              <w:top w:w="80" w:type="dxa"/>
              <w:start w:w="120" w:type="dxa"/>
              <w:bottom w:w="80" w:type="dxa"/>
              <w:end w:w="120" w:type="dxa"/>
            </w:tcMar>
          </w:tcPr>
          <w:p>
            <w:r>
              <w:rPr>
                <w:rFonts w:ascii="Calibri" w:hAnsi="Calibri" w:eastAsia="宋体"/>
                <w:b/>
              </w:rPr>
              <w:t>主要字段</w:t>
            </w:r>
          </w:p>
        </w:tc>
        <w:tc>
          <w:tcPr>
            <w:tcW w:type="dxa" w:w="2700"/>
            <w:shd w:fill="F2F4F7"/>
            <w:vAlign w:val="center"/>
            <w:tcMar>
              <w:top w:w="80" w:type="dxa"/>
              <w:start w:w="120" w:type="dxa"/>
              <w:bottom w:w="80" w:type="dxa"/>
              <w:end w:w="120" w:type="dxa"/>
            </w:tcMar>
          </w:tcPr>
          <w:p>
            <w:r>
              <w:rPr>
                <w:rFonts w:ascii="Calibri" w:hAnsi="Calibri" w:eastAsia="宋体"/>
                <w:b/>
              </w:rPr>
              <w:t>说明</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sys_user</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user_id, username, phone, password, role_id, club_id, status, create_time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用户与后台账号表，club_id 用于绑定俱乐部或检票员所属俱乐部。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sys_role</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role_id, role_name, permission_code, remark</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角色权限表。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season_info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season_id, season_name, start_date, end_date, status</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赛季信息表。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round_info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round_id, season_id, round_name, start_date, end_date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联赛轮次表。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club_info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club_id, club_name, logo_url, home_city, home_address, home_stadium_id, description</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足球俱乐部信息表，记录俱乐部名称、队标、主场城市、主场地址、主场和简介。</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player_info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player_id, club_id, player_name, shirt_no, position, status</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球员信息表，记录俱乐部球员名单，作为射手榜和转会扩展的基础表。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player_season_stat</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stat_id, season_id, player_id, club_id, appearances, goals, assists</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球员赛季数据表，记录出场、进球和助攻等扩展统计。</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coach_info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coach_id, club_id, coach_name, title, description</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教练信息表，记录俱乐部教练及其职务。</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club_season_record</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record_id, season_id, club_id, wins, draws, losses, goals_for, goals_against, points</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俱乐部赛季战绩表，记录胜场、平场、负场、进失球和积分。</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stadium_info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stadium_id, stadium_name, city, address, capacity, row_count, layout_desc</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场馆信息表，记录主场城市、地址、容量、排数和座位布局说明。</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stadium_seat_layout</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layout_id, stadium_id, zone_id, row_no, seat_count, start_no, end_no</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主场座位布局表，记录不同票区每一排的座位数量和编号范围。</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match_info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match_id, season_id, round_id, home_club_id, away_club_id, stadium_id, match_time, home_score, away_score, status</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比赛信息表，管理员可在比赛结束后导入或维护比分。</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ticket_zone</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zone_id, match_id, zone_name, price, total_count, remain_count, max_continuous_count</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票区、票价和最大连坐能力表。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seat_info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seat_id, stadium_id, zone_id, row_no, seat_no, center_score, finalized_flag, seat_status</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座位信息表，其中 center_score 用于辅助判断座位是否靠近看台中线，finalized_flag 表示座位所在行是否已最终确定。</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ticket_order</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order_id, user_id, total_amount, order_status, create_time, expire_time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订单主表。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order_item</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item_id, order_id, match_id, zone_id, seat_id, price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订单明细表。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payment_record</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payment_id, order_id, pay_amount, pay_method, pay_status, pay_time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支付记录表。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e_ticket</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ticket_id, ticket_code, order_id, item_id, ticket_status, enter_time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电子票表。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refund_apply</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refund_id, order_id, reason, audit_status, audit_time, auditor_id</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退票申请表。</w:t>
            </w:r>
          </w:p>
        </w:tc>
      </w:tr>
      <w:tr>
        <w:tc>
          <w:tcPr>
            <w:tcW w:type="dxa" w:w="1700"/>
            <w:vAlign w:val="center"/>
            <w:tcMar>
              <w:top w:w="80" w:type="dxa"/>
              <w:start w:w="120" w:type="dxa"/>
              <w:bottom w:w="80" w:type="dxa"/>
              <w:end w:w="120" w:type="dxa"/>
            </w:tcMar>
          </w:tcPr>
          <w:p>
            <w:pPr>
              <w:spacing w:before="0" w:after="0" w:line="252" w:lineRule="auto"/>
            </w:pPr>
            <w:r>
              <w:rPr>
                <w:rFonts w:ascii="Calibri" w:hAnsi="Calibri" w:eastAsia="宋体"/>
                <w:sz w:val="21"/>
              </w:rPr>
              <w:t>checkin_record</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宋体"/>
                <w:sz w:val="21"/>
              </w:rPr>
              <w:t>record_id, ticket_code, checker_id, check_result, check_time, remark</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宋体"/>
                <w:sz w:val="21"/>
              </w:rPr>
              <w:t>检票记录表。</w:t>
            </w:r>
          </w:p>
        </w:tc>
      </w:tr>
    </w:tbl>
    <w:p/>
    <w:p>
      <w:pPr>
        <w:pStyle w:val="Heading2"/>
      </w:pPr>
      <w:r>
        <w:t>2.4 关键业务规则设计</w:t>
      </w:r>
    </w:p>
    <w:tbl>
      <w:tblPr>
        <w:tblStyle w:val="TableGrid"/>
        <w:tblW w:type="dxa" w:w="9360"/>
        <w:jc w:val="center"/>
        <w:tblLayout w:type="fixed"/>
        <w:tblLook w:firstColumn="1" w:firstRow="1" w:lastColumn="0" w:lastRow="0" w:noHBand="0" w:noVBand="1" w:val="04A0"/>
        <w:tblInd w:w="120" w:type="dxa"/>
      </w:tblPr>
      <w:tblGrid>
        <w:gridCol w:w="1800"/>
        <w:gridCol w:w="7560"/>
      </w:tblGrid>
      <w:tr>
        <w:tc>
          <w:tcPr>
            <w:tcW w:type="dxa" w:w="1800"/>
            <w:shd w:fill="F2F4F7"/>
            <w:vAlign w:val="center"/>
            <w:tcMar>
              <w:top w:w="80" w:type="dxa"/>
              <w:start w:w="120" w:type="dxa"/>
              <w:bottom w:w="80" w:type="dxa"/>
              <w:end w:w="120" w:type="dxa"/>
            </w:tcMar>
          </w:tcPr>
          <w:p>
            <w:r>
              <w:rPr>
                <w:rFonts w:ascii="Calibri" w:hAnsi="Calibri" w:eastAsia="宋体"/>
                <w:b/>
              </w:rPr>
              <w:t>规则</w:t>
            </w:r>
          </w:p>
        </w:tc>
        <w:tc>
          <w:tcPr>
            <w:tcW w:type="dxa" w:w="7560"/>
            <w:shd w:fill="F2F4F7"/>
            <w:vAlign w:val="center"/>
            <w:tcMar>
              <w:top w:w="80" w:type="dxa"/>
              <w:start w:w="120" w:type="dxa"/>
              <w:bottom w:w="80" w:type="dxa"/>
              <w:end w:w="120" w:type="dxa"/>
            </w:tcMar>
          </w:tcPr>
          <w:p>
            <w:r>
              <w:rPr>
                <w:rFonts w:ascii="Calibri" w:hAnsi="Calibri" w:eastAsia="宋体"/>
                <w:b/>
              </w:rPr>
              <w:t>设计说明</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库存防超卖</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订单创建时必须校验座位状态和票区余票，待支付订单锁定系统规划出的座位；支付超时后释放库存。</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连坐分配</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用户只选择票区和张数，系统优先分配同一排内连续座位；若当前票区无法满足完整连坐，应返回该票区当前最大可接纳连坐数，并提醒用户分开下单。</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行级座位公布</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连坐必须位于同一排；当某一排尚有优化空间时，用户端不显示具体座位号，只显示票区级信息和最大连坐能力；当该排规划最终确定后，再展示具体座位。</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场馆布局驱动</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不同俱乐部主场的排数和每排座位数可能不同，连坐算法必须读取主场座位布局数据，不能按固定行宽处理。</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座位优先级</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在满足连坐的前提下，系统按照下单时间、排号靠前程度和座位居中程度综合排序，越早购买的用户尽量获得更靠前、更居中的连续座位。</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购票数量限制</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单笔订单最多购买 4 张门票；超过上限时系统拒绝下单并提示用户修改张数。</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订单状态流转</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订单状态包括待支付、已支付、已取消、已退票；不同状态限制不同操作。</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电子票唯一性</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每张电子票生成唯一票码，票码与订单明细绑定，检票成功后状态改为已使用。</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退票限制</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比赛开始后不允许退票；审核通过后释放座位或票区库存，并更新电子票状态。</w:t>
            </w:r>
          </w:p>
        </w:tc>
      </w:tr>
      <w:tr>
        <w:tc>
          <w:tcPr>
            <w:tcW w:type="dxa" w:w="1800"/>
            <w:vAlign w:val="center"/>
            <w:tcMar>
              <w:top w:w="80" w:type="dxa"/>
              <w:start w:w="120" w:type="dxa"/>
              <w:bottom w:w="80" w:type="dxa"/>
              <w:end w:w="120" w:type="dxa"/>
            </w:tcMar>
          </w:tcPr>
          <w:p>
            <w:pPr>
              <w:spacing w:before="0" w:after="0" w:line="252" w:lineRule="auto"/>
            </w:pPr>
            <w:r>
              <w:rPr>
                <w:rFonts w:ascii="Calibri" w:hAnsi="Calibri" w:eastAsia="宋体"/>
                <w:sz w:val="21"/>
              </w:rPr>
              <w:t>权限控制</w:t>
            </w:r>
          </w:p>
        </w:tc>
        <w:tc>
          <w:tcPr>
            <w:tcW w:type="dxa" w:w="7560"/>
            <w:vAlign w:val="center"/>
            <w:tcMar>
              <w:top w:w="80" w:type="dxa"/>
              <w:start w:w="120" w:type="dxa"/>
              <w:bottom w:w="80" w:type="dxa"/>
              <w:end w:w="120" w:type="dxa"/>
            </w:tcMar>
          </w:tcPr>
          <w:p>
            <w:pPr>
              <w:spacing w:before="0" w:after="0" w:line="252" w:lineRule="auto"/>
            </w:pPr>
            <w:r>
              <w:rPr>
                <w:rFonts w:ascii="Calibri" w:hAnsi="Calibri" w:eastAsia="宋体"/>
                <w:sz w:val="21"/>
              </w:rPr>
              <w:t>用户只能操作自己的订单；俱乐部只能维护本俱乐部资料、主场布局和主场比赛相关数据；检票员只能使用检票功能；管理员负责全联赛基础数据、赛程票务、比赛成绩、账号权限和系统参数管理。</w:t>
            </w:r>
          </w:p>
        </w:tc>
      </w:tr>
    </w:tbl>
    <w:p/>
    <w:p>
      <w:pPr>
        <w:pStyle w:val="Heading2"/>
      </w:pPr>
      <w:r>
        <w:t>2.5 界面设计说明</w:t>
      </w:r>
    </w:p>
    <w:p>
      <w:pPr>
        <w:spacing w:before="0" w:after="120" w:line="264" w:lineRule="auto"/>
      </w:pPr>
      <w:r>
        <w:rPr>
          <w:rFonts w:ascii="Calibri" w:hAnsi="Calibri" w:eastAsia="宋体"/>
        </w:rPr>
        <w:t>用户端界面主要包括首页赛事推荐、赛事列表、赛事详情、票区购票、订单确认、支付结果、我的订单和电子票页面。后台管理界面主要包括俱乐部资料维护、球员教练维护、赛事管理、比赛成绩导入、主场座位布局管理、场馆管理、票区票价管理、订单管理、退票处理、检票记录和销售统计页面。界面设计应突出购票流程的连续性，使用户能够从赛事浏览自然进入票区选择、张数填写、系统分配座位、下单和查看电子票。在座位行尚未最终确定时，票区购票页不展示具体座位图，只展示价格、余票、最大可接纳连坐数和购票张数输入框；当用户所需张数超过当前最大连坐数时，页面提示用户分开下单。</w:t>
      </w:r>
    </w:p>
    <w:p>
      <w:pPr>
        <w:pStyle w:val="Heading2"/>
      </w:pPr>
      <w:r>
        <w:t>2.6 小结</w:t>
      </w:r>
    </w:p>
    <w:p>
      <w:pPr>
        <w:spacing w:before="0" w:after="120" w:line="264" w:lineRule="auto"/>
      </w:pPr>
      <w:r>
        <w:rPr>
          <w:rFonts w:ascii="Calibri" w:hAnsi="Calibri" w:eastAsia="宋体"/>
        </w:rPr>
        <w:t>足球联赛购票系统围绕职业联赛主客场比赛票务业务建立了较完整的用户端和后台管理功能。系统既包含课程设计要求中的 MVC 分层架构、数据库设计、功能模块划分和业务流程描述，也具有订单、库存、连坐分配、支付、电子票和检票等较明确的核心业务规则，适合作为软件课程设计项目继续实现。</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666666"/>
        <w:sz w:val="18"/>
      </w:rPr>
      <w:t>足球联赛购票系统需求分析与详细设计书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宋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宋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宋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