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188F21">
      <w:pPr>
        <w:pStyle w:val="31"/>
        <w:pBdr>
          <w:top w:val="none" w:color="auto" w:sz="0" w:space="0"/>
          <w:left w:val="none" w:color="auto" w:sz="0" w:space="0"/>
          <w:bottom w:val="none" w:color="4F81BD" w:themeColor="accent1" w:sz="0" w:space="4"/>
          <w:right w:val="none" w:color="auto" w:sz="0" w:space="0"/>
          <w:between w:val="none" w:color="auto" w:sz="0" w:space="0"/>
        </w:pBdr>
        <w:jc w:val="center"/>
        <w:rPr>
          <w:rFonts w:hint="eastAsia" w:ascii="微软雅黑" w:hAnsi="微软雅黑" w:eastAsia="微软雅黑" w:cs="微软雅黑"/>
          <w:color w:val="000000" w:themeColor="text1"/>
          <w14:textFill>
            <w14:solidFill>
              <w14:schemeClr w14:val="tx1"/>
            </w14:solidFill>
          </w14:textFill>
        </w:rPr>
      </w:pPr>
      <w:r>
        <w:rPr>
          <w:rFonts w:ascii="微软雅黑" w:hAnsi="微软雅黑" w:eastAsia="微软雅黑"/>
          <w:b/>
          <w:color w:val="000000" w:themeColor="text1"/>
          <w:sz w:val="48"/>
          <w14:textFill>
            <w14:solidFill>
              <w14:schemeClr w14:val="tx1"/>
            </w14:solidFill>
          </w14:textFill>
        </w:rPr>
        <w:t>355 nm HOLO/OR 准直线光技术说明</w:t>
      </w:r>
    </w:p>
    <w:p w14:paraId="24470A0C">
      <w:pPr>
        <w:pStyle w:val="26"/>
        <w:rPr>
          <w:rFonts w:hint="eastAsia" w:ascii="微软雅黑" w:hAnsi="微软雅黑" w:eastAsia="微软雅黑" w:cs="微软雅黑"/>
          <w:i w:val="0"/>
          <w:iCs w:val="0"/>
          <w:color w:val="000000" w:themeColor="text1"/>
          <w:lang w:val="en-US" w:eastAsia="zh-CN"/>
          <w14:textFill>
            <w14:solidFill>
              <w14:schemeClr w14:val="tx1"/>
            </w14:solidFill>
          </w14:textFill>
        </w:rPr>
      </w:pPr>
      <w:r>
        <w:rPr>
          <w:rFonts w:hint="eastAsia" w:ascii="微软雅黑" w:hAnsi="微软雅黑" w:eastAsia="微软雅黑" w:cs="微软雅黑"/>
          <w:i w:val="0"/>
          <w:iCs w:val="0"/>
          <w:color w:val="000000" w:themeColor="text1"/>
          <w:lang w:val="en-US" w:eastAsia="zh-CN"/>
          <w14:textFill>
            <w14:solidFill>
              <w14:schemeClr w14:val="tx1"/>
            </w14:solidFill>
          </w14:textFill>
        </w:rPr>
        <w:t>设计要求</w:t>
      </w:r>
      <w:r>
        <w:rPr>
          <w:rFonts w:hint="eastAsia" w:ascii="微软雅黑" w:hAnsi="微软雅黑" w:eastAsia="微软雅黑" w:cs="微软雅黑"/>
          <w:i w:val="0"/>
          <w:iCs w:val="0"/>
          <w:color w:val="000000" w:themeColor="text1"/>
          <w14:textFill>
            <w14:solidFill>
              <w14:schemeClr w14:val="tx1"/>
            </w14:solidFill>
          </w14:textFill>
        </w:rPr>
        <w:t xml:space="preserve">X：1.5 mm 近似平行 Top-Hat · Y：1.0 µm 聚焦 </w:t>
      </w:r>
      <w:r>
        <w:rPr>
          <w:rFonts w:hint="eastAsia" w:ascii="微软雅黑" w:hAnsi="微软雅黑" w:eastAsia="微软雅黑" w:cs="微软雅黑"/>
          <w:i w:val="0"/>
          <w:iCs w:val="0"/>
          <w:color w:val="000000" w:themeColor="text1"/>
          <w:lang w:val="en-US" w:eastAsia="zh-CN"/>
          <w14:textFill>
            <w14:solidFill>
              <w14:schemeClr w14:val="tx1"/>
            </w14:solidFill>
          </w14:textFill>
        </w:rPr>
        <w:t xml:space="preserve"> 总长1米，最后一片镜子聚焦距离100mm</w:t>
      </w:r>
    </w:p>
    <w:p w14:paraId="717D54A9">
      <w:pPr>
        <w:rPr>
          <w:rFonts w:hint="eastAsia" w:ascii="微软雅黑" w:hAnsi="微软雅黑" w:eastAsia="微软雅黑" w:cs="微软雅黑"/>
          <w:color w:val="000000" w:themeColor="text1"/>
          <w:lang w:val="en-US" w:eastAsia="zh-CN"/>
          <w14:textFill>
            <w14:solidFill>
              <w14:schemeClr w14:val="tx1"/>
            </w14:solidFill>
          </w14:textFill>
        </w:rPr>
      </w:pPr>
      <w:r>
        <w:rPr>
          <w:rFonts w:hint="eastAsia" w:ascii="微软雅黑" w:hAnsi="微软雅黑" w:eastAsia="微软雅黑" w:cs="微软雅黑"/>
          <w:b/>
          <w:color w:val="000000" w:themeColor="text1"/>
          <w14:textFill>
            <w14:solidFill>
              <w14:schemeClr w14:val="tx1"/>
            </w14:solidFill>
          </w14:textFill>
        </w:rPr>
        <w:t xml:space="preserve">设计  </w:t>
      </w:r>
      <w:r>
        <w:rPr>
          <w:rFonts w:hint="eastAsia" w:ascii="微软雅黑" w:hAnsi="微软雅黑" w:eastAsia="微软雅黑" w:cs="微软雅黑"/>
          <w:color w:val="000000" w:themeColor="text1"/>
          <w14:textFill>
            <w14:solidFill>
              <w14:schemeClr w14:val="tx1"/>
            </w14:solidFill>
          </w14:textFill>
        </w:rPr>
        <w:t>X 向采用 +160/-40 mm、间距 120 mm 的 4× 无焦缩束组，把 6 mm 准直线光缩为 1.5 mm； YFL 在 X 平面为</w:t>
      </w:r>
      <w:r>
        <w:rPr>
          <w:rFonts w:hint="eastAsia" w:ascii="微软雅黑" w:hAnsi="微软雅黑" w:eastAsia="微软雅黑" w:cs="微软雅黑"/>
          <w:color w:val="000000" w:themeColor="text1"/>
          <w:lang w:val="en-US" w:eastAsia="zh-CN"/>
          <w14:textFill>
            <w14:solidFill>
              <w14:schemeClr w14:val="tx1"/>
            </w14:solidFill>
          </w14:textFill>
        </w:rPr>
        <w:t>无光焦度</w:t>
      </w:r>
      <w:r>
        <w:rPr>
          <w:rFonts w:hint="eastAsia" w:ascii="微软雅黑" w:hAnsi="微软雅黑" w:eastAsia="微软雅黑" w:cs="微软雅黑"/>
          <w:color w:val="000000" w:themeColor="text1"/>
          <w14:textFill>
            <w14:solidFill>
              <w14:schemeClr w14:val="tx1"/>
            </w14:solidFill>
          </w14:textFill>
        </w:rPr>
        <w:t>，所以不会把 X 聚焦。Y 向独立扩束至 54.24 mm 后由 fY=100 mm 柱面镜聚焦至 1.0 µm</w:t>
      </w:r>
      <w:r>
        <w:rPr>
          <w:rFonts w:hint="eastAsia" w:cs="微软雅黑"/>
          <w:color w:val="000000" w:themeColor="text1"/>
          <w:lang w:eastAsia="zh-CN"/>
          <w14:textFill>
            <w14:solidFill>
              <w14:schemeClr w14:val="tx1"/>
            </w14:solidFill>
          </w14:textFill>
        </w:rPr>
        <w:t>。</w:t>
      </w:r>
    </w:p>
    <w:p w14:paraId="632ECBFB">
      <w:pPr>
        <w:pStyle w:val="3"/>
        <w:keepNext/>
        <w:rPr>
          <w:rFonts w:hint="eastAsia" w:ascii="微软雅黑" w:hAnsi="微软雅黑" w:eastAsia="微软雅黑" w:cs="微软雅黑"/>
          <w:color w:val="000000" w:themeColor="text1"/>
          <w:lang w:val="en-US" w:eastAsia="zh-CN"/>
          <w14:textFill>
            <w14:solidFill>
              <w14:schemeClr w14:val="tx1"/>
            </w14:solidFill>
          </w14:textFill>
        </w:rPr>
      </w:pPr>
      <w:r>
        <w:rPr>
          <w:rFonts w:hint="eastAsia" w:ascii="微软雅黑" w:hAnsi="微软雅黑" w:eastAsia="微软雅黑" w:cs="微软雅黑"/>
          <w:color w:val="000000" w:themeColor="text1"/>
          <w:lang w:val="en-US" w:eastAsia="zh-CN"/>
          <w14:textFill>
            <w14:solidFill>
              <w14:schemeClr w14:val="tx1"/>
            </w14:solidFill>
          </w14:textFill>
        </w:rPr>
        <w:t>方案介绍</w:t>
      </w:r>
    </w:p>
    <w:p w14:paraId="35CC021E">
      <w:pP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本版修正了此前将 z=600 mm 元件写成 XFL/YFL 的错误。正确结构是 YFL：只对 Y 聚焦，X 方向没有光焦度；XZ 图中该元件以虚线表示，X 光束在其前后保持约 1.5 mm 宽。</w:t>
      </w:r>
    </w:p>
    <w:p w14:paraId="13CF174E">
      <w:pP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由于最终 X 指标是“1.5 mm 近似平行光”，所选 HOLO/OR 产品为定制 Collimated Beam Shaper Module。HOLO/OR 官方资料把准直输出定义为双元件模块：第一元件完成强度重分配，第二元件展平相位。</w:t>
      </w:r>
    </w:p>
    <w:p w14:paraId="07FE2BA9">
      <w:pPr>
        <w:pStyle w:val="3"/>
        <w:keepNext/>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1. 需求与设计输入</w:t>
      </w:r>
    </w:p>
    <w:tbl>
      <w:tblPr>
        <w:tblStyle w:val="33"/>
        <w:tblW w:w="9360" w:type="dxa"/>
        <w:tblInd w:w="120"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60"/>
        <w:gridCol w:w="1660"/>
        <w:gridCol w:w="2236"/>
        <w:gridCol w:w="3804"/>
      </w:tblGrid>
      <w:tr w14:paraId="4A0FD2A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trPr>
        <w:tc>
          <w:tcPr>
            <w:tcW w:w="1660" w:type="dxa"/>
            <w:tcBorders>
              <w:top w:val="single" w:color="auto" w:sz="12" w:space="0"/>
              <w:left w:val="single" w:color="auto" w:sz="12" w:space="0"/>
              <w:bottom w:val="nil"/>
              <w:right w:val="nil"/>
            </w:tcBorders>
            <w:shd w:val="clear" w:color="auto" w:fill="F2F4F7"/>
            <w:noWrap w:val="0"/>
            <w:tcMar>
              <w:top w:w="80" w:type="dxa"/>
              <w:left w:w="120" w:type="dxa"/>
              <w:bottom w:w="80" w:type="dxa"/>
              <w:right w:w="120" w:type="dxa"/>
            </w:tcMar>
            <w:vAlign w:val="center"/>
          </w:tcPr>
          <w:p w14:paraId="0D967362">
            <w:pPr>
              <w:snapToGrid w:val="0"/>
              <w:spacing w:line="240" w:lineRule="auto"/>
              <w:ind w:left="0" w:leftChars="0" w:right="0" w:rightChars="0" w:firstLine="0" w:firstLineChars="0"/>
              <w:jc w:val="center"/>
              <w:rPr>
                <w:rFonts w:hint="eastAsia" w:ascii="微软雅黑" w:hAnsi="微软雅黑" w:eastAsia="微软雅黑" w:cs="微软雅黑"/>
                <w:b/>
                <w:color w:val="000000" w:themeColor="text1"/>
                <w:sz w:val="16"/>
                <w14:textFill>
                  <w14:solidFill>
                    <w14:schemeClr w14:val="tx1"/>
                  </w14:solidFill>
                </w14:textFill>
              </w:rPr>
            </w:pPr>
            <w:r>
              <w:rPr>
                <w:rFonts w:hint="eastAsia" w:ascii="微软雅黑" w:hAnsi="微软雅黑" w:eastAsia="微软雅黑" w:cs="微软雅黑"/>
                <w:b/>
                <w:color w:val="000000" w:themeColor="text1"/>
                <w:sz w:val="16"/>
                <w14:textFill>
                  <w14:solidFill>
                    <w14:schemeClr w14:val="tx1"/>
                  </w14:solidFill>
                </w14:textFill>
              </w:rPr>
              <w:t>类别</w:t>
            </w:r>
          </w:p>
        </w:tc>
        <w:tc>
          <w:tcPr>
            <w:tcW w:w="1660" w:type="dxa"/>
            <w:tcBorders>
              <w:top w:val="single" w:color="auto" w:sz="12" w:space="0"/>
              <w:left w:val="single" w:color="auto" w:sz="4" w:space="0"/>
              <w:bottom w:val="nil"/>
              <w:right w:val="nil"/>
            </w:tcBorders>
            <w:shd w:val="clear" w:color="auto" w:fill="F2F4F7"/>
            <w:noWrap w:val="0"/>
            <w:tcMar>
              <w:top w:w="80" w:type="dxa"/>
              <w:left w:w="120" w:type="dxa"/>
              <w:bottom w:w="80" w:type="dxa"/>
              <w:right w:w="120" w:type="dxa"/>
            </w:tcMar>
            <w:vAlign w:val="center"/>
          </w:tcPr>
          <w:p w14:paraId="0CE7FED3">
            <w:pPr>
              <w:snapToGrid w:val="0"/>
              <w:spacing w:line="240" w:lineRule="auto"/>
              <w:ind w:left="0" w:leftChars="0" w:right="0" w:rightChars="0" w:firstLine="0" w:firstLineChars="0"/>
              <w:jc w:val="center"/>
              <w:rPr>
                <w:rFonts w:hint="eastAsia" w:ascii="微软雅黑" w:hAnsi="微软雅黑" w:eastAsia="微软雅黑" w:cs="微软雅黑"/>
                <w:b/>
                <w:color w:val="000000" w:themeColor="text1"/>
                <w:sz w:val="16"/>
                <w14:textFill>
                  <w14:solidFill>
                    <w14:schemeClr w14:val="tx1"/>
                  </w14:solidFill>
                </w14:textFill>
              </w:rPr>
            </w:pPr>
            <w:r>
              <w:rPr>
                <w:rFonts w:hint="eastAsia" w:ascii="微软雅黑" w:hAnsi="微软雅黑" w:eastAsia="微软雅黑" w:cs="微软雅黑"/>
                <w:b/>
                <w:color w:val="000000" w:themeColor="text1"/>
                <w:sz w:val="16"/>
                <w14:textFill>
                  <w14:solidFill>
                    <w14:schemeClr w14:val="tx1"/>
                  </w14:solidFill>
                </w14:textFill>
              </w:rPr>
              <w:t>参数</w:t>
            </w:r>
          </w:p>
        </w:tc>
        <w:tc>
          <w:tcPr>
            <w:tcW w:w="2236" w:type="dxa"/>
            <w:tcBorders>
              <w:top w:val="single" w:color="auto" w:sz="12" w:space="0"/>
              <w:left w:val="single" w:color="auto" w:sz="4" w:space="0"/>
              <w:bottom w:val="nil"/>
              <w:right w:val="nil"/>
            </w:tcBorders>
            <w:shd w:val="clear" w:color="auto" w:fill="F2F4F7"/>
            <w:noWrap w:val="0"/>
            <w:tcMar>
              <w:top w:w="80" w:type="dxa"/>
              <w:left w:w="120" w:type="dxa"/>
              <w:bottom w:w="80" w:type="dxa"/>
              <w:right w:w="120" w:type="dxa"/>
            </w:tcMar>
            <w:vAlign w:val="center"/>
          </w:tcPr>
          <w:p w14:paraId="61CCA5C9">
            <w:pPr>
              <w:snapToGrid w:val="0"/>
              <w:spacing w:line="240" w:lineRule="auto"/>
              <w:ind w:left="0" w:leftChars="0" w:right="0" w:rightChars="0" w:firstLine="0" w:firstLineChars="0"/>
              <w:jc w:val="center"/>
              <w:rPr>
                <w:rFonts w:hint="eastAsia" w:ascii="微软雅黑" w:hAnsi="微软雅黑" w:eastAsia="微软雅黑" w:cs="微软雅黑"/>
                <w:b/>
                <w:color w:val="000000" w:themeColor="text1"/>
                <w:sz w:val="16"/>
                <w14:textFill>
                  <w14:solidFill>
                    <w14:schemeClr w14:val="tx1"/>
                  </w14:solidFill>
                </w14:textFill>
              </w:rPr>
            </w:pPr>
            <w:r>
              <w:rPr>
                <w:rFonts w:hint="eastAsia" w:ascii="微软雅黑" w:hAnsi="微软雅黑" w:eastAsia="微软雅黑" w:cs="微软雅黑"/>
                <w:b/>
                <w:color w:val="000000" w:themeColor="text1"/>
                <w:sz w:val="16"/>
                <w14:textFill>
                  <w14:solidFill>
                    <w14:schemeClr w14:val="tx1"/>
                  </w14:solidFill>
                </w14:textFill>
              </w:rPr>
              <w:t>设计值/约束</w:t>
            </w:r>
          </w:p>
        </w:tc>
        <w:tc>
          <w:tcPr>
            <w:tcW w:w="3804" w:type="dxa"/>
            <w:tcBorders>
              <w:top w:val="single" w:color="auto" w:sz="12" w:space="0"/>
              <w:left w:val="single" w:color="auto" w:sz="4" w:space="0"/>
              <w:bottom w:val="nil"/>
              <w:right w:val="single" w:color="auto" w:sz="12" w:space="0"/>
            </w:tcBorders>
            <w:shd w:val="clear" w:color="auto" w:fill="F2F4F7"/>
            <w:noWrap w:val="0"/>
            <w:tcMar>
              <w:top w:w="80" w:type="dxa"/>
              <w:left w:w="120" w:type="dxa"/>
              <w:bottom w:w="80" w:type="dxa"/>
              <w:right w:w="120" w:type="dxa"/>
            </w:tcMar>
            <w:vAlign w:val="center"/>
          </w:tcPr>
          <w:p w14:paraId="5AA4587A">
            <w:pPr>
              <w:snapToGrid w:val="0"/>
              <w:spacing w:line="240" w:lineRule="auto"/>
              <w:ind w:left="0" w:leftChars="0" w:right="0" w:rightChars="0" w:firstLine="0" w:firstLineChars="0"/>
              <w:jc w:val="center"/>
              <w:rPr>
                <w:rFonts w:hint="eastAsia" w:ascii="微软雅黑" w:hAnsi="微软雅黑" w:eastAsia="微软雅黑" w:cs="微软雅黑"/>
                <w:b/>
                <w:color w:val="000000" w:themeColor="text1"/>
                <w:sz w:val="16"/>
                <w14:textFill>
                  <w14:solidFill>
                    <w14:schemeClr w14:val="tx1"/>
                  </w14:solidFill>
                </w14:textFill>
              </w:rPr>
            </w:pPr>
            <w:r>
              <w:rPr>
                <w:rFonts w:hint="eastAsia" w:ascii="微软雅黑" w:hAnsi="微软雅黑" w:eastAsia="微软雅黑" w:cs="微软雅黑"/>
                <w:b/>
                <w:color w:val="000000" w:themeColor="text1"/>
                <w:sz w:val="16"/>
                <w14:textFill>
                  <w14:solidFill>
                    <w14:schemeClr w14:val="tx1"/>
                  </w14:solidFill>
                </w14:textFill>
              </w:rPr>
              <w:t>定义</w:t>
            </w:r>
          </w:p>
        </w:tc>
      </w:tr>
      <w:tr w14:paraId="538AB3D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rPr>
        <w:tc>
          <w:tcPr>
            <w:tcW w:w="1660" w:type="dxa"/>
            <w:tcBorders>
              <w:top w:val="single" w:color="auto" w:sz="4" w:space="0"/>
              <w:left w:val="single" w:color="auto" w:sz="12" w:space="0"/>
              <w:bottom w:val="nil"/>
              <w:right w:val="nil"/>
            </w:tcBorders>
            <w:noWrap w:val="0"/>
            <w:tcMar>
              <w:top w:w="80" w:type="dxa"/>
              <w:left w:w="120" w:type="dxa"/>
              <w:bottom w:w="80" w:type="dxa"/>
              <w:right w:w="120" w:type="dxa"/>
            </w:tcMar>
            <w:vAlign w:val="center"/>
          </w:tcPr>
          <w:p w14:paraId="14895CEF">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光源</w:t>
            </w:r>
          </w:p>
        </w:tc>
        <w:tc>
          <w:tcPr>
            <w:tcW w:w="1660"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50062848">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波长</w:t>
            </w:r>
          </w:p>
        </w:tc>
        <w:tc>
          <w:tcPr>
            <w:tcW w:w="2236"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2D4791D2">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355 nm</w:t>
            </w:r>
          </w:p>
        </w:tc>
        <w:tc>
          <w:tcPr>
            <w:tcW w:w="3804" w:type="dxa"/>
            <w:tcBorders>
              <w:top w:val="single" w:color="auto" w:sz="4" w:space="0"/>
              <w:left w:val="single" w:color="auto" w:sz="4" w:space="0"/>
              <w:bottom w:val="nil"/>
              <w:right w:val="single" w:color="auto" w:sz="12" w:space="0"/>
            </w:tcBorders>
            <w:noWrap w:val="0"/>
            <w:tcMar>
              <w:top w:w="80" w:type="dxa"/>
              <w:left w:w="120" w:type="dxa"/>
              <w:bottom w:w="80" w:type="dxa"/>
              <w:right w:w="120" w:type="dxa"/>
            </w:tcMar>
            <w:vAlign w:val="center"/>
          </w:tcPr>
          <w:p w14:paraId="37454DF0">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全部 DOE、透镜与镀膜按 355 nm</w:t>
            </w:r>
          </w:p>
        </w:tc>
      </w:tr>
      <w:tr w14:paraId="16236A9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rPr>
        <w:tc>
          <w:tcPr>
            <w:tcW w:w="1660" w:type="dxa"/>
            <w:tcBorders>
              <w:top w:val="single" w:color="auto" w:sz="4" w:space="0"/>
              <w:left w:val="single" w:color="auto" w:sz="12" w:space="0"/>
              <w:bottom w:val="nil"/>
              <w:right w:val="nil"/>
            </w:tcBorders>
            <w:noWrap w:val="0"/>
            <w:tcMar>
              <w:top w:w="80" w:type="dxa"/>
              <w:left w:w="120" w:type="dxa"/>
              <w:bottom w:w="80" w:type="dxa"/>
              <w:right w:w="120" w:type="dxa"/>
            </w:tcMar>
            <w:vAlign w:val="center"/>
          </w:tcPr>
          <w:p w14:paraId="2BB84A23">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光源</w:t>
            </w:r>
          </w:p>
        </w:tc>
        <w:tc>
          <w:tcPr>
            <w:tcW w:w="1660"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410A5DFC">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M²</w:t>
            </w:r>
          </w:p>
        </w:tc>
        <w:tc>
          <w:tcPr>
            <w:tcW w:w="2236"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4E149B43">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1.2</w:t>
            </w:r>
          </w:p>
        </w:tc>
        <w:tc>
          <w:tcPr>
            <w:tcW w:w="3804" w:type="dxa"/>
            <w:tcBorders>
              <w:top w:val="single" w:color="auto" w:sz="4" w:space="0"/>
              <w:left w:val="single" w:color="auto" w:sz="4" w:space="0"/>
              <w:bottom w:val="nil"/>
              <w:right w:val="single" w:color="auto" w:sz="12" w:space="0"/>
            </w:tcBorders>
            <w:noWrap w:val="0"/>
            <w:tcMar>
              <w:top w:w="80" w:type="dxa"/>
              <w:left w:w="120" w:type="dxa"/>
              <w:bottom w:w="80" w:type="dxa"/>
              <w:right w:w="120" w:type="dxa"/>
            </w:tcMar>
            <w:vAlign w:val="center"/>
          </w:tcPr>
          <w:p w14:paraId="20E75CE5">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用于 Y 向衍射极限计算</w:t>
            </w:r>
          </w:p>
        </w:tc>
      </w:tr>
      <w:tr w14:paraId="082F8B4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rPr>
        <w:tc>
          <w:tcPr>
            <w:tcW w:w="1660" w:type="dxa"/>
            <w:tcBorders>
              <w:top w:val="single" w:color="auto" w:sz="4" w:space="0"/>
              <w:left w:val="single" w:color="auto" w:sz="12" w:space="0"/>
              <w:bottom w:val="nil"/>
              <w:right w:val="nil"/>
            </w:tcBorders>
            <w:noWrap w:val="0"/>
            <w:tcMar>
              <w:top w:w="80" w:type="dxa"/>
              <w:left w:w="120" w:type="dxa"/>
              <w:bottom w:w="80" w:type="dxa"/>
              <w:right w:w="120" w:type="dxa"/>
            </w:tcMar>
            <w:vAlign w:val="center"/>
          </w:tcPr>
          <w:p w14:paraId="26C10532">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光源</w:t>
            </w:r>
          </w:p>
        </w:tc>
        <w:tc>
          <w:tcPr>
            <w:tcW w:w="1660"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14485A46">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出口直径</w:t>
            </w:r>
          </w:p>
        </w:tc>
        <w:tc>
          <w:tcPr>
            <w:tcW w:w="2236"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381C58E9">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1.0 mm</w:t>
            </w:r>
          </w:p>
        </w:tc>
        <w:tc>
          <w:tcPr>
            <w:tcW w:w="3804" w:type="dxa"/>
            <w:tcBorders>
              <w:top w:val="single" w:color="auto" w:sz="4" w:space="0"/>
              <w:left w:val="single" w:color="auto" w:sz="4" w:space="0"/>
              <w:bottom w:val="nil"/>
              <w:right w:val="single" w:color="auto" w:sz="12" w:space="0"/>
            </w:tcBorders>
            <w:noWrap w:val="0"/>
            <w:tcMar>
              <w:top w:w="80" w:type="dxa"/>
              <w:left w:w="120" w:type="dxa"/>
              <w:bottom w:w="80" w:type="dxa"/>
              <w:right w:w="120" w:type="dxa"/>
            </w:tcMar>
            <w:vAlign w:val="center"/>
          </w:tcPr>
          <w:p w14:paraId="2DF18A1E">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全 1/e² 直径</w:t>
            </w:r>
          </w:p>
        </w:tc>
      </w:tr>
      <w:tr w14:paraId="003602C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rPr>
        <w:tc>
          <w:tcPr>
            <w:tcW w:w="1660" w:type="dxa"/>
            <w:tcBorders>
              <w:top w:val="single" w:color="auto" w:sz="4" w:space="0"/>
              <w:left w:val="single" w:color="auto" w:sz="12" w:space="0"/>
              <w:bottom w:val="nil"/>
              <w:right w:val="nil"/>
            </w:tcBorders>
            <w:noWrap w:val="0"/>
            <w:tcMar>
              <w:top w:w="80" w:type="dxa"/>
              <w:left w:w="120" w:type="dxa"/>
              <w:bottom w:w="80" w:type="dxa"/>
              <w:right w:w="120" w:type="dxa"/>
            </w:tcMar>
            <w:vAlign w:val="center"/>
          </w:tcPr>
          <w:p w14:paraId="7E490D5F">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整形模块输入</w:t>
            </w:r>
          </w:p>
        </w:tc>
        <w:tc>
          <w:tcPr>
            <w:tcW w:w="1660"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110358A5">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圆形准直光斑</w:t>
            </w:r>
          </w:p>
        </w:tc>
        <w:tc>
          <w:tcPr>
            <w:tcW w:w="2236"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0628907B">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6.0 mm</w:t>
            </w:r>
          </w:p>
        </w:tc>
        <w:tc>
          <w:tcPr>
            <w:tcW w:w="3804" w:type="dxa"/>
            <w:tcBorders>
              <w:top w:val="single" w:color="auto" w:sz="4" w:space="0"/>
              <w:left w:val="single" w:color="auto" w:sz="4" w:space="0"/>
              <w:bottom w:val="nil"/>
              <w:right w:val="single" w:color="auto" w:sz="12" w:space="0"/>
            </w:tcBorders>
            <w:noWrap w:val="0"/>
            <w:tcMar>
              <w:top w:w="80" w:type="dxa"/>
              <w:left w:w="120" w:type="dxa"/>
              <w:bottom w:w="80" w:type="dxa"/>
              <w:right w:w="120" w:type="dxa"/>
            </w:tcMar>
            <w:vAlign w:val="center"/>
          </w:tcPr>
          <w:p w14:paraId="326325CC">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SBE1/SBE2 扩束后；X/Y 相同</w:t>
            </w:r>
          </w:p>
        </w:tc>
      </w:tr>
      <w:tr w14:paraId="644DD3E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rPr>
        <w:tc>
          <w:tcPr>
            <w:tcW w:w="1660" w:type="dxa"/>
            <w:tcBorders>
              <w:top w:val="single" w:color="auto" w:sz="4" w:space="0"/>
              <w:left w:val="single" w:color="auto" w:sz="12" w:space="0"/>
              <w:bottom w:val="nil"/>
              <w:right w:val="nil"/>
            </w:tcBorders>
            <w:noWrap w:val="0"/>
            <w:tcMar>
              <w:top w:w="80" w:type="dxa"/>
              <w:left w:w="120" w:type="dxa"/>
              <w:bottom w:w="80" w:type="dxa"/>
              <w:right w:w="120" w:type="dxa"/>
            </w:tcMar>
            <w:vAlign w:val="center"/>
          </w:tcPr>
          <w:p w14:paraId="428962A1">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终端 X</w:t>
            </w:r>
          </w:p>
        </w:tc>
        <w:tc>
          <w:tcPr>
            <w:tcW w:w="1660"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57C100D6">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线宽</w:t>
            </w:r>
          </w:p>
        </w:tc>
        <w:tc>
          <w:tcPr>
            <w:tcW w:w="2236"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50DFF451">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1.5 mm</w:t>
            </w:r>
          </w:p>
        </w:tc>
        <w:tc>
          <w:tcPr>
            <w:tcW w:w="3804" w:type="dxa"/>
            <w:tcBorders>
              <w:top w:val="single" w:color="auto" w:sz="4" w:space="0"/>
              <w:left w:val="single" w:color="auto" w:sz="4" w:space="0"/>
              <w:bottom w:val="nil"/>
              <w:right w:val="single" w:color="auto" w:sz="12" w:space="0"/>
            </w:tcBorders>
            <w:noWrap w:val="0"/>
            <w:tcMar>
              <w:top w:w="80" w:type="dxa"/>
              <w:left w:w="120" w:type="dxa"/>
              <w:bottom w:w="80" w:type="dxa"/>
              <w:right w:w="120" w:type="dxa"/>
            </w:tcMar>
            <w:vAlign w:val="center"/>
          </w:tcPr>
          <w:p w14:paraId="397D4E8F">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全 1/e² 宽度，近似平行光</w:t>
            </w:r>
          </w:p>
        </w:tc>
      </w:tr>
      <w:tr w14:paraId="3EF156E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rPr>
        <w:tc>
          <w:tcPr>
            <w:tcW w:w="1660" w:type="dxa"/>
            <w:tcBorders>
              <w:top w:val="single" w:color="auto" w:sz="4" w:space="0"/>
              <w:left w:val="single" w:color="auto" w:sz="12" w:space="0"/>
              <w:bottom w:val="nil"/>
              <w:right w:val="nil"/>
            </w:tcBorders>
            <w:noWrap w:val="0"/>
            <w:tcMar>
              <w:top w:w="80" w:type="dxa"/>
              <w:left w:w="120" w:type="dxa"/>
              <w:bottom w:w="80" w:type="dxa"/>
              <w:right w:w="120" w:type="dxa"/>
            </w:tcMar>
            <w:vAlign w:val="center"/>
          </w:tcPr>
          <w:p w14:paraId="7558B523">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终端 X</w:t>
            </w:r>
          </w:p>
        </w:tc>
        <w:tc>
          <w:tcPr>
            <w:tcW w:w="1660"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74EE8477">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平均残余倾角</w:t>
            </w:r>
          </w:p>
        </w:tc>
        <w:tc>
          <w:tcPr>
            <w:tcW w:w="2236"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0A33D597">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≤10 µrad（暂定）</w:t>
            </w:r>
          </w:p>
        </w:tc>
        <w:tc>
          <w:tcPr>
            <w:tcW w:w="3804" w:type="dxa"/>
            <w:tcBorders>
              <w:top w:val="single" w:color="auto" w:sz="4" w:space="0"/>
              <w:left w:val="single" w:color="auto" w:sz="4" w:space="0"/>
              <w:bottom w:val="nil"/>
              <w:right w:val="single" w:color="auto" w:sz="12" w:space="0"/>
            </w:tcBorders>
            <w:noWrap w:val="0"/>
            <w:tcMar>
              <w:top w:w="80" w:type="dxa"/>
              <w:left w:w="120" w:type="dxa"/>
              <w:bottom w:w="80" w:type="dxa"/>
              <w:right w:w="120" w:type="dxa"/>
            </w:tcMar>
            <w:vAlign w:val="center"/>
          </w:tcPr>
          <w:p w14:paraId="78A534DC">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去除 piston 后的一阶相位斜率</w:t>
            </w:r>
          </w:p>
        </w:tc>
      </w:tr>
      <w:tr w14:paraId="368EDEC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rPr>
        <w:tc>
          <w:tcPr>
            <w:tcW w:w="1660" w:type="dxa"/>
            <w:tcBorders>
              <w:top w:val="single" w:color="auto" w:sz="4" w:space="0"/>
              <w:left w:val="single" w:color="auto" w:sz="12" w:space="0"/>
              <w:bottom w:val="nil"/>
              <w:right w:val="nil"/>
            </w:tcBorders>
            <w:noWrap w:val="0"/>
            <w:tcMar>
              <w:top w:w="80" w:type="dxa"/>
              <w:left w:w="120" w:type="dxa"/>
              <w:bottom w:w="80" w:type="dxa"/>
              <w:right w:w="120" w:type="dxa"/>
            </w:tcMar>
            <w:vAlign w:val="center"/>
          </w:tcPr>
          <w:p w14:paraId="422F619F">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终端 X</w:t>
            </w:r>
          </w:p>
        </w:tc>
        <w:tc>
          <w:tcPr>
            <w:tcW w:w="1660"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4096539F">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相位 RMS</w:t>
            </w:r>
          </w:p>
        </w:tc>
        <w:tc>
          <w:tcPr>
            <w:tcW w:w="2236"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02CDD1B0">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≤0.10 rad（暂定）</w:t>
            </w:r>
          </w:p>
        </w:tc>
        <w:tc>
          <w:tcPr>
            <w:tcW w:w="3804" w:type="dxa"/>
            <w:tcBorders>
              <w:top w:val="single" w:color="auto" w:sz="4" w:space="0"/>
              <w:left w:val="single" w:color="auto" w:sz="4" w:space="0"/>
              <w:bottom w:val="nil"/>
              <w:right w:val="single" w:color="auto" w:sz="12" w:space="0"/>
            </w:tcBorders>
            <w:noWrap w:val="0"/>
            <w:tcMar>
              <w:top w:w="80" w:type="dxa"/>
              <w:left w:w="120" w:type="dxa"/>
              <w:bottom w:w="80" w:type="dxa"/>
              <w:right w:w="120" w:type="dxa"/>
            </w:tcMar>
            <w:vAlign w:val="center"/>
          </w:tcPr>
          <w:p w14:paraId="759184C7">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去除 piston/平均倾角后，保留曲率</w:t>
            </w:r>
          </w:p>
        </w:tc>
      </w:tr>
      <w:tr w14:paraId="0139B9A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rPr>
        <w:tc>
          <w:tcPr>
            <w:tcW w:w="1660" w:type="dxa"/>
            <w:tcBorders>
              <w:top w:val="single" w:color="auto" w:sz="4" w:space="0"/>
              <w:left w:val="single" w:color="auto" w:sz="12" w:space="0"/>
              <w:bottom w:val="nil"/>
              <w:right w:val="nil"/>
            </w:tcBorders>
            <w:noWrap w:val="0"/>
            <w:tcMar>
              <w:top w:w="80" w:type="dxa"/>
              <w:left w:w="120" w:type="dxa"/>
              <w:bottom w:w="80" w:type="dxa"/>
              <w:right w:w="120" w:type="dxa"/>
            </w:tcMar>
            <w:vAlign w:val="center"/>
          </w:tcPr>
          <w:p w14:paraId="580EBDCD">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终端 X</w:t>
            </w:r>
          </w:p>
        </w:tc>
        <w:tc>
          <w:tcPr>
            <w:tcW w:w="1660"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06C01C6D">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曲率边缘斜率</w:t>
            </w:r>
          </w:p>
        </w:tc>
        <w:tc>
          <w:tcPr>
            <w:tcW w:w="2236"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02BCDF62">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≤50 µrad（暂定）</w:t>
            </w:r>
          </w:p>
        </w:tc>
        <w:tc>
          <w:tcPr>
            <w:tcW w:w="3804" w:type="dxa"/>
            <w:tcBorders>
              <w:top w:val="single" w:color="auto" w:sz="4" w:space="0"/>
              <w:left w:val="single" w:color="auto" w:sz="4" w:space="0"/>
              <w:bottom w:val="nil"/>
              <w:right w:val="single" w:color="auto" w:sz="12" w:space="0"/>
            </w:tcBorders>
            <w:noWrap w:val="0"/>
            <w:tcMar>
              <w:top w:w="80" w:type="dxa"/>
              <w:left w:w="120" w:type="dxa"/>
              <w:bottom w:w="80" w:type="dxa"/>
              <w:right w:w="120" w:type="dxa"/>
            </w:tcMar>
            <w:vAlign w:val="center"/>
          </w:tcPr>
          <w:p w14:paraId="2B0CD0B7">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半宽除以拟合波前曲率半径</w:t>
            </w:r>
          </w:p>
        </w:tc>
      </w:tr>
      <w:tr w14:paraId="1B63692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rPr>
        <w:tc>
          <w:tcPr>
            <w:tcW w:w="1660" w:type="dxa"/>
            <w:tcBorders>
              <w:top w:val="single" w:color="auto" w:sz="4" w:space="0"/>
              <w:left w:val="single" w:color="auto" w:sz="12" w:space="0"/>
              <w:bottom w:val="nil"/>
              <w:right w:val="nil"/>
            </w:tcBorders>
            <w:noWrap w:val="0"/>
            <w:tcMar>
              <w:top w:w="80" w:type="dxa"/>
              <w:left w:w="120" w:type="dxa"/>
              <w:bottom w:w="80" w:type="dxa"/>
              <w:right w:w="120" w:type="dxa"/>
            </w:tcMar>
            <w:vAlign w:val="center"/>
          </w:tcPr>
          <w:p w14:paraId="742ED263">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终端 Y</w:t>
            </w:r>
          </w:p>
        </w:tc>
        <w:tc>
          <w:tcPr>
            <w:tcW w:w="1660"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619965E8">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聚焦宽度</w:t>
            </w:r>
          </w:p>
        </w:tc>
        <w:tc>
          <w:tcPr>
            <w:tcW w:w="2236"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2F91F324">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1.0 µm</w:t>
            </w:r>
          </w:p>
        </w:tc>
        <w:tc>
          <w:tcPr>
            <w:tcW w:w="3804" w:type="dxa"/>
            <w:tcBorders>
              <w:top w:val="single" w:color="auto" w:sz="4" w:space="0"/>
              <w:left w:val="single" w:color="auto" w:sz="4" w:space="0"/>
              <w:bottom w:val="nil"/>
              <w:right w:val="single" w:color="auto" w:sz="12" w:space="0"/>
            </w:tcBorders>
            <w:noWrap w:val="0"/>
            <w:tcMar>
              <w:top w:w="80" w:type="dxa"/>
              <w:left w:w="120" w:type="dxa"/>
              <w:bottom w:w="80" w:type="dxa"/>
              <w:right w:w="120" w:type="dxa"/>
            </w:tcMar>
            <w:vAlign w:val="center"/>
          </w:tcPr>
          <w:p w14:paraId="694A8339">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全 1/e² 宽度</w:t>
            </w:r>
          </w:p>
        </w:tc>
      </w:tr>
      <w:tr w14:paraId="3216B48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rPr>
        <w:tc>
          <w:tcPr>
            <w:tcW w:w="1660" w:type="dxa"/>
            <w:tcBorders>
              <w:top w:val="single" w:color="auto" w:sz="4" w:space="0"/>
              <w:left w:val="single" w:color="auto" w:sz="12" w:space="0"/>
              <w:bottom w:val="nil"/>
              <w:right w:val="nil"/>
            </w:tcBorders>
            <w:noWrap w:val="0"/>
            <w:tcMar>
              <w:top w:w="80" w:type="dxa"/>
              <w:left w:w="120" w:type="dxa"/>
              <w:bottom w:w="80" w:type="dxa"/>
              <w:right w:w="120" w:type="dxa"/>
            </w:tcMar>
            <w:vAlign w:val="center"/>
          </w:tcPr>
          <w:p w14:paraId="2D161623">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结构</w:t>
            </w:r>
          </w:p>
        </w:tc>
        <w:tc>
          <w:tcPr>
            <w:tcW w:w="1660"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612FF96D">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Y 工作距离</w:t>
            </w:r>
          </w:p>
        </w:tc>
        <w:tc>
          <w:tcPr>
            <w:tcW w:w="2236" w:type="dxa"/>
            <w:tcBorders>
              <w:top w:val="single" w:color="auto" w:sz="4" w:space="0"/>
              <w:left w:val="single" w:color="auto" w:sz="4" w:space="0"/>
              <w:bottom w:val="nil"/>
              <w:right w:val="nil"/>
            </w:tcBorders>
            <w:noWrap w:val="0"/>
            <w:tcMar>
              <w:top w:w="80" w:type="dxa"/>
              <w:left w:w="120" w:type="dxa"/>
              <w:bottom w:w="80" w:type="dxa"/>
              <w:right w:w="120" w:type="dxa"/>
            </w:tcMar>
            <w:vAlign w:val="center"/>
          </w:tcPr>
          <w:p w14:paraId="5655616E">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100 mm</w:t>
            </w:r>
          </w:p>
        </w:tc>
        <w:tc>
          <w:tcPr>
            <w:tcW w:w="3804" w:type="dxa"/>
            <w:tcBorders>
              <w:top w:val="single" w:color="auto" w:sz="4" w:space="0"/>
              <w:left w:val="single" w:color="auto" w:sz="4" w:space="0"/>
              <w:bottom w:val="nil"/>
              <w:right w:val="single" w:color="auto" w:sz="12" w:space="0"/>
            </w:tcBorders>
            <w:noWrap w:val="0"/>
            <w:tcMar>
              <w:top w:w="80" w:type="dxa"/>
              <w:left w:w="120" w:type="dxa"/>
              <w:bottom w:w="80" w:type="dxa"/>
              <w:right w:w="120" w:type="dxa"/>
            </w:tcMar>
            <w:vAlign w:val="center"/>
          </w:tcPr>
          <w:p w14:paraId="370DBD8F">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6"/>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YFL 至目标面</w:t>
            </w:r>
          </w:p>
        </w:tc>
      </w:tr>
    </w:tbl>
    <w:p w14:paraId="472233C9">
      <w:pPr>
        <w:spacing w:after="0"/>
        <w:rPr>
          <w:rFonts w:hint="eastAsia" w:ascii="微软雅黑" w:hAnsi="微软雅黑" w:eastAsia="微软雅黑" w:cs="微软雅黑"/>
          <w:color w:val="000000" w:themeColor="text1"/>
          <w14:textFill>
            <w14:solidFill>
              <w14:schemeClr w14:val="tx1"/>
            </w14:solidFill>
          </w14:textFill>
        </w:rPr>
      </w:pPr>
    </w:p>
    <w:p w14:paraId="4279B893">
      <w:pPr>
        <w:pStyle w:val="3"/>
        <w:keepNext/>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2. HOLO/OR 产品选择</w:t>
      </w:r>
    </w:p>
    <w:p w14:paraId="30579CDD">
      <w:pP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最终选择：HOLO/OR Collimated Beam Shaper Module，定制 355 nm、6 mm 输入、X 向线形平顶输出。官方页面给出该系列可定制 lines 等形状，并说明输出形状可在较长传播范围保持准直；正式尺寸、效率、口径和料号必须由 HOLO/OR 报价确认。</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2"/>
        <w:gridCol w:w="6258"/>
      </w:tblGrid>
      <w:tr w14:paraId="6C059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3102" w:type="dxa"/>
            <w:shd w:val="clear" w:color="auto" w:fill="F2F4F7"/>
            <w:tcMar>
              <w:top w:w="80" w:type="dxa"/>
              <w:left w:w="120" w:type="dxa"/>
              <w:bottom w:w="80" w:type="dxa"/>
              <w:right w:w="120" w:type="dxa"/>
            </w:tcMar>
            <w:vAlign w:val="center"/>
          </w:tcPr>
          <w:p w14:paraId="51ECCF8E">
            <w:pPr>
              <w:snapToGrid w:val="0"/>
              <w:spacing w:line="240" w:lineRule="auto"/>
              <w:ind w:left="0" w:leftChars="0" w:right="0" w:rightChars="0" w:firstLine="0" w:firstLineChars="0"/>
              <w:jc w:val="center"/>
              <w:rPr>
                <w:rFonts w:hint="eastAsia" w:ascii="微软雅黑" w:hAnsi="微软雅黑" w:eastAsia="微软雅黑" w:cs="微软雅黑"/>
                <w:b/>
                <w:color w:val="000000" w:themeColor="text1"/>
                <w:sz w:val="17"/>
                <w14:textFill>
                  <w14:solidFill>
                    <w14:schemeClr w14:val="tx1"/>
                  </w14:solidFill>
                </w14:textFill>
              </w:rPr>
            </w:pPr>
            <w:r>
              <w:rPr>
                <w:rFonts w:hint="eastAsia" w:ascii="微软雅黑" w:hAnsi="微软雅黑" w:eastAsia="微软雅黑" w:cs="微软雅黑"/>
                <w:b/>
                <w:color w:val="000000" w:themeColor="text1"/>
                <w:sz w:val="17"/>
                <w14:textFill>
                  <w14:solidFill>
                    <w14:schemeClr w14:val="tx1"/>
                  </w14:solidFill>
                </w14:textFill>
              </w:rPr>
              <w:t>项目</w:t>
            </w:r>
          </w:p>
        </w:tc>
        <w:tc>
          <w:tcPr>
            <w:tcW w:w="6258" w:type="dxa"/>
            <w:shd w:val="clear" w:color="auto" w:fill="F2F4F7"/>
            <w:tcMar>
              <w:top w:w="80" w:type="dxa"/>
              <w:left w:w="120" w:type="dxa"/>
              <w:bottom w:w="80" w:type="dxa"/>
              <w:right w:w="120" w:type="dxa"/>
            </w:tcMar>
            <w:vAlign w:val="center"/>
          </w:tcPr>
          <w:p w14:paraId="2F6E2F76">
            <w:pPr>
              <w:snapToGrid w:val="0"/>
              <w:spacing w:line="240" w:lineRule="auto"/>
              <w:ind w:left="0" w:leftChars="0" w:right="0" w:rightChars="0" w:firstLine="0" w:firstLineChars="0"/>
              <w:jc w:val="center"/>
              <w:rPr>
                <w:rFonts w:hint="eastAsia" w:ascii="微软雅黑" w:hAnsi="微软雅黑" w:eastAsia="微软雅黑" w:cs="微软雅黑"/>
                <w:b/>
                <w:color w:val="000000" w:themeColor="text1"/>
                <w:sz w:val="17"/>
                <w14:textFill>
                  <w14:solidFill>
                    <w14:schemeClr w14:val="tx1"/>
                  </w14:solidFill>
                </w14:textFill>
              </w:rPr>
            </w:pPr>
            <w:r>
              <w:rPr>
                <w:rFonts w:hint="eastAsia" w:ascii="微软雅黑" w:hAnsi="微软雅黑" w:eastAsia="微软雅黑" w:cs="微软雅黑"/>
                <w:b/>
                <w:color w:val="000000" w:themeColor="text1"/>
                <w:sz w:val="17"/>
                <w14:textFill>
                  <w14:solidFill>
                    <w14:schemeClr w14:val="tx1"/>
                  </w14:solidFill>
                </w14:textFill>
              </w:rPr>
              <w:t>最终路线</w:t>
            </w:r>
          </w:p>
        </w:tc>
      </w:tr>
      <w:tr w14:paraId="2F76A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3102" w:type="dxa"/>
            <w:tcMar>
              <w:top w:w="80" w:type="dxa"/>
              <w:left w:w="120" w:type="dxa"/>
              <w:bottom w:w="80" w:type="dxa"/>
              <w:right w:w="120" w:type="dxa"/>
            </w:tcMar>
            <w:vAlign w:val="center"/>
          </w:tcPr>
          <w:p w14:paraId="078ED6E5">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7"/>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HOLO/OR 系列</w:t>
            </w:r>
          </w:p>
        </w:tc>
        <w:tc>
          <w:tcPr>
            <w:tcW w:w="6258" w:type="dxa"/>
            <w:tcMar>
              <w:top w:w="80" w:type="dxa"/>
              <w:left w:w="120" w:type="dxa"/>
              <w:bottom w:w="80" w:type="dxa"/>
              <w:right w:w="120" w:type="dxa"/>
            </w:tcMar>
            <w:vAlign w:val="center"/>
          </w:tcPr>
          <w:p w14:paraId="00A00B65">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7"/>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Collimated Beam Shaper Module</w:t>
            </w:r>
          </w:p>
        </w:tc>
      </w:tr>
      <w:tr w14:paraId="35B33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3102" w:type="dxa"/>
            <w:tcMar>
              <w:top w:w="80" w:type="dxa"/>
              <w:left w:w="120" w:type="dxa"/>
              <w:bottom w:w="80" w:type="dxa"/>
              <w:right w:w="120" w:type="dxa"/>
            </w:tcMar>
            <w:vAlign w:val="center"/>
          </w:tcPr>
          <w:p w14:paraId="675DC051">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7"/>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输出物理量</w:t>
            </w:r>
          </w:p>
        </w:tc>
        <w:tc>
          <w:tcPr>
            <w:tcW w:w="6258" w:type="dxa"/>
            <w:tcMar>
              <w:top w:w="80" w:type="dxa"/>
              <w:left w:w="120" w:type="dxa"/>
              <w:bottom w:w="80" w:type="dxa"/>
              <w:right w:w="120" w:type="dxa"/>
            </w:tcMar>
            <w:vAlign w:val="center"/>
          </w:tcPr>
          <w:p w14:paraId="3FC9C5AA">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7"/>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准直线形强度 + 展平波前</w:t>
            </w:r>
          </w:p>
        </w:tc>
      </w:tr>
      <w:tr w14:paraId="5594D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3102" w:type="dxa"/>
            <w:tcMar>
              <w:top w:w="80" w:type="dxa"/>
              <w:left w:w="120" w:type="dxa"/>
              <w:bottom w:w="80" w:type="dxa"/>
              <w:right w:w="120" w:type="dxa"/>
            </w:tcMar>
            <w:vAlign w:val="center"/>
          </w:tcPr>
          <w:p w14:paraId="7FCA47C5">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7"/>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元件数</w:t>
            </w:r>
          </w:p>
        </w:tc>
        <w:tc>
          <w:tcPr>
            <w:tcW w:w="6258" w:type="dxa"/>
            <w:tcMar>
              <w:top w:w="80" w:type="dxa"/>
              <w:left w:w="120" w:type="dxa"/>
              <w:bottom w:w="80" w:type="dxa"/>
              <w:right w:w="120" w:type="dxa"/>
            </w:tcMar>
            <w:vAlign w:val="center"/>
          </w:tcPr>
          <w:p w14:paraId="5FDA51CD">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7"/>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厂商说明为双元件模块</w:t>
            </w:r>
          </w:p>
        </w:tc>
      </w:tr>
      <w:tr w14:paraId="62EEF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3102" w:type="dxa"/>
            <w:tcMar>
              <w:top w:w="80" w:type="dxa"/>
              <w:left w:w="120" w:type="dxa"/>
              <w:bottom w:w="80" w:type="dxa"/>
              <w:right w:w="120" w:type="dxa"/>
            </w:tcMar>
            <w:vAlign w:val="center"/>
          </w:tcPr>
          <w:p w14:paraId="4CA8CCCF">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7"/>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对本项目作用</w:t>
            </w:r>
          </w:p>
        </w:tc>
        <w:tc>
          <w:tcPr>
            <w:tcW w:w="6258" w:type="dxa"/>
            <w:tcMar>
              <w:top w:w="80" w:type="dxa"/>
              <w:left w:w="120" w:type="dxa"/>
              <w:bottom w:w="80" w:type="dxa"/>
              <w:right w:w="120" w:type="dxa"/>
            </w:tcMar>
            <w:vAlign w:val="center"/>
          </w:tcPr>
          <w:p w14:paraId="6F076833">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7"/>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满足 X 近似平行光的产品架构</w:t>
            </w:r>
          </w:p>
        </w:tc>
      </w:tr>
      <w:tr w14:paraId="629E1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3102" w:type="dxa"/>
            <w:tcMar>
              <w:top w:w="80" w:type="dxa"/>
              <w:left w:w="120" w:type="dxa"/>
              <w:bottom w:w="80" w:type="dxa"/>
              <w:right w:w="120" w:type="dxa"/>
            </w:tcMar>
            <w:vAlign w:val="center"/>
          </w:tcPr>
          <w:p w14:paraId="2EB00EFE">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7"/>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型号状态</w:t>
            </w:r>
          </w:p>
        </w:tc>
        <w:tc>
          <w:tcPr>
            <w:tcW w:w="6258" w:type="dxa"/>
            <w:tcMar>
              <w:top w:w="80" w:type="dxa"/>
              <w:left w:w="120" w:type="dxa"/>
              <w:bottom w:w="80" w:type="dxa"/>
              <w:right w:w="120" w:type="dxa"/>
            </w:tcMar>
            <w:vAlign w:val="center"/>
          </w:tcPr>
          <w:p w14:paraId="22AB3D4E">
            <w:pPr>
              <w:snapToGrid w:val="0"/>
              <w:spacing w:after="0" w:line="240" w:lineRule="auto"/>
              <w:ind w:left="0" w:leftChars="0" w:right="0" w:rightChars="0" w:firstLine="0" w:firstLineChars="0"/>
              <w:jc w:val="left"/>
              <w:rPr>
                <w:rFonts w:hint="eastAsia" w:ascii="微软雅黑" w:hAnsi="微软雅黑" w:eastAsia="微软雅黑" w:cs="微软雅黑"/>
                <w:color w:val="000000" w:themeColor="text1"/>
                <w:sz w:val="17"/>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定制 RFQ；正式 PN 待厂商确认</w:t>
            </w:r>
          </w:p>
        </w:tc>
      </w:tr>
    </w:tbl>
    <w:p w14:paraId="3303243C">
      <w:pPr>
        <w:spacing w:after="0"/>
        <w:rPr>
          <w:rFonts w:hint="eastAsia" w:ascii="微软雅黑" w:hAnsi="微软雅黑" w:eastAsia="微软雅黑" w:cs="微软雅黑"/>
          <w:color w:val="000000" w:themeColor="text1"/>
          <w14:textFill>
            <w14:solidFill>
              <w14:schemeClr w14:val="tx1"/>
            </w14:solidFill>
          </w14:textFill>
        </w:rPr>
      </w:pPr>
    </w:p>
    <w:p w14:paraId="0F4CEE71">
      <w:pPr>
        <w:pStyle w:val="3"/>
        <w:keepNext/>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3. 系统方案与元件表</w:t>
      </w:r>
    </w:p>
    <w:p w14:paraId="534E5AE6">
      <w:pPr>
        <w:pStyle w:val="4"/>
        <w:keepNext/>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3.1 功能链</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1500"/>
        <w:gridCol w:w="5960"/>
      </w:tblGrid>
      <w:tr w14:paraId="72348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900" w:type="dxa"/>
            <w:shd w:val="clear" w:color="auto" w:fill="F2F4F7"/>
            <w:tcMar>
              <w:top w:w="80" w:type="dxa"/>
              <w:left w:w="120" w:type="dxa"/>
              <w:bottom w:w="80" w:type="dxa"/>
              <w:right w:w="120" w:type="dxa"/>
            </w:tcMar>
            <w:vAlign w:val="center"/>
          </w:tcPr>
          <w:p w14:paraId="31AA5340">
            <w:pPr>
              <w:jc w:val="cente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b/>
                <w:color w:val="000000" w:themeColor="text1"/>
                <w:sz w:val="17"/>
                <w14:textFill>
                  <w14:solidFill>
                    <w14:schemeClr w14:val="tx1"/>
                  </w14:solidFill>
                </w14:textFill>
              </w:rPr>
              <w:t>阶段</w:t>
            </w:r>
          </w:p>
        </w:tc>
        <w:tc>
          <w:tcPr>
            <w:tcW w:w="1500" w:type="dxa"/>
            <w:shd w:val="clear" w:color="auto" w:fill="F2F4F7"/>
            <w:tcMar>
              <w:top w:w="80" w:type="dxa"/>
              <w:left w:w="120" w:type="dxa"/>
              <w:bottom w:w="80" w:type="dxa"/>
              <w:right w:w="120" w:type="dxa"/>
            </w:tcMar>
            <w:vAlign w:val="center"/>
          </w:tcPr>
          <w:p w14:paraId="2789AEE1">
            <w:pPr>
              <w:jc w:val="cente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b/>
                <w:color w:val="000000" w:themeColor="text1"/>
                <w:sz w:val="17"/>
                <w14:textFill>
                  <w14:solidFill>
                    <w14:schemeClr w14:val="tx1"/>
                  </w14:solidFill>
                </w14:textFill>
              </w:rPr>
              <w:t>作用轴</w:t>
            </w:r>
          </w:p>
        </w:tc>
        <w:tc>
          <w:tcPr>
            <w:tcW w:w="5960" w:type="dxa"/>
            <w:shd w:val="clear" w:color="auto" w:fill="F2F4F7"/>
            <w:tcMar>
              <w:top w:w="80" w:type="dxa"/>
              <w:left w:w="120" w:type="dxa"/>
              <w:bottom w:w="80" w:type="dxa"/>
              <w:right w:w="120" w:type="dxa"/>
            </w:tcMar>
            <w:vAlign w:val="center"/>
          </w:tcPr>
          <w:p w14:paraId="3C49C372">
            <w:pPr>
              <w:jc w:val="cente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b/>
                <w:color w:val="000000" w:themeColor="text1"/>
                <w:sz w:val="17"/>
                <w14:textFill>
                  <w14:solidFill>
                    <w14:schemeClr w14:val="tx1"/>
                  </w14:solidFill>
                </w14:textFill>
              </w:rPr>
              <w:t>功能</w:t>
            </w:r>
          </w:p>
        </w:tc>
      </w:tr>
      <w:tr w14:paraId="3291C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0" w:type="dxa"/>
            <w:tcMar>
              <w:top w:w="80" w:type="dxa"/>
              <w:left w:w="120" w:type="dxa"/>
              <w:bottom w:w="80" w:type="dxa"/>
              <w:right w:w="120" w:type="dxa"/>
            </w:tcMar>
            <w:vAlign w:val="center"/>
          </w:tcPr>
          <w:p w14:paraId="41F3C301">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SBE1/SBE2</w:t>
            </w:r>
          </w:p>
        </w:tc>
        <w:tc>
          <w:tcPr>
            <w:tcW w:w="1500" w:type="dxa"/>
            <w:tcMar>
              <w:top w:w="80" w:type="dxa"/>
              <w:left w:w="120" w:type="dxa"/>
              <w:bottom w:w="80" w:type="dxa"/>
              <w:right w:w="120" w:type="dxa"/>
            </w:tcMar>
            <w:vAlign w:val="center"/>
          </w:tcPr>
          <w:p w14:paraId="3ABACAD0">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X + Y</w:t>
            </w:r>
          </w:p>
        </w:tc>
        <w:tc>
          <w:tcPr>
            <w:tcW w:w="5960" w:type="dxa"/>
            <w:tcMar>
              <w:top w:w="80" w:type="dxa"/>
              <w:left w:w="120" w:type="dxa"/>
              <w:bottom w:w="80" w:type="dxa"/>
              <w:right w:w="120" w:type="dxa"/>
            </w:tcMar>
            <w:vAlign w:val="center"/>
          </w:tcPr>
          <w:p w14:paraId="4813E0D4">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激光后的第一组圆对称 6× 扩束；输出约 6 mm 准直圆斑</w:t>
            </w:r>
          </w:p>
        </w:tc>
      </w:tr>
      <w:tr w14:paraId="3E7F7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0" w:type="dxa"/>
            <w:tcMar>
              <w:top w:w="80" w:type="dxa"/>
              <w:left w:w="120" w:type="dxa"/>
              <w:bottom w:w="80" w:type="dxa"/>
              <w:right w:w="120" w:type="dxa"/>
            </w:tcMar>
            <w:vAlign w:val="center"/>
          </w:tcPr>
          <w:p w14:paraId="6C0503E6">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CBSM1/CBSM2</w:t>
            </w:r>
          </w:p>
        </w:tc>
        <w:tc>
          <w:tcPr>
            <w:tcW w:w="1500" w:type="dxa"/>
            <w:tcMar>
              <w:top w:w="80" w:type="dxa"/>
              <w:left w:w="120" w:type="dxa"/>
              <w:bottom w:w="80" w:type="dxa"/>
              <w:right w:w="120" w:type="dxa"/>
            </w:tcMar>
            <w:vAlign w:val="center"/>
          </w:tcPr>
          <w:p w14:paraId="2D4B67CE">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X</w:t>
            </w:r>
          </w:p>
        </w:tc>
        <w:tc>
          <w:tcPr>
            <w:tcW w:w="5960" w:type="dxa"/>
            <w:tcMar>
              <w:top w:w="80" w:type="dxa"/>
              <w:left w:w="120" w:type="dxa"/>
              <w:bottom w:w="80" w:type="dxa"/>
              <w:right w:w="120" w:type="dxa"/>
            </w:tcMar>
            <w:vAlign w:val="center"/>
          </w:tcPr>
          <w:p w14:paraId="2D4B06CC">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第一元件强度映射，第二元件相位展平；Y 不变</w:t>
            </w:r>
          </w:p>
        </w:tc>
      </w:tr>
      <w:tr w14:paraId="5B6E8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0" w:type="dxa"/>
            <w:tcMar>
              <w:top w:w="80" w:type="dxa"/>
              <w:left w:w="120" w:type="dxa"/>
              <w:bottom w:w="80" w:type="dxa"/>
              <w:right w:w="120" w:type="dxa"/>
            </w:tcMar>
            <w:vAlign w:val="center"/>
          </w:tcPr>
          <w:p w14:paraId="53ACF67A">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YBE1/YBE2</w:t>
            </w:r>
          </w:p>
        </w:tc>
        <w:tc>
          <w:tcPr>
            <w:tcW w:w="1500" w:type="dxa"/>
            <w:tcMar>
              <w:top w:w="80" w:type="dxa"/>
              <w:left w:w="120" w:type="dxa"/>
              <w:bottom w:w="80" w:type="dxa"/>
              <w:right w:w="120" w:type="dxa"/>
            </w:tcMar>
            <w:vAlign w:val="center"/>
          </w:tcPr>
          <w:p w14:paraId="2FF0E0F2">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Y</w:t>
            </w:r>
          </w:p>
        </w:tc>
        <w:tc>
          <w:tcPr>
            <w:tcW w:w="5960" w:type="dxa"/>
            <w:tcMar>
              <w:top w:w="80" w:type="dxa"/>
              <w:left w:w="120" w:type="dxa"/>
              <w:bottom w:w="80" w:type="dxa"/>
              <w:right w:w="120" w:type="dxa"/>
            </w:tcMar>
            <w:vAlign w:val="center"/>
          </w:tcPr>
          <w:p w14:paraId="6CC90B40">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9.040× Y 向扩束，X 不变</w:t>
            </w:r>
          </w:p>
        </w:tc>
      </w:tr>
      <w:tr w14:paraId="4D41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0" w:type="dxa"/>
            <w:tcMar>
              <w:top w:w="80" w:type="dxa"/>
              <w:left w:w="120" w:type="dxa"/>
              <w:bottom w:w="80" w:type="dxa"/>
              <w:right w:w="120" w:type="dxa"/>
            </w:tcMar>
            <w:vAlign w:val="center"/>
          </w:tcPr>
          <w:p w14:paraId="64BD7890">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CXC1/CXC2</w:t>
            </w:r>
          </w:p>
        </w:tc>
        <w:tc>
          <w:tcPr>
            <w:tcW w:w="1500" w:type="dxa"/>
            <w:tcMar>
              <w:top w:w="80" w:type="dxa"/>
              <w:left w:w="120" w:type="dxa"/>
              <w:bottom w:w="80" w:type="dxa"/>
              <w:right w:w="120" w:type="dxa"/>
            </w:tcMar>
            <w:vAlign w:val="center"/>
          </w:tcPr>
          <w:p w14:paraId="60175CA4">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X</w:t>
            </w:r>
          </w:p>
        </w:tc>
        <w:tc>
          <w:tcPr>
            <w:tcW w:w="5960" w:type="dxa"/>
            <w:tcMar>
              <w:top w:w="80" w:type="dxa"/>
              <w:left w:w="120" w:type="dxa"/>
              <w:bottom w:w="80" w:type="dxa"/>
              <w:right w:w="120" w:type="dxa"/>
            </w:tcMar>
            <w:vAlign w:val="center"/>
          </w:tcPr>
          <w:p w14:paraId="43222E5C">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+160/-40 mm、间距 120 mm 的 4× 无焦缩束，6 mm→1.5 mm</w:t>
            </w:r>
          </w:p>
        </w:tc>
      </w:tr>
      <w:tr w14:paraId="58090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0" w:type="dxa"/>
            <w:tcMar>
              <w:top w:w="80" w:type="dxa"/>
              <w:left w:w="120" w:type="dxa"/>
              <w:bottom w:w="80" w:type="dxa"/>
              <w:right w:w="120" w:type="dxa"/>
            </w:tcMar>
            <w:vAlign w:val="center"/>
          </w:tcPr>
          <w:p w14:paraId="24FB6A4E">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YFL</w:t>
            </w:r>
          </w:p>
        </w:tc>
        <w:tc>
          <w:tcPr>
            <w:tcW w:w="1500" w:type="dxa"/>
            <w:tcMar>
              <w:top w:w="80" w:type="dxa"/>
              <w:left w:w="120" w:type="dxa"/>
              <w:bottom w:w="80" w:type="dxa"/>
              <w:right w:w="120" w:type="dxa"/>
            </w:tcMar>
            <w:vAlign w:val="center"/>
          </w:tcPr>
          <w:p w14:paraId="76D02719">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Y</w:t>
            </w:r>
          </w:p>
        </w:tc>
        <w:tc>
          <w:tcPr>
            <w:tcW w:w="5960" w:type="dxa"/>
            <w:tcMar>
              <w:top w:w="80" w:type="dxa"/>
              <w:left w:w="120" w:type="dxa"/>
              <w:bottom w:w="80" w:type="dxa"/>
              <w:right w:w="120" w:type="dxa"/>
            </w:tcMar>
            <w:vAlign w:val="center"/>
          </w:tcPr>
          <w:p w14:paraId="37A669B4">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fY=100 mm；X 光焦度=0</w:t>
            </w:r>
          </w:p>
        </w:tc>
      </w:tr>
      <w:tr w14:paraId="68AD8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0" w:type="dxa"/>
            <w:tcMar>
              <w:top w:w="80" w:type="dxa"/>
              <w:left w:w="120" w:type="dxa"/>
              <w:bottom w:w="80" w:type="dxa"/>
              <w:right w:w="120" w:type="dxa"/>
            </w:tcMar>
            <w:vAlign w:val="center"/>
          </w:tcPr>
          <w:p w14:paraId="2C3E2783">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TARGET</w:t>
            </w:r>
          </w:p>
        </w:tc>
        <w:tc>
          <w:tcPr>
            <w:tcW w:w="1500" w:type="dxa"/>
            <w:tcMar>
              <w:top w:w="80" w:type="dxa"/>
              <w:left w:w="120" w:type="dxa"/>
              <w:bottom w:w="80" w:type="dxa"/>
              <w:right w:w="120" w:type="dxa"/>
            </w:tcMar>
            <w:vAlign w:val="center"/>
          </w:tcPr>
          <w:p w14:paraId="6E029E8E">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X + Y</w:t>
            </w:r>
          </w:p>
        </w:tc>
        <w:tc>
          <w:tcPr>
            <w:tcW w:w="5960" w:type="dxa"/>
            <w:tcMar>
              <w:top w:w="80" w:type="dxa"/>
              <w:left w:w="120" w:type="dxa"/>
              <w:bottom w:w="80" w:type="dxa"/>
              <w:right w:w="120" w:type="dxa"/>
            </w:tcMar>
            <w:vAlign w:val="center"/>
          </w:tcPr>
          <w:p w14:paraId="5017FB02">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X 为 1.5 mm 近似平行线光；Y 为 1.0 µm 焦斑</w:t>
            </w:r>
          </w:p>
        </w:tc>
      </w:tr>
    </w:tbl>
    <w:p w14:paraId="7784B0F9">
      <w:pPr>
        <w:spacing w:after="0"/>
        <w:rPr>
          <w:rFonts w:hint="eastAsia" w:ascii="微软雅黑" w:hAnsi="微软雅黑" w:eastAsia="微软雅黑" w:cs="微软雅黑"/>
          <w:color w:val="000000" w:themeColor="text1"/>
          <w14:textFill>
            <w14:solidFill>
              <w14:schemeClr w14:val="tx1"/>
            </w14:solidFill>
          </w14:textFill>
        </w:rPr>
      </w:pPr>
    </w:p>
    <w:p w14:paraId="113989B0">
      <w:pPr>
        <w:pStyle w:val="4"/>
        <w:keepNext/>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3.2 元件位置与光焦度</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900"/>
        <w:gridCol w:w="1200"/>
        <w:gridCol w:w="2200"/>
        <w:gridCol w:w="4210"/>
      </w:tblGrid>
      <w:tr w14:paraId="6BEB5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850" w:type="dxa"/>
            <w:shd w:val="clear" w:color="auto" w:fill="F2F4F7"/>
            <w:tcMar>
              <w:top w:w="80" w:type="dxa"/>
              <w:left w:w="120" w:type="dxa"/>
              <w:bottom w:w="80" w:type="dxa"/>
              <w:right w:w="120" w:type="dxa"/>
            </w:tcMar>
            <w:vAlign w:val="center"/>
          </w:tcPr>
          <w:p w14:paraId="144352D3">
            <w:pPr>
              <w:jc w:val="cente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b/>
                <w:color w:val="000000" w:themeColor="text1"/>
                <w:sz w:val="16"/>
                <w14:textFill>
                  <w14:solidFill>
                    <w14:schemeClr w14:val="tx1"/>
                  </w14:solidFill>
                </w14:textFill>
              </w:rPr>
              <w:t>ID</w:t>
            </w:r>
          </w:p>
        </w:tc>
        <w:tc>
          <w:tcPr>
            <w:tcW w:w="900" w:type="dxa"/>
            <w:shd w:val="clear" w:color="auto" w:fill="F2F4F7"/>
            <w:tcMar>
              <w:top w:w="80" w:type="dxa"/>
              <w:left w:w="120" w:type="dxa"/>
              <w:bottom w:w="80" w:type="dxa"/>
              <w:right w:w="120" w:type="dxa"/>
            </w:tcMar>
            <w:vAlign w:val="center"/>
          </w:tcPr>
          <w:p w14:paraId="73334BA0">
            <w:pPr>
              <w:jc w:val="cente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b/>
                <w:color w:val="000000" w:themeColor="text1"/>
                <w:sz w:val="16"/>
                <w14:textFill>
                  <w14:solidFill>
                    <w14:schemeClr w14:val="tx1"/>
                  </w14:solidFill>
                </w14:textFill>
              </w:rPr>
              <w:t>Z / mm</w:t>
            </w:r>
          </w:p>
        </w:tc>
        <w:tc>
          <w:tcPr>
            <w:tcW w:w="1200" w:type="dxa"/>
            <w:shd w:val="clear" w:color="auto" w:fill="F2F4F7"/>
            <w:tcMar>
              <w:top w:w="80" w:type="dxa"/>
              <w:left w:w="120" w:type="dxa"/>
              <w:bottom w:w="80" w:type="dxa"/>
              <w:right w:w="120" w:type="dxa"/>
            </w:tcMar>
            <w:vAlign w:val="center"/>
          </w:tcPr>
          <w:p w14:paraId="605680B4">
            <w:pPr>
              <w:jc w:val="cente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b/>
                <w:color w:val="000000" w:themeColor="text1"/>
                <w:sz w:val="16"/>
                <w14:textFill>
                  <w14:solidFill>
                    <w14:schemeClr w14:val="tx1"/>
                  </w14:solidFill>
                </w14:textFill>
              </w:rPr>
              <w:t>作用轴</w:t>
            </w:r>
          </w:p>
        </w:tc>
        <w:tc>
          <w:tcPr>
            <w:tcW w:w="2200" w:type="dxa"/>
            <w:shd w:val="clear" w:color="auto" w:fill="F2F4F7"/>
            <w:tcMar>
              <w:top w:w="80" w:type="dxa"/>
              <w:left w:w="120" w:type="dxa"/>
              <w:bottom w:w="80" w:type="dxa"/>
              <w:right w:w="120" w:type="dxa"/>
            </w:tcMar>
            <w:vAlign w:val="center"/>
          </w:tcPr>
          <w:p w14:paraId="122AAF3D">
            <w:pPr>
              <w:jc w:val="cente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b/>
                <w:color w:val="000000" w:themeColor="text1"/>
                <w:sz w:val="16"/>
                <w14:textFill>
                  <w14:solidFill>
                    <w14:schemeClr w14:val="tx1"/>
                  </w14:solidFill>
                </w14:textFill>
              </w:rPr>
              <w:t>焦距 / 功能</w:t>
            </w:r>
          </w:p>
        </w:tc>
        <w:tc>
          <w:tcPr>
            <w:tcW w:w="4210" w:type="dxa"/>
            <w:shd w:val="clear" w:color="auto" w:fill="F2F4F7"/>
            <w:tcMar>
              <w:top w:w="80" w:type="dxa"/>
              <w:left w:w="120" w:type="dxa"/>
              <w:bottom w:w="80" w:type="dxa"/>
              <w:right w:w="120" w:type="dxa"/>
            </w:tcMar>
            <w:vAlign w:val="center"/>
          </w:tcPr>
          <w:p w14:paraId="5618B885">
            <w:pPr>
              <w:jc w:val="cente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b/>
                <w:color w:val="000000" w:themeColor="text1"/>
                <w:sz w:val="16"/>
                <w14:textFill>
                  <w14:solidFill>
                    <w14:schemeClr w14:val="tx1"/>
                  </w14:solidFill>
                </w14:textFill>
              </w:rPr>
              <w:t>说明</w:t>
            </w:r>
          </w:p>
        </w:tc>
      </w:tr>
      <w:tr w14:paraId="3CE2E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Mar>
              <w:top w:w="80" w:type="dxa"/>
              <w:left w:w="120" w:type="dxa"/>
              <w:bottom w:w="80" w:type="dxa"/>
              <w:right w:w="120" w:type="dxa"/>
            </w:tcMar>
            <w:vAlign w:val="center"/>
          </w:tcPr>
          <w:p w14:paraId="4E1DF6FF">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LASER</w:t>
            </w:r>
          </w:p>
        </w:tc>
        <w:tc>
          <w:tcPr>
            <w:tcW w:w="900" w:type="dxa"/>
            <w:tcMar>
              <w:top w:w="80" w:type="dxa"/>
              <w:left w:w="120" w:type="dxa"/>
              <w:bottom w:w="80" w:type="dxa"/>
              <w:right w:w="120" w:type="dxa"/>
            </w:tcMar>
            <w:vAlign w:val="center"/>
          </w:tcPr>
          <w:p w14:paraId="26B561B7">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0</w:t>
            </w:r>
          </w:p>
        </w:tc>
        <w:tc>
          <w:tcPr>
            <w:tcW w:w="1200" w:type="dxa"/>
            <w:tcMar>
              <w:top w:w="80" w:type="dxa"/>
              <w:left w:w="120" w:type="dxa"/>
              <w:bottom w:w="80" w:type="dxa"/>
              <w:right w:w="120" w:type="dxa"/>
            </w:tcMar>
            <w:vAlign w:val="center"/>
          </w:tcPr>
          <w:p w14:paraId="26AF2404">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w:t>
            </w:r>
          </w:p>
        </w:tc>
        <w:tc>
          <w:tcPr>
            <w:tcW w:w="2200" w:type="dxa"/>
            <w:tcMar>
              <w:top w:w="80" w:type="dxa"/>
              <w:left w:w="120" w:type="dxa"/>
              <w:bottom w:w="80" w:type="dxa"/>
              <w:right w:w="120" w:type="dxa"/>
            </w:tcMar>
            <w:vAlign w:val="center"/>
          </w:tcPr>
          <w:p w14:paraId="78E79A71">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355 nm</w:t>
            </w:r>
          </w:p>
        </w:tc>
        <w:tc>
          <w:tcPr>
            <w:tcW w:w="4210" w:type="dxa"/>
            <w:tcMar>
              <w:top w:w="80" w:type="dxa"/>
              <w:left w:w="120" w:type="dxa"/>
              <w:bottom w:w="80" w:type="dxa"/>
              <w:right w:w="120" w:type="dxa"/>
            </w:tcMar>
            <w:vAlign w:val="center"/>
          </w:tcPr>
          <w:p w14:paraId="419CF5BC">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出口全 1/e² 直径约 1.0 mm</w:t>
            </w:r>
          </w:p>
        </w:tc>
      </w:tr>
      <w:tr w14:paraId="47ABE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Mar>
              <w:top w:w="80" w:type="dxa"/>
              <w:left w:w="120" w:type="dxa"/>
              <w:bottom w:w="80" w:type="dxa"/>
              <w:right w:w="120" w:type="dxa"/>
            </w:tcMar>
            <w:vAlign w:val="center"/>
          </w:tcPr>
          <w:p w14:paraId="7D8813E9">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SBE1</w:t>
            </w:r>
          </w:p>
        </w:tc>
        <w:tc>
          <w:tcPr>
            <w:tcW w:w="900" w:type="dxa"/>
            <w:tcMar>
              <w:top w:w="80" w:type="dxa"/>
              <w:left w:w="120" w:type="dxa"/>
              <w:bottom w:w="80" w:type="dxa"/>
              <w:right w:w="120" w:type="dxa"/>
            </w:tcMar>
            <w:vAlign w:val="center"/>
          </w:tcPr>
          <w:p w14:paraId="0D805E19">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30</w:t>
            </w:r>
          </w:p>
        </w:tc>
        <w:tc>
          <w:tcPr>
            <w:tcW w:w="1200" w:type="dxa"/>
            <w:tcMar>
              <w:top w:w="80" w:type="dxa"/>
              <w:left w:w="120" w:type="dxa"/>
              <w:bottom w:w="80" w:type="dxa"/>
              <w:right w:w="120" w:type="dxa"/>
            </w:tcMar>
            <w:vAlign w:val="center"/>
          </w:tcPr>
          <w:p w14:paraId="3D2A1F92">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X=Y</w:t>
            </w:r>
          </w:p>
        </w:tc>
        <w:tc>
          <w:tcPr>
            <w:tcW w:w="2200" w:type="dxa"/>
            <w:tcMar>
              <w:top w:w="80" w:type="dxa"/>
              <w:left w:w="120" w:type="dxa"/>
              <w:bottom w:w="80" w:type="dxa"/>
              <w:right w:w="120" w:type="dxa"/>
            </w:tcMar>
            <w:vAlign w:val="center"/>
          </w:tcPr>
          <w:p w14:paraId="435FD167">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f=-10 mm</w:t>
            </w:r>
          </w:p>
        </w:tc>
        <w:tc>
          <w:tcPr>
            <w:tcW w:w="4210" w:type="dxa"/>
            <w:tcMar>
              <w:top w:w="80" w:type="dxa"/>
              <w:left w:w="120" w:type="dxa"/>
              <w:bottom w:w="80" w:type="dxa"/>
              <w:right w:w="120" w:type="dxa"/>
            </w:tcMar>
            <w:vAlign w:val="center"/>
          </w:tcPr>
          <w:p w14:paraId="70B5BFB7">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第一光学元件；圆对称负透镜</w:t>
            </w:r>
          </w:p>
        </w:tc>
      </w:tr>
      <w:tr w14:paraId="5D483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Mar>
              <w:top w:w="80" w:type="dxa"/>
              <w:left w:w="120" w:type="dxa"/>
              <w:bottom w:w="80" w:type="dxa"/>
              <w:right w:w="120" w:type="dxa"/>
            </w:tcMar>
            <w:vAlign w:val="center"/>
          </w:tcPr>
          <w:p w14:paraId="5339E467">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SBE2</w:t>
            </w:r>
          </w:p>
        </w:tc>
        <w:tc>
          <w:tcPr>
            <w:tcW w:w="900" w:type="dxa"/>
            <w:tcMar>
              <w:top w:w="80" w:type="dxa"/>
              <w:left w:w="120" w:type="dxa"/>
              <w:bottom w:w="80" w:type="dxa"/>
              <w:right w:w="120" w:type="dxa"/>
            </w:tcMar>
            <w:vAlign w:val="center"/>
          </w:tcPr>
          <w:p w14:paraId="320AC1E5">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80</w:t>
            </w:r>
          </w:p>
        </w:tc>
        <w:tc>
          <w:tcPr>
            <w:tcW w:w="1200" w:type="dxa"/>
            <w:tcMar>
              <w:top w:w="80" w:type="dxa"/>
              <w:left w:w="120" w:type="dxa"/>
              <w:bottom w:w="80" w:type="dxa"/>
              <w:right w:w="120" w:type="dxa"/>
            </w:tcMar>
            <w:vAlign w:val="center"/>
          </w:tcPr>
          <w:p w14:paraId="08E8579C">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X=Y</w:t>
            </w:r>
          </w:p>
        </w:tc>
        <w:tc>
          <w:tcPr>
            <w:tcW w:w="2200" w:type="dxa"/>
            <w:tcMar>
              <w:top w:w="80" w:type="dxa"/>
              <w:left w:w="120" w:type="dxa"/>
              <w:bottom w:w="80" w:type="dxa"/>
              <w:right w:w="120" w:type="dxa"/>
            </w:tcMar>
            <w:vAlign w:val="center"/>
          </w:tcPr>
          <w:p w14:paraId="50065221">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f=+60 mm</w:t>
            </w:r>
          </w:p>
        </w:tc>
        <w:tc>
          <w:tcPr>
            <w:tcW w:w="4210" w:type="dxa"/>
            <w:tcMar>
              <w:top w:w="80" w:type="dxa"/>
              <w:left w:w="120" w:type="dxa"/>
              <w:bottom w:w="80" w:type="dxa"/>
              <w:right w:w="120" w:type="dxa"/>
            </w:tcMar>
            <w:vAlign w:val="center"/>
          </w:tcPr>
          <w:p w14:paraId="65168F07">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与 SBE1 构成唯一圆对称 6× 扩束组</w:t>
            </w:r>
          </w:p>
        </w:tc>
      </w:tr>
      <w:tr w14:paraId="5E5D2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Mar>
              <w:top w:w="80" w:type="dxa"/>
              <w:left w:w="120" w:type="dxa"/>
              <w:bottom w:w="80" w:type="dxa"/>
              <w:right w:w="120" w:type="dxa"/>
            </w:tcMar>
            <w:vAlign w:val="center"/>
          </w:tcPr>
          <w:p w14:paraId="77B0BD36">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CBSM1</w:t>
            </w:r>
          </w:p>
        </w:tc>
        <w:tc>
          <w:tcPr>
            <w:tcW w:w="900" w:type="dxa"/>
            <w:tcMar>
              <w:top w:w="80" w:type="dxa"/>
              <w:left w:w="120" w:type="dxa"/>
              <w:bottom w:w="80" w:type="dxa"/>
              <w:right w:w="120" w:type="dxa"/>
            </w:tcMar>
            <w:vAlign w:val="center"/>
          </w:tcPr>
          <w:p w14:paraId="4C844005">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150</w:t>
            </w:r>
          </w:p>
        </w:tc>
        <w:tc>
          <w:tcPr>
            <w:tcW w:w="1200" w:type="dxa"/>
            <w:tcMar>
              <w:top w:w="80" w:type="dxa"/>
              <w:left w:w="120" w:type="dxa"/>
              <w:bottom w:w="80" w:type="dxa"/>
              <w:right w:w="120" w:type="dxa"/>
            </w:tcMar>
            <w:vAlign w:val="center"/>
          </w:tcPr>
          <w:p w14:paraId="4DD394CB">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X</w:t>
            </w:r>
          </w:p>
        </w:tc>
        <w:tc>
          <w:tcPr>
            <w:tcW w:w="2200" w:type="dxa"/>
            <w:tcMar>
              <w:top w:w="80" w:type="dxa"/>
              <w:left w:w="120" w:type="dxa"/>
              <w:bottom w:w="80" w:type="dxa"/>
              <w:right w:w="120" w:type="dxa"/>
            </w:tcMar>
            <w:vAlign w:val="center"/>
          </w:tcPr>
          <w:p w14:paraId="7606CEE0">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强度映射</w:t>
            </w:r>
          </w:p>
        </w:tc>
        <w:tc>
          <w:tcPr>
            <w:tcW w:w="4210" w:type="dxa"/>
            <w:tcMar>
              <w:top w:w="80" w:type="dxa"/>
              <w:left w:w="120" w:type="dxa"/>
              <w:bottom w:w="80" w:type="dxa"/>
              <w:right w:w="120" w:type="dxa"/>
            </w:tcMar>
            <w:vAlign w:val="center"/>
          </w:tcPr>
          <w:p w14:paraId="26B0E4AA">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HOLO/OR 定制模块第一元件</w:t>
            </w:r>
          </w:p>
        </w:tc>
      </w:tr>
      <w:tr w14:paraId="11886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Mar>
              <w:top w:w="80" w:type="dxa"/>
              <w:left w:w="120" w:type="dxa"/>
              <w:bottom w:w="80" w:type="dxa"/>
              <w:right w:w="120" w:type="dxa"/>
            </w:tcMar>
            <w:vAlign w:val="center"/>
          </w:tcPr>
          <w:p w14:paraId="3F76FBAB">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CBSM2</w:t>
            </w:r>
          </w:p>
        </w:tc>
        <w:tc>
          <w:tcPr>
            <w:tcW w:w="900" w:type="dxa"/>
            <w:tcMar>
              <w:top w:w="80" w:type="dxa"/>
              <w:left w:w="120" w:type="dxa"/>
              <w:bottom w:w="80" w:type="dxa"/>
              <w:right w:w="120" w:type="dxa"/>
            </w:tcMar>
            <w:vAlign w:val="center"/>
          </w:tcPr>
          <w:p w14:paraId="2A247D65">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220</w:t>
            </w:r>
          </w:p>
        </w:tc>
        <w:tc>
          <w:tcPr>
            <w:tcW w:w="1200" w:type="dxa"/>
            <w:tcMar>
              <w:top w:w="80" w:type="dxa"/>
              <w:left w:w="120" w:type="dxa"/>
              <w:bottom w:w="80" w:type="dxa"/>
              <w:right w:w="120" w:type="dxa"/>
            </w:tcMar>
            <w:vAlign w:val="center"/>
          </w:tcPr>
          <w:p w14:paraId="07F322DA">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X</w:t>
            </w:r>
          </w:p>
        </w:tc>
        <w:tc>
          <w:tcPr>
            <w:tcW w:w="2200" w:type="dxa"/>
            <w:tcMar>
              <w:top w:w="80" w:type="dxa"/>
              <w:left w:w="120" w:type="dxa"/>
              <w:bottom w:w="80" w:type="dxa"/>
              <w:right w:w="120" w:type="dxa"/>
            </w:tcMar>
            <w:vAlign w:val="center"/>
          </w:tcPr>
          <w:p w14:paraId="3E1512CB">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相位展平</w:t>
            </w:r>
          </w:p>
        </w:tc>
        <w:tc>
          <w:tcPr>
            <w:tcW w:w="4210" w:type="dxa"/>
            <w:tcMar>
              <w:top w:w="80" w:type="dxa"/>
              <w:left w:w="120" w:type="dxa"/>
              <w:bottom w:w="80" w:type="dxa"/>
              <w:right w:w="120" w:type="dxa"/>
            </w:tcMar>
            <w:vAlign w:val="center"/>
          </w:tcPr>
          <w:p w14:paraId="13D07BD1">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HOLO/OR 定制模块第二元件</w:t>
            </w:r>
          </w:p>
        </w:tc>
      </w:tr>
      <w:tr w14:paraId="6D651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Mar>
              <w:top w:w="80" w:type="dxa"/>
              <w:left w:w="120" w:type="dxa"/>
              <w:bottom w:w="80" w:type="dxa"/>
              <w:right w:w="120" w:type="dxa"/>
            </w:tcMar>
            <w:vAlign w:val="center"/>
          </w:tcPr>
          <w:p w14:paraId="497DD4B9">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YBE1</w:t>
            </w:r>
          </w:p>
        </w:tc>
        <w:tc>
          <w:tcPr>
            <w:tcW w:w="900" w:type="dxa"/>
            <w:tcMar>
              <w:top w:w="80" w:type="dxa"/>
              <w:left w:w="120" w:type="dxa"/>
              <w:bottom w:w="80" w:type="dxa"/>
              <w:right w:w="120" w:type="dxa"/>
            </w:tcMar>
            <w:vAlign w:val="center"/>
          </w:tcPr>
          <w:p w14:paraId="0B357227">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250</w:t>
            </w:r>
          </w:p>
        </w:tc>
        <w:tc>
          <w:tcPr>
            <w:tcW w:w="1200" w:type="dxa"/>
            <w:tcMar>
              <w:top w:w="80" w:type="dxa"/>
              <w:left w:w="120" w:type="dxa"/>
              <w:bottom w:w="80" w:type="dxa"/>
              <w:right w:w="120" w:type="dxa"/>
            </w:tcMar>
            <w:vAlign w:val="center"/>
          </w:tcPr>
          <w:p w14:paraId="38A2BDD3">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Y</w:t>
            </w:r>
          </w:p>
        </w:tc>
        <w:tc>
          <w:tcPr>
            <w:tcW w:w="2200" w:type="dxa"/>
            <w:tcMar>
              <w:top w:w="80" w:type="dxa"/>
              <w:left w:w="120" w:type="dxa"/>
              <w:bottom w:w="80" w:type="dxa"/>
              <w:right w:w="120" w:type="dxa"/>
            </w:tcMar>
            <w:vAlign w:val="center"/>
          </w:tcPr>
          <w:p w14:paraId="0865B0D6">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fY=-20 mm</w:t>
            </w:r>
          </w:p>
        </w:tc>
        <w:tc>
          <w:tcPr>
            <w:tcW w:w="4210" w:type="dxa"/>
            <w:tcMar>
              <w:top w:w="80" w:type="dxa"/>
              <w:left w:w="120" w:type="dxa"/>
              <w:bottom w:w="80" w:type="dxa"/>
              <w:right w:w="120" w:type="dxa"/>
            </w:tcMar>
            <w:vAlign w:val="center"/>
          </w:tcPr>
          <w:p w14:paraId="1AB93B69">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Y 向负柱面镜</w:t>
            </w:r>
          </w:p>
        </w:tc>
      </w:tr>
      <w:tr w14:paraId="26E44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Mar>
              <w:top w:w="80" w:type="dxa"/>
              <w:left w:w="120" w:type="dxa"/>
              <w:bottom w:w="80" w:type="dxa"/>
              <w:right w:w="120" w:type="dxa"/>
            </w:tcMar>
            <w:vAlign w:val="center"/>
          </w:tcPr>
          <w:p w14:paraId="6F6DD997">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YBE2</w:t>
            </w:r>
          </w:p>
        </w:tc>
        <w:tc>
          <w:tcPr>
            <w:tcW w:w="900" w:type="dxa"/>
            <w:tcMar>
              <w:top w:w="80" w:type="dxa"/>
              <w:left w:w="120" w:type="dxa"/>
              <w:bottom w:w="80" w:type="dxa"/>
              <w:right w:w="120" w:type="dxa"/>
            </w:tcMar>
            <w:vAlign w:val="center"/>
          </w:tcPr>
          <w:p w14:paraId="654C5121">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410.8</w:t>
            </w:r>
          </w:p>
        </w:tc>
        <w:tc>
          <w:tcPr>
            <w:tcW w:w="1200" w:type="dxa"/>
            <w:tcMar>
              <w:top w:w="80" w:type="dxa"/>
              <w:left w:w="120" w:type="dxa"/>
              <w:bottom w:w="80" w:type="dxa"/>
              <w:right w:w="120" w:type="dxa"/>
            </w:tcMar>
            <w:vAlign w:val="center"/>
          </w:tcPr>
          <w:p w14:paraId="235F3026">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Y</w:t>
            </w:r>
          </w:p>
        </w:tc>
        <w:tc>
          <w:tcPr>
            <w:tcW w:w="2200" w:type="dxa"/>
            <w:tcMar>
              <w:top w:w="80" w:type="dxa"/>
              <w:left w:w="120" w:type="dxa"/>
              <w:bottom w:w="80" w:type="dxa"/>
              <w:right w:w="120" w:type="dxa"/>
            </w:tcMar>
            <w:vAlign w:val="center"/>
          </w:tcPr>
          <w:p w14:paraId="150D0BFA">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fY=+180.8 mm</w:t>
            </w:r>
          </w:p>
        </w:tc>
        <w:tc>
          <w:tcPr>
            <w:tcW w:w="4210" w:type="dxa"/>
            <w:tcMar>
              <w:top w:w="80" w:type="dxa"/>
              <w:left w:w="120" w:type="dxa"/>
              <w:bottom w:w="80" w:type="dxa"/>
              <w:right w:w="120" w:type="dxa"/>
            </w:tcMar>
            <w:vAlign w:val="center"/>
          </w:tcPr>
          <w:p w14:paraId="128168ED">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Y 向 9.040× 扩束</w:t>
            </w:r>
          </w:p>
        </w:tc>
      </w:tr>
      <w:tr w14:paraId="21B97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Mar>
              <w:top w:w="80" w:type="dxa"/>
              <w:left w:w="120" w:type="dxa"/>
              <w:bottom w:w="80" w:type="dxa"/>
              <w:right w:w="120" w:type="dxa"/>
            </w:tcMar>
            <w:vAlign w:val="center"/>
          </w:tcPr>
          <w:p w14:paraId="19E405AB">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CXC1</w:t>
            </w:r>
          </w:p>
        </w:tc>
        <w:tc>
          <w:tcPr>
            <w:tcW w:w="900" w:type="dxa"/>
            <w:tcMar>
              <w:top w:w="80" w:type="dxa"/>
              <w:left w:w="120" w:type="dxa"/>
              <w:bottom w:w="80" w:type="dxa"/>
              <w:right w:w="120" w:type="dxa"/>
            </w:tcMar>
            <w:vAlign w:val="center"/>
          </w:tcPr>
          <w:p w14:paraId="592D9FBB">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430</w:t>
            </w:r>
          </w:p>
        </w:tc>
        <w:tc>
          <w:tcPr>
            <w:tcW w:w="1200" w:type="dxa"/>
            <w:tcMar>
              <w:top w:w="80" w:type="dxa"/>
              <w:left w:w="120" w:type="dxa"/>
              <w:bottom w:w="80" w:type="dxa"/>
              <w:right w:w="120" w:type="dxa"/>
            </w:tcMar>
            <w:vAlign w:val="center"/>
          </w:tcPr>
          <w:p w14:paraId="5C83D583">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X</w:t>
            </w:r>
          </w:p>
        </w:tc>
        <w:tc>
          <w:tcPr>
            <w:tcW w:w="2200" w:type="dxa"/>
            <w:tcMar>
              <w:top w:w="80" w:type="dxa"/>
              <w:left w:w="120" w:type="dxa"/>
              <w:bottom w:w="80" w:type="dxa"/>
              <w:right w:w="120" w:type="dxa"/>
            </w:tcMar>
            <w:vAlign w:val="center"/>
          </w:tcPr>
          <w:p w14:paraId="63AC6FB6">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fX=+160 mm</w:t>
            </w:r>
          </w:p>
        </w:tc>
        <w:tc>
          <w:tcPr>
            <w:tcW w:w="4210" w:type="dxa"/>
            <w:tcMar>
              <w:top w:w="80" w:type="dxa"/>
              <w:left w:w="120" w:type="dxa"/>
              <w:bottom w:w="80" w:type="dxa"/>
              <w:right w:w="120" w:type="dxa"/>
            </w:tcMar>
            <w:vAlign w:val="center"/>
          </w:tcPr>
          <w:p w14:paraId="67FD4C9F">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X 无焦缩束第一片</w:t>
            </w:r>
          </w:p>
        </w:tc>
      </w:tr>
      <w:tr w14:paraId="21302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Mar>
              <w:top w:w="80" w:type="dxa"/>
              <w:left w:w="120" w:type="dxa"/>
              <w:bottom w:w="80" w:type="dxa"/>
              <w:right w:w="120" w:type="dxa"/>
            </w:tcMar>
            <w:vAlign w:val="center"/>
          </w:tcPr>
          <w:p w14:paraId="3A7DA335">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CXC2</w:t>
            </w:r>
          </w:p>
        </w:tc>
        <w:tc>
          <w:tcPr>
            <w:tcW w:w="900" w:type="dxa"/>
            <w:tcMar>
              <w:top w:w="80" w:type="dxa"/>
              <w:left w:w="120" w:type="dxa"/>
              <w:bottom w:w="80" w:type="dxa"/>
              <w:right w:w="120" w:type="dxa"/>
            </w:tcMar>
            <w:vAlign w:val="center"/>
          </w:tcPr>
          <w:p w14:paraId="40B319FC">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550</w:t>
            </w:r>
          </w:p>
        </w:tc>
        <w:tc>
          <w:tcPr>
            <w:tcW w:w="1200" w:type="dxa"/>
            <w:tcMar>
              <w:top w:w="80" w:type="dxa"/>
              <w:left w:w="120" w:type="dxa"/>
              <w:bottom w:w="80" w:type="dxa"/>
              <w:right w:w="120" w:type="dxa"/>
            </w:tcMar>
            <w:vAlign w:val="center"/>
          </w:tcPr>
          <w:p w14:paraId="5B2DC3F7">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X</w:t>
            </w:r>
          </w:p>
        </w:tc>
        <w:tc>
          <w:tcPr>
            <w:tcW w:w="2200" w:type="dxa"/>
            <w:tcMar>
              <w:top w:w="80" w:type="dxa"/>
              <w:left w:w="120" w:type="dxa"/>
              <w:bottom w:w="80" w:type="dxa"/>
              <w:right w:w="120" w:type="dxa"/>
            </w:tcMar>
            <w:vAlign w:val="center"/>
          </w:tcPr>
          <w:p w14:paraId="5EF8F0A0">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fX=-40 mm</w:t>
            </w:r>
          </w:p>
        </w:tc>
        <w:tc>
          <w:tcPr>
            <w:tcW w:w="4210" w:type="dxa"/>
            <w:tcMar>
              <w:top w:w="80" w:type="dxa"/>
              <w:left w:w="120" w:type="dxa"/>
              <w:bottom w:w="80" w:type="dxa"/>
              <w:right w:w="120" w:type="dxa"/>
            </w:tcMar>
            <w:vAlign w:val="center"/>
          </w:tcPr>
          <w:p w14:paraId="1369CEAD">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与 CXC1 间距 120 mm</w:t>
            </w:r>
          </w:p>
        </w:tc>
      </w:tr>
      <w:tr w14:paraId="03DEB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Mar>
              <w:top w:w="80" w:type="dxa"/>
              <w:left w:w="120" w:type="dxa"/>
              <w:bottom w:w="80" w:type="dxa"/>
              <w:right w:w="120" w:type="dxa"/>
            </w:tcMar>
            <w:vAlign w:val="center"/>
          </w:tcPr>
          <w:p w14:paraId="3FFB8526">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YFL</w:t>
            </w:r>
          </w:p>
        </w:tc>
        <w:tc>
          <w:tcPr>
            <w:tcW w:w="900" w:type="dxa"/>
            <w:tcMar>
              <w:top w:w="80" w:type="dxa"/>
              <w:left w:w="120" w:type="dxa"/>
              <w:bottom w:w="80" w:type="dxa"/>
              <w:right w:w="120" w:type="dxa"/>
            </w:tcMar>
            <w:vAlign w:val="center"/>
          </w:tcPr>
          <w:p w14:paraId="02A47299">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600</w:t>
            </w:r>
          </w:p>
        </w:tc>
        <w:tc>
          <w:tcPr>
            <w:tcW w:w="1200" w:type="dxa"/>
            <w:tcMar>
              <w:top w:w="80" w:type="dxa"/>
              <w:left w:w="120" w:type="dxa"/>
              <w:bottom w:w="80" w:type="dxa"/>
              <w:right w:w="120" w:type="dxa"/>
            </w:tcMar>
            <w:vAlign w:val="center"/>
          </w:tcPr>
          <w:p w14:paraId="28BF9232">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Y only</w:t>
            </w:r>
          </w:p>
        </w:tc>
        <w:tc>
          <w:tcPr>
            <w:tcW w:w="2200" w:type="dxa"/>
            <w:tcMar>
              <w:top w:w="80" w:type="dxa"/>
              <w:left w:w="120" w:type="dxa"/>
              <w:bottom w:w="80" w:type="dxa"/>
              <w:right w:w="120" w:type="dxa"/>
            </w:tcMar>
            <w:vAlign w:val="center"/>
          </w:tcPr>
          <w:p w14:paraId="6AB9B0DB">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fY=+100 mm；fX=∞</w:t>
            </w:r>
          </w:p>
        </w:tc>
        <w:tc>
          <w:tcPr>
            <w:tcW w:w="4210" w:type="dxa"/>
            <w:tcMar>
              <w:top w:w="80" w:type="dxa"/>
              <w:left w:w="120" w:type="dxa"/>
              <w:bottom w:w="80" w:type="dxa"/>
              <w:right w:w="120" w:type="dxa"/>
            </w:tcMar>
            <w:vAlign w:val="center"/>
          </w:tcPr>
          <w:p w14:paraId="6EE6B9D6">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最终镜只对 Y 聚焦；X 光焦度=0</w:t>
            </w:r>
          </w:p>
        </w:tc>
      </w:tr>
      <w:tr w14:paraId="1782E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Mar>
              <w:top w:w="80" w:type="dxa"/>
              <w:left w:w="120" w:type="dxa"/>
              <w:bottom w:w="80" w:type="dxa"/>
              <w:right w:w="120" w:type="dxa"/>
            </w:tcMar>
            <w:vAlign w:val="center"/>
          </w:tcPr>
          <w:p w14:paraId="63D54D66">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TARGET</w:t>
            </w:r>
          </w:p>
        </w:tc>
        <w:tc>
          <w:tcPr>
            <w:tcW w:w="900" w:type="dxa"/>
            <w:tcMar>
              <w:top w:w="80" w:type="dxa"/>
              <w:left w:w="120" w:type="dxa"/>
              <w:bottom w:w="80" w:type="dxa"/>
              <w:right w:w="120" w:type="dxa"/>
            </w:tcMar>
            <w:vAlign w:val="center"/>
          </w:tcPr>
          <w:p w14:paraId="0869A0AF">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700</w:t>
            </w:r>
          </w:p>
        </w:tc>
        <w:tc>
          <w:tcPr>
            <w:tcW w:w="1200" w:type="dxa"/>
            <w:tcMar>
              <w:top w:w="80" w:type="dxa"/>
              <w:left w:w="120" w:type="dxa"/>
              <w:bottom w:w="80" w:type="dxa"/>
              <w:right w:w="120" w:type="dxa"/>
            </w:tcMar>
            <w:vAlign w:val="center"/>
          </w:tcPr>
          <w:p w14:paraId="2A6EAB34">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w:t>
            </w:r>
          </w:p>
        </w:tc>
        <w:tc>
          <w:tcPr>
            <w:tcW w:w="2200" w:type="dxa"/>
            <w:tcMar>
              <w:top w:w="80" w:type="dxa"/>
              <w:left w:w="120" w:type="dxa"/>
              <w:bottom w:w="80" w:type="dxa"/>
              <w:right w:w="120" w:type="dxa"/>
            </w:tcMar>
            <w:vAlign w:val="center"/>
          </w:tcPr>
          <w:p w14:paraId="7EAC7CAB">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工作面</w:t>
            </w:r>
          </w:p>
        </w:tc>
        <w:tc>
          <w:tcPr>
            <w:tcW w:w="4210" w:type="dxa"/>
            <w:tcMar>
              <w:top w:w="80" w:type="dxa"/>
              <w:left w:w="120" w:type="dxa"/>
              <w:bottom w:w="80" w:type="dxa"/>
              <w:right w:w="120" w:type="dxa"/>
            </w:tcMar>
            <w:vAlign w:val="center"/>
          </w:tcPr>
          <w:p w14:paraId="60EC6C8D">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6"/>
                <w14:textFill>
                  <w14:solidFill>
                    <w14:schemeClr w14:val="tx1"/>
                  </w14:solidFill>
                </w14:textFill>
              </w:rPr>
              <w:t>X 1.5 mm 近似平行；Y 1.0 µm</w:t>
            </w:r>
          </w:p>
        </w:tc>
      </w:tr>
    </w:tbl>
    <w:p w14:paraId="6AA14823">
      <w:pPr>
        <w:spacing w:after="0"/>
        <w:rPr>
          <w:rFonts w:hint="eastAsia" w:ascii="微软雅黑" w:hAnsi="微软雅黑" w:eastAsia="微软雅黑" w:cs="微软雅黑"/>
          <w:color w:val="000000" w:themeColor="text1"/>
          <w14:textFill>
            <w14:solidFill>
              <w14:schemeClr w14:val="tx1"/>
            </w14:solidFill>
          </w14:textFill>
        </w:rPr>
      </w:pPr>
    </w:p>
    <w:p w14:paraId="460D66FF">
      <w:pP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z=600 mm 的元件必须在采购图和装调图中标注为 YFL，而不是 XFL/YFL。其柱轴方向应使 X 平面看到平行平板或零功率通道；不允许在 X 方向引入 f=100 mm 的二次相位</w:t>
      </w:r>
    </w:p>
    <w:p w14:paraId="4E46C44C">
      <w:pPr>
        <w:pStyle w:val="3"/>
        <w:keepNext/>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4. XZ / YZ 光路图</w:t>
      </w:r>
    </w:p>
    <w:p w14:paraId="59C4370C">
      <w:pPr>
        <w:pStyle w:val="4"/>
        <w:keepNext/>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4.1 XZ 平面：X 近似平行光</w:t>
      </w:r>
    </w:p>
    <w:p w14:paraId="6098BA9A">
      <w:pPr>
        <w:keepNext/>
        <w:jc w:val="cente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drawing>
          <wp:inline distT="0" distB="0" distL="114300" distR="114300">
            <wp:extent cx="5897880" cy="2635885"/>
            <wp:effectExtent l="0" t="0" r="7620" b="5715"/>
            <wp:docPr id="1" name="Picture 1" descr="图 1  最终 HOLO/OR 准直线光方案 XZ 光路。YFL 为虚线，表示 X 光焦度为 0。" title="图 1  最终 HOLO/OR 准直线光方案 XZ 光路。YFL 为虚线，表示 X 光焦度为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图 1  最终 HOLO/OR 准直线光方案 XZ 光路。YFL 为虚线，表示 X 光焦度为 0。" title="图 1  最终 HOLO/OR 准直线光方案 XZ 光路。YFL 为虚线，表示 X 光焦度为 0。"/>
                    <pic:cNvPicPr>
                      <a:picLocks noChangeAspect="1"/>
                    </pic:cNvPicPr>
                  </pic:nvPicPr>
                  <pic:blipFill>
                    <a:blip r:embed="rId8"/>
                    <a:stretch>
                      <a:fillRect/>
                    </a:stretch>
                  </pic:blipFill>
                  <pic:spPr>
                    <a:xfrm>
                      <a:off x="0" y="0"/>
                      <a:ext cx="5897880" cy="2636286"/>
                    </a:xfrm>
                    <a:prstGeom prst="rect">
                      <a:avLst/>
                    </a:prstGeom>
                  </pic:spPr>
                </pic:pic>
              </a:graphicData>
            </a:graphic>
          </wp:inline>
        </w:drawing>
      </w:r>
    </w:p>
    <w:p w14:paraId="1FF754D2">
      <w:pPr>
        <w:spacing w:after="160"/>
        <w:jc w:val="cente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图 1  最终 HOLO/OR 准直线光方案 XZ 光路。YFL 为虚线，表示 X 光焦度为 0。</w:t>
      </w:r>
    </w:p>
    <w:p w14:paraId="06F7AE36">
      <w:pP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SBE1/SBE2 将 X 从 1 mm 扩到 6 mm。CBSM1/CBSM2 后 X 保持准直；CXC1/CXC2 只做一次无焦缩束，z=550 mm 后到目标面保持约 1.5 mm。</w:t>
      </w:r>
      <w:r>
        <w:rPr>
          <w:rFonts w:hint="eastAsia" w:ascii="微软雅黑" w:hAnsi="微软雅黑" w:eastAsia="微软雅黑" w:cs="微软雅黑"/>
          <w:color w:val="000000" w:themeColor="text1"/>
          <w14:textFill>
            <w14:solidFill>
              <w14:schemeClr w14:val="tx1"/>
            </w14:solidFill>
          </w14:textFill>
        </w:rPr>
        <w:br w:type="page"/>
      </w:r>
    </w:p>
    <w:p w14:paraId="11BCAB2B">
      <w:pPr>
        <w:pStyle w:val="4"/>
        <w:keepNext/>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4.2 YZ 平面：Y 向 100 mm 工作距离聚焦</w:t>
      </w:r>
    </w:p>
    <w:p w14:paraId="15D96240">
      <w:pPr>
        <w:keepNext/>
        <w:jc w:val="cente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drawing>
          <wp:inline distT="0" distB="0" distL="114300" distR="114300">
            <wp:extent cx="5897880" cy="2635885"/>
            <wp:effectExtent l="0" t="0" r="7620" b="5715"/>
            <wp:docPr id="2" name="Picture 2" descr="图 2  最终方案 YZ 光路。YBE1/YBE2 扩束，YFL 在 100 mm 后把 Y 聚焦到 1.0 µm。" title="图 2  最终方案 YZ 光路。YBE1/YBE2 扩束，YFL 在 100 mm 后把 Y 聚焦到 1.0 µ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 2  最终方案 YZ 光路。YBE1/YBE2 扩束，YFL 在 100 mm 后把 Y 聚焦到 1.0 µm。" title="图 2  最终方案 YZ 光路。YBE1/YBE2 扩束，YFL 在 100 mm 后把 Y 聚焦到 1.0 µm。"/>
                    <pic:cNvPicPr>
                      <a:picLocks noChangeAspect="1"/>
                    </pic:cNvPicPr>
                  </pic:nvPicPr>
                  <pic:blipFill>
                    <a:blip r:embed="rId9"/>
                    <a:stretch>
                      <a:fillRect/>
                    </a:stretch>
                  </pic:blipFill>
                  <pic:spPr>
                    <a:xfrm>
                      <a:off x="0" y="0"/>
                      <a:ext cx="5897880" cy="2636286"/>
                    </a:xfrm>
                    <a:prstGeom prst="rect">
                      <a:avLst/>
                    </a:prstGeom>
                  </pic:spPr>
                </pic:pic>
              </a:graphicData>
            </a:graphic>
          </wp:inline>
        </w:drawing>
      </w:r>
    </w:p>
    <w:p w14:paraId="5F0CD398">
      <w:pPr>
        <w:spacing w:after="160"/>
        <w:jc w:val="cente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图 2  最终方案 YZ 光路。YBE1/YBE2 扩束，YFL 在 100 mm 后把 Y 聚焦到 1.0 µm。</w:t>
      </w:r>
    </w:p>
    <w:p w14:paraId="2194C722">
      <w:pP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由 dY=4M²λfY/(πDY) 得 DY=54.24 mm；留 10% 余量时 YFL 建议有效口径不小于 59.66 mm。该大口径只发生在 Y 方向，X 方向不跟随 Y 扩束，因此无需把所有元件做成约 60 mm 的圆口径。</w:t>
      </w:r>
    </w:p>
    <w:p w14:paraId="2F361D6E">
      <w:pP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br w:type="page"/>
      </w:r>
    </w:p>
    <w:p w14:paraId="7DA71E87">
      <w:pPr>
        <w:pStyle w:val="3"/>
        <w:keepNext/>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5. 模型原理与相位证据</w:t>
      </w:r>
    </w:p>
    <w:p w14:paraId="545EE496">
      <w:pPr>
        <w:pStyle w:val="4"/>
        <w:keepNext/>
        <w:rPr>
          <w:color w:val="000000" w:themeColor="text1"/>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5.1 DOE 的相位调制机理</w:t>
      </w:r>
    </w:p>
    <w:p w14:paraId="347DCB9B">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HOLO/OR 的 DOE（Diffractive Optical Element）是透明基底上的微结构相位元件。它不是通过吸收刻出强度图案，而是利用表面浮雕高度产生空间变化的光程差，对入射高斯光束的复振幅相位进行编码；后续自由传播或透镜的傅里叶变换再把相位调制转换为目标强度分布。</w:t>
      </w:r>
    </w:p>
    <w:p w14:paraId="037A837C">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3158490" cy="245110"/>
            <wp:effectExtent l="0" t="0" r="3810" b="0"/>
            <wp:docPr id="5" name="Picture 5" descr="LaTeX equation: U_0(x,y)=A_0(x,y)\exp\!\left[i\phi_0(x,y)\right]" title="Equatio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aTeX equation: U_0(x,y)=A_0(x,y)\exp\!\left[i\phi_0(x,y)\right]" title="Equation 5-1"/>
                    <pic:cNvPicPr>
                      <a:picLocks noChangeAspect="1"/>
                    </pic:cNvPicPr>
                  </pic:nvPicPr>
                  <pic:blipFill>
                    <a:blip r:embed="rId10"/>
                    <a:stretch>
                      <a:fillRect/>
                    </a:stretch>
                  </pic:blipFill>
                  <pic:spPr>
                    <a:xfrm>
                      <a:off x="0" y="0"/>
                      <a:ext cx="3158836" cy="245225"/>
                    </a:xfrm>
                    <a:prstGeom prst="rect">
                      <a:avLst/>
                    </a:prstGeom>
                  </pic:spPr>
                </pic:pic>
              </a:graphicData>
            </a:graphic>
          </wp:inline>
        </w:drawing>
      </w:r>
    </w:p>
    <w:p w14:paraId="51FA64AD">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U_0(x,y)=A_0(x,y)\exp\!\left[i\phi_0(x,y)\right]</w:t>
      </w:r>
    </w:p>
    <w:p w14:paraId="5267A1D6">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2859405" cy="245110"/>
            <wp:effectExtent l="0" t="0" r="10795" b="0"/>
            <wp:docPr id="6" name="Picture 6" descr="LaTeX equation: t_{\mathrm{DOE}}(x,y)=\exp\!\left[i\phi_{\mathrm{DOE}}(x,y)\right]" title="Equatio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aTeX equation: t_{\mathrm{DOE}}(x,y)=\exp\!\left[i\phi_{\mathrm{DOE}}(x,y)\right]" title="Equation 5-2"/>
                    <pic:cNvPicPr>
                      <a:picLocks noChangeAspect="1"/>
                    </pic:cNvPicPr>
                  </pic:nvPicPr>
                  <pic:blipFill>
                    <a:blip r:embed="rId11"/>
                    <a:stretch>
                      <a:fillRect/>
                    </a:stretch>
                  </pic:blipFill>
                  <pic:spPr>
                    <a:xfrm>
                      <a:off x="0" y="0"/>
                      <a:ext cx="2859578" cy="245225"/>
                    </a:xfrm>
                    <a:prstGeom prst="rect">
                      <a:avLst/>
                    </a:prstGeom>
                  </pic:spPr>
                </pic:pic>
              </a:graphicData>
            </a:graphic>
          </wp:inline>
        </w:drawing>
      </w:r>
    </w:p>
    <w:p w14:paraId="089737F2">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t_{\mathrm{DOE}}(x,y)=\exp\!\left[i\phi_{\mathrm{DOE}}(x,y)\right]</w:t>
      </w:r>
    </w:p>
    <w:p w14:paraId="5A381A86">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2854960" cy="269875"/>
            <wp:effectExtent l="0" t="0" r="0" b="0"/>
            <wp:docPr id="7" name="Picture 7" descr="LaTeX equation: U_0^{+}(x,y)=U_0(x,y)t_{\mathrm{DOE}}(x,y)" title="Equatio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aTeX equation: U_0^{+}(x,y)=U_0(x,y)t_{\mathrm{DOE}}(x,y)" title="Equation 5-3"/>
                    <pic:cNvPicPr>
                      <a:picLocks noChangeAspect="1"/>
                    </pic:cNvPicPr>
                  </pic:nvPicPr>
                  <pic:blipFill>
                    <a:blip r:embed="rId12"/>
                    <a:stretch>
                      <a:fillRect/>
                    </a:stretch>
                  </pic:blipFill>
                  <pic:spPr>
                    <a:xfrm>
                      <a:off x="0" y="0"/>
                      <a:ext cx="2855421" cy="270163"/>
                    </a:xfrm>
                    <a:prstGeom prst="rect">
                      <a:avLst/>
                    </a:prstGeom>
                  </pic:spPr>
                </pic:pic>
              </a:graphicData>
            </a:graphic>
          </wp:inline>
        </w:drawing>
      </w:r>
    </w:p>
    <w:p w14:paraId="7E24B3EF">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U_0^{+}(x,y)=U_0(x,y)t_{\mathrm{DOE}}(x,y)</w:t>
      </w:r>
    </w:p>
    <w:p w14:paraId="18E8DE7C">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若 DOE 浮雕高度为 h(x,y)，基底折射率为 n(λ)，空气折射率近似为 1，则薄元件近似下的相位延迟为：</w:t>
      </w:r>
    </w:p>
    <w:p w14:paraId="3795B1DE">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3773805" cy="315595"/>
            <wp:effectExtent l="0" t="0" r="0" b="0"/>
            <wp:docPr id="8" name="Picture 8" descr="LaTeX equation: \phi_{\mathrm{DOE}}(x,y)=\frac{2\pi}{\lambda}\left[n(\lambda)-1\right]h(x,y)\pmod{2\pi}" title="Equatio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aTeX equation: \phi_{\mathrm{DOE}}(x,y)=\frac{2\pi}{\lambda}\left[n(\lambda)-1\right]h(x,y)\pmod{2\pi}" title="Equation 5-4"/>
                    <pic:cNvPicPr>
                      <a:picLocks noChangeAspect="1"/>
                    </pic:cNvPicPr>
                  </pic:nvPicPr>
                  <pic:blipFill>
                    <a:blip r:embed="rId13"/>
                    <a:stretch>
                      <a:fillRect/>
                    </a:stretch>
                  </pic:blipFill>
                  <pic:spPr>
                    <a:xfrm>
                      <a:off x="0" y="0"/>
                      <a:ext cx="3773978" cy="315883"/>
                    </a:xfrm>
                    <a:prstGeom prst="rect">
                      <a:avLst/>
                    </a:prstGeom>
                  </pic:spPr>
                </pic:pic>
              </a:graphicData>
            </a:graphic>
          </wp:inline>
        </w:drawing>
      </w:r>
    </w:p>
    <w:p w14:paraId="02C8BF2C">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\phi_{\mathrm{DOE}}(x,y)=\frac{2\pi}{\lambda}\left[n(\lambda)-1\right]h(x,y)\pmod{2\pi}</w:t>
      </w:r>
    </w:p>
    <w:p w14:paraId="3C8B642C">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HOLO/OR 公开说明其 DOE 使用光刻和等离子刻蚀制造相位台阶。实际产品可采用连续或多级量化相位；量化、刻蚀深度误差、零级光和高阶衍射会影响效率和均匀度，但理想仿真首先按纯相位、近乎无吸收元件处理。</w:t>
      </w:r>
    </w:p>
    <w:p w14:paraId="78FC3055">
      <w:pPr>
        <w:pStyle w:val="4"/>
        <w:keepNext/>
        <w:rPr>
          <w:color w:val="000000" w:themeColor="text1"/>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5.2 HOLO/OR 双元件准直整形方案</w:t>
      </w:r>
    </w:p>
    <w:p w14:paraId="31996048">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本方案需要 HOLO/OR Collimated Beam Shaper Module 的定制线形版本。依据厂商公开的双元件原理，第一元件把高斯能量重新映射为线形平顶振幅，并在第二元件所在平面形成所需强度；第二元件补偿该平面的残余相位，使模块出口同时满足平顶强度和近似平坦波前。</w:t>
      </w:r>
    </w:p>
    <w:p w14:paraId="266FFC35">
      <w:pPr>
        <w:spacing w:before="8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4125595" cy="393065"/>
            <wp:effectExtent l="0" t="0" r="1905" b="0"/>
            <wp:docPr id="27" name="Picture 27" descr="LaTeX equation: U_1^{+}=U_{\mathrm{in}}e^{i\phi_1},\qquad U_2^{-}=\mathcal{P}_{L}\!\left\{U_1^{+}\right\}" title="Equatio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aTeX equation: U_1^{+}=U_{\mathrm{in}}e^{i\phi_1},\qquad U_2^{-}=\mathcal{P}_{L}\!\left\{U_1^{+}\right\}" title="Equation 5-5"/>
                    <pic:cNvPicPr>
                      <a:picLocks noChangeAspect="1"/>
                    </pic:cNvPicPr>
                  </pic:nvPicPr>
                  <pic:blipFill>
                    <a:blip r:embed="rId14"/>
                    <a:stretch>
                      <a:fillRect/>
                    </a:stretch>
                  </pic:blipFill>
                  <pic:spPr>
                    <a:xfrm>
                      <a:off x="0" y="0"/>
                      <a:ext cx="4125595" cy="393065"/>
                    </a:xfrm>
                    <a:prstGeom prst="rect">
                      <a:avLst/>
                    </a:prstGeom>
                  </pic:spPr>
                </pic:pic>
              </a:graphicData>
            </a:graphic>
          </wp:inline>
        </w:drawing>
      </w:r>
    </w:p>
    <w:p w14:paraId="4BE3C655">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U_1^{+}=U_{\mathrm{in}}\exp(i\phi_1),\qquad U_2^{-}=\mathcal{P}_{L}\{U_1^{+}\}</w:t>
      </w:r>
    </w:p>
    <w:p w14:paraId="754BCC94">
      <w:pPr>
        <w:spacing w:before="8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4740910" cy="347345"/>
            <wp:effectExtent l="0" t="0" r="0" b="0"/>
            <wp:docPr id="28" name="Picture 28" descr="LaTeX equation: \phi_2(x,y)=-\arg\!\left[U_2^{-}(x,y)\right]+\phi_{\mathrm{ref}}(x,y)" title="Equatio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aTeX equation: \phi_2(x,y)=-\arg\!\left[U_2^{-}(x,y)\right]+\phi_{\mathrm{ref}}(x,y)" title="Equation 5-6"/>
                    <pic:cNvPicPr>
                      <a:picLocks noChangeAspect="1"/>
                    </pic:cNvPicPr>
                  </pic:nvPicPr>
                  <pic:blipFill>
                    <a:blip r:embed="rId15"/>
                    <a:stretch>
                      <a:fillRect/>
                    </a:stretch>
                  </pic:blipFill>
                  <pic:spPr>
                    <a:xfrm>
                      <a:off x="0" y="0"/>
                      <a:ext cx="4740910" cy="347345"/>
                    </a:xfrm>
                    <a:prstGeom prst="rect">
                      <a:avLst/>
                    </a:prstGeom>
                  </pic:spPr>
                </pic:pic>
              </a:graphicData>
            </a:graphic>
          </wp:inline>
        </w:drawing>
      </w:r>
    </w:p>
    <w:p w14:paraId="0A345223">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\phi_2(x,y)=-\arg\!\left[U_2^{-}(x,y)\right]+\phi_{\mathrm{ref}}(x,y)</w:t>
      </w:r>
    </w:p>
    <w:p w14:paraId="541DFEB3">
      <w:pPr>
        <w:spacing w:before="8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2427605" cy="357505"/>
            <wp:effectExtent l="0" t="0" r="10795" b="0"/>
            <wp:docPr id="29" name="Picture 29" descr="LaTeX equation: U_{\mathrm{out}}\approx A_{\mathrm{TH}}e^{i\phi_{\mathrm{ref}}}" title="Equatio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LaTeX equation: U_{\mathrm{out}}\approx A_{\mathrm{TH}}e^{i\phi_{\mathrm{ref}}}" title="Equation 5-7"/>
                    <pic:cNvPicPr>
                      <a:picLocks noChangeAspect="1"/>
                    </pic:cNvPicPr>
                  </pic:nvPicPr>
                  <pic:blipFill>
                    <a:blip r:embed="rId16"/>
                    <a:stretch>
                      <a:fillRect/>
                    </a:stretch>
                  </pic:blipFill>
                  <pic:spPr>
                    <a:xfrm>
                      <a:off x="0" y="0"/>
                      <a:ext cx="2427605" cy="357505"/>
                    </a:xfrm>
                    <a:prstGeom prst="rect">
                      <a:avLst/>
                    </a:prstGeom>
                  </pic:spPr>
                </pic:pic>
              </a:graphicData>
            </a:graphic>
          </wp:inline>
        </w:drawing>
      </w:r>
    </w:p>
    <w:p w14:paraId="2EED5093">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U_{\mathrm{out}}(x,y)=U_2^{-}(x,y)\exp[i\phi_2(x,y)]\approx A_{\mathrm{TH}}(x,y)\exp[i\phi_{\mathrm{ref}}(x,y)]</w:t>
      </w:r>
    </w:p>
    <w:p w14:paraId="077D0371">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对理想准直输出，参考相位 φref 可取常数或仅含允许的整体倾角；若存在明显二次相位，则对应有限波前曲率，说明光束仍在会聚或发散。</w:t>
      </w:r>
    </w:p>
    <w:p w14:paraId="4D3367F2">
      <w:pPr>
        <w:pStyle w:val="4"/>
        <w:keepNext/>
        <w:rPr>
          <w:color w:val="000000" w:themeColor="text1"/>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5.3 本方案中 HOLO/OR DOE 的作用范围</w:t>
      </w:r>
    </w:p>
    <w:p w14:paraId="0C726F67">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HOLO/OR 模块只负责 X 向线形平顶强度及出口 X 波前，Y 方向保持原输入特性。模块输入为约 6 mm 的圆形准直光，输出设为约 6 mm 宽的准直线光。后级 CXC1/CXC2 是 X 向无焦缩束组，把 6 mm 缩为 1.5 mm；YBE1/YBE2 和 YFL 只作用于 Y。末片 YFL 在 X 平面必须等效为单位矩阵，不得给 X 增加二次聚焦相位。</w:t>
      </w:r>
    </w:p>
    <w:p w14:paraId="56B5057B">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HOLO/OR 未公开最终定制准直模块的专有微结构与出口相位数据。本资料包因此只保留厂商出口复场数据接口和独立双元件复场替代模型：前者用于收到正式数据后的验收，后者用于在缺少厂商相位时检查后级透镜对整形与波前的影响。</w:t>
      </w:r>
    </w:p>
    <w:p w14:paraId="02A8D145">
      <w:pPr>
        <w:pStyle w:val="3"/>
        <w:keepNext/>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6. 数学模型</w:t>
      </w:r>
    </w:p>
    <w:p w14:paraId="314BD86C">
      <w:pPr>
        <w:pStyle w:val="4"/>
        <w:keepNext/>
        <w:rPr>
          <w:color w:val="000000" w:themeColor="text1"/>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6.1 入射光束模型</w:t>
      </w:r>
    </w:p>
    <w:p w14:paraId="527CD844">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仿真在 X、Y 可分离的标量旁轴近似下进行。模块输入采用准直高斯光束；D=2w 为强度下降到峰值 exp(-2) 处的全直径。</w:t>
      </w:r>
    </w:p>
    <w:p w14:paraId="1C63BE52">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3894455" cy="274320"/>
            <wp:effectExtent l="0" t="0" r="0" b="0"/>
            <wp:docPr id="13" name="Picture 13" descr="LaTeX equation: U_{\mathrm{in}}(x,y)=U_0\exp\!\left[-\frac{x^2+y^2}{w^2}\right],\qquad I_{\mathrm{in}}=|U_{\mathrm{in}}|^2=I_0\exp\!\left[-\frac{2(x^2+y^2)}{w^2}\right]" title="Equatio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LaTeX equation: U_{\mathrm{in}}(x,y)=U_0\exp\!\left[-\frac{x^2+y^2}{w^2}\right],\qquad I_{\mathrm{in}}=|U_{\mathrm{in}}|^2=I_0\exp\!\left[-\frac{2(x^2+y^2)}{w^2}\right]" title="Equation 6-1"/>
                    <pic:cNvPicPr>
                      <a:picLocks noChangeAspect="1"/>
                    </pic:cNvPicPr>
                  </pic:nvPicPr>
                  <pic:blipFill>
                    <a:blip r:embed="rId17"/>
                    <a:stretch>
                      <a:fillRect/>
                    </a:stretch>
                  </pic:blipFill>
                  <pic:spPr>
                    <a:xfrm>
                      <a:off x="0" y="0"/>
                      <a:ext cx="3894512" cy="274320"/>
                    </a:xfrm>
                    <a:prstGeom prst="rect">
                      <a:avLst/>
                    </a:prstGeom>
                  </pic:spPr>
                </pic:pic>
              </a:graphicData>
            </a:graphic>
          </wp:inline>
        </w:drawing>
      </w:r>
    </w:p>
    <w:p w14:paraId="5F347CCC">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U_{\mathrm{in}}(x,y)=U_0\exp\!\left[-\frac{x^2+y^2}{w^2}\right],\qquad I_{\mathrm{in}}=|U_{\mathrm{in}}|^2=I_0\exp\!\left[-\frac{2(x^2+y^2)}{w^2}\right]</w:t>
      </w:r>
    </w:p>
    <w:p w14:paraId="34700BE8">
      <w:pPr>
        <w:pStyle w:val="4"/>
        <w:keepNext/>
        <w:rPr>
          <w:color w:val="000000" w:themeColor="text1"/>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6.2 一维高斯到平顶的能量映射</w:t>
      </w:r>
    </w:p>
    <w:p w14:paraId="7B95F039">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HOLO/OR 的实际优化相位属于厂商知识产权</w:t>
      </w:r>
      <w:r>
        <w:rPr>
          <w:rFonts w:hint="eastAsia"/>
          <w:b w:val="0"/>
          <w:i w:val="0"/>
          <w:color w:val="000000" w:themeColor="text1"/>
          <w:sz w:val="21"/>
          <w:lang w:val="en-US" w:eastAsia="zh-CN"/>
          <w14:textFill>
            <w14:solidFill>
              <w14:schemeClr w14:val="tx1"/>
            </w14:solidFill>
          </w14:textFill>
        </w:rPr>
        <w:t>目前未提供</w:t>
      </w:r>
      <w:r>
        <w:rPr>
          <w:rFonts w:ascii="微软雅黑" w:hAnsi="微软雅黑" w:eastAsia="微软雅黑"/>
          <w:b w:val="0"/>
          <w:i w:val="0"/>
          <w:color w:val="000000" w:themeColor="text1"/>
          <w:sz w:val="21"/>
          <w14:textFill>
            <w14:solidFill>
              <w14:schemeClr w14:val="tx1"/>
            </w14:solidFill>
          </w14:textFill>
        </w:rPr>
        <w:t>；令输入坐标为 ξ、输出坐标为 x，要求两侧累计功率相等：</w:t>
      </w:r>
    </w:p>
    <w:p w14:paraId="27B625D8">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2310765" cy="602615"/>
            <wp:effectExtent l="0" t="0" r="635" b="0"/>
            <wp:docPr id="14" name="Picture 14" descr="LaTeX equation: \frac{\int_{-\infty}^{\xi} I_{\mathrm{in}}(s)\,ds}{\int_{-\infty}^{+\infty} I_{\mathrm{in}}(s)\,ds}=\frac{\int_{-D_{\mathrm{TH}}/2}^{T(\xi)} I_{\mathrm{TH}}(u)\,du}{\int_{-D_{\mathrm{TH}}/2}^{+D_{\mathrm{TH}}/2} I_{\mathrm{TH}}(u)\,du}" title="Equatio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aTeX equation: \frac{\int_{-\infty}^{\xi} I_{\mathrm{in}}(s)\,ds}{\int_{-\infty}^{+\infty} I_{\mathrm{in}}(s)\,ds}=\frac{\int_{-D_{\mathrm{TH}}/2}^{T(\xi)} I_{\mathrm{TH}}(u)\,du}{\int_{-D_{\mathrm{TH}}/2}^{+D_{\mathrm{TH}}/2} I_{\mathrm{TH}}(u)\,du}" title="Equation 6-2"/>
                    <pic:cNvPicPr>
                      <a:picLocks noChangeAspect="1"/>
                    </pic:cNvPicPr>
                  </pic:nvPicPr>
                  <pic:blipFill>
                    <a:blip r:embed="rId18"/>
                    <a:stretch>
                      <a:fillRect/>
                    </a:stretch>
                  </pic:blipFill>
                  <pic:spPr>
                    <a:xfrm>
                      <a:off x="0" y="0"/>
                      <a:ext cx="2310938" cy="602672"/>
                    </a:xfrm>
                    <a:prstGeom prst="rect">
                      <a:avLst/>
                    </a:prstGeom>
                  </pic:spPr>
                </pic:pic>
              </a:graphicData>
            </a:graphic>
          </wp:inline>
        </w:drawing>
      </w:r>
    </w:p>
    <w:p w14:paraId="3E8B51B9">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\frac{\int_{-\infty}^{\xi} I_{\mathrm{in}}(s)\,ds}{\int_{-\infty}^{+\infty} I_{\mathrm{in}}(s)\,ds}=\frac{\int_{-D_{\mathrm{TH}}/2}^{T(\xi)} I_{\mathrm{TH}}(u)\,du}{\int_{-D_{\mathrm{TH}}/2}^{+D_{\mathrm{TH}}/2} I_{\mathrm{TH}}(u)\,du}</w:t>
      </w:r>
    </w:p>
    <w:p w14:paraId="23D4D444">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为避免理想硬边导致的高频振铃，数值对比采用 m=8 的超高斯目标振幅：</w:t>
      </w:r>
    </w:p>
    <w:p w14:paraId="2644688F">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3462020" cy="315595"/>
            <wp:effectExtent l="0" t="0" r="0" b="0"/>
            <wp:docPr id="15" name="Picture 15" descr="LaTeX equation: A_{\mathrm{TH}}(x)=A_0\exp\!\left[-\left|\frac{x}{D_{\mathrm{TH}}/2}\right|^m\right],\qquad m=8" title="Equatio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aTeX equation: A_{\mathrm{TH}}(x)=A_0\exp\!\left[-\left|\frac{x}{D_{\mathrm{TH}}/2}\right|^m\right],\qquad m=8" title="Equation 6-3"/>
                    <pic:cNvPicPr>
                      <a:picLocks noChangeAspect="1"/>
                    </pic:cNvPicPr>
                  </pic:nvPicPr>
                  <pic:blipFill>
                    <a:blip r:embed="rId19"/>
                    <a:stretch>
                      <a:fillRect/>
                    </a:stretch>
                  </pic:blipFill>
                  <pic:spPr>
                    <a:xfrm>
                      <a:off x="0" y="0"/>
                      <a:ext cx="3462250" cy="315883"/>
                    </a:xfrm>
                    <a:prstGeom prst="rect">
                      <a:avLst/>
                    </a:prstGeom>
                  </pic:spPr>
                </pic:pic>
              </a:graphicData>
            </a:graphic>
          </wp:inline>
        </w:drawing>
      </w:r>
    </w:p>
    <w:p w14:paraId="64D1A0B4">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A_{\mathrm{TH}}(x)=A_0\exp\!\left[-\left|\frac{x}{D_{\mathrm{TH}}/2}\right|^m\right],\qquad m=8</w:t>
      </w:r>
    </w:p>
    <w:p w14:paraId="1DAE4086">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若两相位元件间距为 L，在小角度几何近似下，第一相位的局部梯度使光线从 ξ 偏转到 T(ξ)：</w:t>
      </w:r>
    </w:p>
    <w:p w14:paraId="6408399C">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2518410" cy="374015"/>
            <wp:effectExtent l="0" t="0" r="8890" b="0"/>
            <wp:docPr id="16" name="Picture 16" descr="LaTeX equation: \frac{d\phi_1}{d\xi}\approx k\,\frac{T(\xi)-\xi}{L},\qquad k=\frac{2\pi}{\lambda}" title="Equatio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LaTeX equation: \frac{d\phi_1}{d\xi}\approx k\,\frac{T(\xi)-\xi}{L},\qquad k=\frac{2\pi}{\lambda}" title="Equation 6-4"/>
                    <pic:cNvPicPr>
                      <a:picLocks noChangeAspect="1"/>
                    </pic:cNvPicPr>
                  </pic:nvPicPr>
                  <pic:blipFill>
                    <a:blip r:embed="rId20"/>
                    <a:stretch>
                      <a:fillRect/>
                    </a:stretch>
                  </pic:blipFill>
                  <pic:spPr>
                    <a:xfrm>
                      <a:off x="0" y="0"/>
                      <a:ext cx="2518756" cy="374072"/>
                    </a:xfrm>
                    <a:prstGeom prst="rect">
                      <a:avLst/>
                    </a:prstGeom>
                  </pic:spPr>
                </pic:pic>
              </a:graphicData>
            </a:graphic>
          </wp:inline>
        </w:drawing>
      </w:r>
    </w:p>
    <w:p w14:paraId="47140712">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\frac{d\phi_1}{d\xi}\approx k\,\frac{T(\xi)-\xi}{L},\qquad k=\frac{2\pi}{\lambda}</w:t>
      </w:r>
    </w:p>
    <w:p w14:paraId="54A7BCE3">
      <w:pPr>
        <w:pStyle w:val="4"/>
        <w:keepNext/>
        <w:rPr>
          <w:color w:val="000000" w:themeColor="text1"/>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6.3 角谱传播与第二相位面</w:t>
      </w:r>
    </w:p>
    <w:p w14:paraId="7283D680">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复场传播采用角谱法。它同时保留振幅和相位，因而能评价模块后的透镜是否破坏相位展平。</w:t>
      </w:r>
    </w:p>
    <w:p w14:paraId="59183FA3">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3728085" cy="290830"/>
            <wp:effectExtent l="0" t="0" r="5715" b="0"/>
            <wp:docPr id="17" name="Picture 17" descr="LaTeX equation: U(x,y;z)=\mathcal{F}^{-1}\!\left\{\mathcal{F}[U(x,y;0)]H(f_x,f_y;z)\right\}" title="Equatio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aTeX equation: U(x,y;z)=\mathcal{F}^{-1}\!\left\{\mathcal{F}[U(x,y;0)]H(f_x,f_y;z)\right\}" title="Equation 6-5"/>
                    <pic:cNvPicPr>
                      <a:picLocks noChangeAspect="1"/>
                    </pic:cNvPicPr>
                  </pic:nvPicPr>
                  <pic:blipFill>
                    <a:blip r:embed="rId21"/>
                    <a:stretch>
                      <a:fillRect/>
                    </a:stretch>
                  </pic:blipFill>
                  <pic:spPr>
                    <a:xfrm>
                      <a:off x="0" y="0"/>
                      <a:ext cx="3728258" cy="290945"/>
                    </a:xfrm>
                    <a:prstGeom prst="rect">
                      <a:avLst/>
                    </a:prstGeom>
                  </pic:spPr>
                </pic:pic>
              </a:graphicData>
            </a:graphic>
          </wp:inline>
        </w:drawing>
      </w:r>
    </w:p>
    <w:p w14:paraId="69D2E5C0">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U(x,y;z)=\mathcal{F}^{-1}\!\left\{\mathcal{F}[U(x,y;0)]H(f_x,f_y;z)\right\}</w:t>
      </w:r>
    </w:p>
    <w:p w14:paraId="1F721E3C">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3042285" cy="369570"/>
            <wp:effectExtent l="0" t="0" r="5715" b="0"/>
            <wp:docPr id="18" name="Picture 18" descr="LaTeX equation: H(f_x,f_y;z)=\exp\!\left[ikz\sqrt{1-\lambda^2f_x^2-\lambda^2f_y^2}\right]" title="Equatio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aTeX equation: H(f_x,f_y;z)=\exp\!\left[ikz\sqrt{1-\lambda^2f_x^2-\lambda^2f_y^2}\right]" title="Equation 6-6"/>
                    <pic:cNvPicPr>
                      <a:picLocks noChangeAspect="1"/>
                    </pic:cNvPicPr>
                  </pic:nvPicPr>
                  <pic:blipFill>
                    <a:blip r:embed="rId22"/>
                    <a:stretch>
                      <a:fillRect/>
                    </a:stretch>
                  </pic:blipFill>
                  <pic:spPr>
                    <a:xfrm>
                      <a:off x="0" y="0"/>
                      <a:ext cx="3042458" cy="369916"/>
                    </a:xfrm>
                    <a:prstGeom prst="rect">
                      <a:avLst/>
                    </a:prstGeom>
                  </pic:spPr>
                </pic:pic>
              </a:graphicData>
            </a:graphic>
          </wp:inline>
        </w:drawing>
      </w:r>
    </w:p>
    <w:p w14:paraId="4A320C6A">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H(f_x,f_y;z)=\exp\!\left[ikz\sqrt{1-\lambda^2f_x^2-\lambda^2f_y^2}\right]</w:t>
      </w:r>
    </w:p>
    <w:p w14:paraId="4388B5F7">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第二元件相位取为传播到该面的相位共轭，再叠加允许的参考平面相位，从而令出口平均倾角和曲率接近零。之后同一复场继续传播通过 CXC1/CXC2；YFL 在 X 方向不乘任何薄透镜相位。</w:t>
      </w:r>
    </w:p>
    <w:p w14:paraId="18483574">
      <w:pPr>
        <w:pStyle w:val="4"/>
        <w:keepNext/>
        <w:rPr>
          <w:color w:val="000000" w:themeColor="text1"/>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6.4 薄透镜与 X 向无焦缩束</w:t>
      </w:r>
    </w:p>
    <w:p w14:paraId="42386433">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2103120" cy="348615"/>
            <wp:effectExtent l="0" t="0" r="0" b="0"/>
            <wp:docPr id="19" name="Picture 19" descr="LaTeX equation: t_L(x)=\exp\!\left(-i\frac{kx^2}{2f_x}\right)" title="Equatio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aTeX equation: t_L(x)=\exp\!\left(-i\frac{kx^2}{2f_x}\right)" title="Equation 6-7"/>
                    <pic:cNvPicPr>
                      <a:picLocks noChangeAspect="1"/>
                    </pic:cNvPicPr>
                  </pic:nvPicPr>
                  <pic:blipFill>
                    <a:blip r:embed="rId23"/>
                    <a:stretch>
                      <a:fillRect/>
                    </a:stretch>
                  </pic:blipFill>
                  <pic:spPr>
                    <a:xfrm>
                      <a:off x="0" y="0"/>
                      <a:ext cx="2103120" cy="349134"/>
                    </a:xfrm>
                    <a:prstGeom prst="rect">
                      <a:avLst/>
                    </a:prstGeom>
                  </pic:spPr>
                </pic:pic>
              </a:graphicData>
            </a:graphic>
          </wp:inline>
        </w:drawing>
      </w:r>
    </w:p>
    <w:p w14:paraId="6B97D8A7">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t_L(x)=\exp\!\left(-i\frac{kx^2}{2f_x}\right)</w:t>
      </w:r>
    </w:p>
    <w:p w14:paraId="67779872">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4222750" cy="232410"/>
            <wp:effectExtent l="0" t="0" r="0" b="0"/>
            <wp:docPr id="20" name="Picture 20" descr="LaTeX equation: P(d)=\begin{bmatrix}1&amp;d\\0&amp;1\end{bmatrix},\qquad L(f)=\begin{bmatrix}1&amp;0\\-1/f&amp;1\end{bmatrix}" title="Equatio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aTeX equation: P(d)=\begin{bmatrix}1&amp;d\\0&amp;1\end{bmatrix},\qquad L(f)=\begin{bmatrix}1&amp;0\\-1/f&amp;1\end{bmatrix}" title="Equation 6-8"/>
                    <pic:cNvPicPr>
                      <a:picLocks noChangeAspect="1"/>
                    </pic:cNvPicPr>
                  </pic:nvPicPr>
                  <pic:blipFill>
                    <a:blip r:embed="rId24"/>
                    <a:stretch>
                      <a:fillRect/>
                    </a:stretch>
                  </pic:blipFill>
                  <pic:spPr>
                    <a:xfrm>
                      <a:off x="0" y="0"/>
                      <a:ext cx="4222865" cy="232756"/>
                    </a:xfrm>
                    <a:prstGeom prst="rect">
                      <a:avLst/>
                    </a:prstGeom>
                  </pic:spPr>
                </pic:pic>
              </a:graphicData>
            </a:graphic>
          </wp:inline>
        </w:drawing>
      </w:r>
    </w:p>
    <w:p w14:paraId="5B7BB800">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P(d)=\begin{bmatrix}1&amp;d\\0&amp;1\end{bmatrix},\qquad L(f)=\begin{bmatrix}1&amp;0\\-1/f&amp;1\end{bmatrix}</w:t>
      </w:r>
    </w:p>
    <w:p w14:paraId="14D8C298">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4471670" cy="236855"/>
            <wp:effectExtent l="0" t="0" r="11430" b="0"/>
            <wp:docPr id="21" name="Picture 21" descr="LaTeX equation: M_{\mathrm{CXC}}=L(-40)P(120)L(160)=\begin{bmatrix}0.25&amp;120\\0&amp;4\end{bmatrix}" title="Equatio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aTeX equation: M_{\mathrm{CXC}}=L(-40)P(120)L(160)=\begin{bmatrix}0.25&amp;120\\0&amp;4\end{bmatrix}" title="Equation 6-9"/>
                    <pic:cNvPicPr>
                      <a:picLocks noChangeAspect="1"/>
                    </pic:cNvPicPr>
                  </pic:nvPicPr>
                  <pic:blipFill>
                    <a:blip r:embed="rId25"/>
                    <a:stretch>
                      <a:fillRect/>
                    </a:stretch>
                  </pic:blipFill>
                  <pic:spPr>
                    <a:xfrm>
                      <a:off x="0" y="0"/>
                      <a:ext cx="4472247" cy="236912"/>
                    </a:xfrm>
                    <a:prstGeom prst="rect">
                      <a:avLst/>
                    </a:prstGeom>
                  </pic:spPr>
                </pic:pic>
              </a:graphicData>
            </a:graphic>
          </wp:inline>
        </w:drawing>
      </w:r>
    </w:p>
    <w:p w14:paraId="7F236BFF">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M_{\mathrm{CXC}}=L(-40)P(120)L(160)=\begin{bmatrix}0.25&amp;120\\0&amp;4\end{bmatrix}</w:t>
      </w:r>
    </w:p>
    <w:p w14:paraId="25AE4AE5">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矩阵 C=0，说明平行输入的中心/边缘光线输出仍无几何会聚；A=0.25，把 6 mm 缩为 1.5 mm。末级 YFL 在 X 平面为单位矩阵 I，因此：</w:t>
      </w:r>
    </w:p>
    <w:p w14:paraId="51E57397">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3906520" cy="248920"/>
            <wp:effectExtent l="0" t="0" r="5080" b="0"/>
            <wp:docPr id="22" name="Picture 22" descr="LaTeX equation: M_{X,\mathrm{total}}=P(150)I_{\mathrm{YFL},X}M_{\mathrm{CXC}},\qquad I_{\mathrm{YFL},X}=\begin{bmatrix}1&amp;0\\0&amp;1\end{bmatrix}" title="Equation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aTeX equation: M_{X,\mathrm{total}}=P(150)I_{\mathrm{YFL},X}M_{\mathrm{CXC}},\qquad I_{\mathrm{YFL},X}=\begin{bmatrix}1&amp;0\\0&amp;1\end{bmatrix}" title="Equation 6-10"/>
                    <pic:cNvPicPr>
                      <a:picLocks noChangeAspect="1"/>
                    </pic:cNvPicPr>
                  </pic:nvPicPr>
                  <pic:blipFill>
                    <a:blip r:embed="rId26"/>
                    <a:stretch>
                      <a:fillRect/>
                    </a:stretch>
                  </pic:blipFill>
                  <pic:spPr>
                    <a:xfrm>
                      <a:off x="0" y="0"/>
                      <a:ext cx="3906981" cy="249381"/>
                    </a:xfrm>
                    <a:prstGeom prst="rect">
                      <a:avLst/>
                    </a:prstGeom>
                  </pic:spPr>
                </pic:pic>
              </a:graphicData>
            </a:graphic>
          </wp:inline>
        </w:drawing>
      </w:r>
    </w:p>
    <w:p w14:paraId="2561BD8A">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M_{X,\mathrm{total}}=P(150)I_{\mathrm{YFL},X}M_{\mathrm{CXC}},\qquad I_{\mathrm{YFL},X}=\begin{bmatrix}1&amp;0\\0&amp;1\end{bmatrix}</w:t>
      </w:r>
    </w:p>
    <w:p w14:paraId="3C577AE4">
      <w:pPr>
        <w:pStyle w:val="4"/>
        <w:keepNext/>
        <w:rPr>
          <w:color w:val="000000" w:themeColor="text1"/>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6.5 Y 向聚焦模型</w:t>
      </w:r>
    </w:p>
    <w:p w14:paraId="5B55C2F0">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Y 向采用 M² 修正的高斯束腰关系。目标全 1/e² 宽度 dY=1.0 µm、fY=100 mm、λ=355 nm、M²=1.2 时：</w:t>
      </w:r>
    </w:p>
    <w:p w14:paraId="15BA96CC">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3333115" cy="365760"/>
            <wp:effectExtent l="0" t="0" r="6985" b="0"/>
            <wp:docPr id="23" name="Picture 23" descr="LaTeX equation: d_Y=\frac{4M^2\lambda f_Y}{\pi D_Y},\qquad D_Y=\frac{4M^2\lambda f_Y}{\pi d_Y}=54.240\ \mathrm{mm}" title="Equation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LaTeX equation: d_Y=\frac{4M^2\lambda f_Y}{\pi D_Y},\qquad D_Y=\frac{4M^2\lambda f_Y}{\pi d_Y}=54.240\ \mathrm{mm}" title="Equation 6-11"/>
                    <pic:cNvPicPr>
                      <a:picLocks noChangeAspect="1"/>
                    </pic:cNvPicPr>
                  </pic:nvPicPr>
                  <pic:blipFill>
                    <a:blip r:embed="rId27"/>
                    <a:stretch>
                      <a:fillRect/>
                    </a:stretch>
                  </pic:blipFill>
                  <pic:spPr>
                    <a:xfrm>
                      <a:off x="0" y="0"/>
                      <a:ext cx="3333403" cy="365760"/>
                    </a:xfrm>
                    <a:prstGeom prst="rect">
                      <a:avLst/>
                    </a:prstGeom>
                  </pic:spPr>
                </pic:pic>
              </a:graphicData>
            </a:graphic>
          </wp:inline>
        </w:drawing>
      </w:r>
    </w:p>
    <w:p w14:paraId="5AE59474">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d_Y=\frac{4M^2\lambda f_Y}{\pi D_Y},\qquad D_Y=\frac{4M^2\lambda f_Y}{\pi d_Y}=54.240\ \mathrm{mm}</w:t>
      </w:r>
    </w:p>
    <w:p w14:paraId="7B4D1E7C">
      <w:pPr>
        <w:pStyle w:val="4"/>
        <w:keepNext/>
        <w:rPr>
          <w:color w:val="000000" w:themeColor="text1"/>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6.6 相位、准直与验收指标</w:t>
      </w:r>
    </w:p>
    <w:p w14:paraId="28CCD163">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在有效 X 光斑内对展开相位作二次拟合。平均倾角来自一次项，曲率来自二次项；相位 RMS 仅去除 piston 和平均倾角，保留二次曲率，以免把会聚或发散误判为准直。</w:t>
      </w:r>
    </w:p>
    <w:p w14:paraId="37F1BB74">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3561715" cy="320040"/>
            <wp:effectExtent l="0" t="0" r="0" b="0"/>
            <wp:docPr id="24" name="Picture 24" descr="LaTeX equation: \phi_{\mathrm{fit}}(x)=a_2x^2+a_1x+a_0,\qquad \bar{\theta}_x=\frac{\lambda}{2\pi}a_1" title="Equation 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LaTeX equation: \phi_{\mathrm{fit}}(x)=a_2x^2+a_1x+a_0,\qquad \bar{\theta}_x=\frac{\lambda}{2\pi}a_1" title="Equation 6-12"/>
                    <pic:cNvPicPr>
                      <a:picLocks noChangeAspect="1"/>
                    </pic:cNvPicPr>
                  </pic:nvPicPr>
                  <pic:blipFill>
                    <a:blip r:embed="rId28"/>
                    <a:stretch>
                      <a:fillRect/>
                    </a:stretch>
                  </pic:blipFill>
                  <pic:spPr>
                    <a:xfrm>
                      <a:off x="0" y="0"/>
                      <a:ext cx="3562003" cy="320040"/>
                    </a:xfrm>
                    <a:prstGeom prst="rect">
                      <a:avLst/>
                    </a:prstGeom>
                  </pic:spPr>
                </pic:pic>
              </a:graphicData>
            </a:graphic>
          </wp:inline>
        </w:drawing>
      </w:r>
    </w:p>
    <w:p w14:paraId="7EF02EEA">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\phi_{\mathrm{fit}}(x)=a_2x^2+a_1x+a_0,\qquad \bar{\theta}_x=\frac{\lambda}{2\pi}a_1</w:t>
      </w:r>
    </w:p>
    <w:p w14:paraId="4FCCBB7C">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4484370" cy="594360"/>
            <wp:effectExtent l="0" t="0" r="0" b="0"/>
            <wp:docPr id="25" name="Picture 25" descr="LaTeX equation: R_x=\frac{\pi}{\lambda a_2},\qquad \sigma_\phi=\sqrt{\frac{1}{N}\sum_{n=1}^{N}\left[\phi(x_n)-(b_1x_n+b_0)\right]^2}" title="Equation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aTeX equation: R_x=\frac{\pi}{\lambda a_2},\qquad \sigma_\phi=\sqrt{\frac{1}{N}\sum_{n=1}^{N}\left[\phi(x_n)-(b_1x_n+b_0)\right]^2}" title="Equation 6-13"/>
                    <pic:cNvPicPr>
                      <a:picLocks noChangeAspect="1"/>
                    </pic:cNvPicPr>
                  </pic:nvPicPr>
                  <pic:blipFill>
                    <a:blip r:embed="rId29"/>
                    <a:stretch>
                      <a:fillRect/>
                    </a:stretch>
                  </pic:blipFill>
                  <pic:spPr>
                    <a:xfrm>
                      <a:off x="0" y="0"/>
                      <a:ext cx="4484716" cy="594360"/>
                    </a:xfrm>
                    <a:prstGeom prst="rect">
                      <a:avLst/>
                    </a:prstGeom>
                  </pic:spPr>
                </pic:pic>
              </a:graphicData>
            </a:graphic>
          </wp:inline>
        </w:drawing>
      </w:r>
    </w:p>
    <w:p w14:paraId="0C719B5F">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R_x=\frac{\pi}{\lambda a_2},\qquad \sigma_\phi=\sqrt{\frac{1}{N}\sum_{n=1}^{N}\left[\phi(x_n)-(b_1x_n+b_0)\right]^2}</w:t>
      </w:r>
    </w:p>
    <w:p w14:paraId="59E6F3F7">
      <w:pPr>
        <w:spacing w:before="100" w:after="2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1649730" cy="356870"/>
            <wp:effectExtent l="0" t="0" r="0" b="0"/>
            <wp:docPr id="26" name="Picture 26" descr="LaTeX equation: \theta_{\mathrm{edge}}=\frac{D_X/2}{|R_x|}" title="Equation 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LaTeX equation: \theta_{\mathrm{edge}}=\frac{D_X/2}{|R_x|}" title="Equation 6-14"/>
                    <pic:cNvPicPr>
                      <a:picLocks noChangeAspect="1"/>
                    </pic:cNvPicPr>
                  </pic:nvPicPr>
                  <pic:blipFill>
                    <a:blip r:embed="rId30"/>
                    <a:stretch>
                      <a:fillRect/>
                    </a:stretch>
                  </pic:blipFill>
                  <pic:spPr>
                    <a:xfrm>
                      <a:off x="0" y="0"/>
                      <a:ext cx="1650076" cy="357447"/>
                    </a:xfrm>
                    <a:prstGeom prst="rect">
                      <a:avLst/>
                    </a:prstGeom>
                  </pic:spPr>
                </pic:pic>
              </a:graphicData>
            </a:graphic>
          </wp:inline>
        </w:drawing>
      </w:r>
    </w:p>
    <w:p w14:paraId="09AA221F">
      <w:pPr>
        <w:spacing w:after="100"/>
        <w:jc w:val="center"/>
        <w:rPr>
          <w:color w:val="000000" w:themeColor="text1"/>
          <w14:textFill>
            <w14:solidFill>
              <w14:schemeClr w14:val="tx1"/>
            </w14:solidFill>
          </w14:textFill>
        </w:rPr>
      </w:pPr>
      <w:r>
        <w:rPr>
          <w:rFonts w:ascii="Consolas" w:hAnsi="Consolas" w:eastAsia="Consolas"/>
          <w:b w:val="0"/>
          <w:i w:val="0"/>
          <w:color w:val="000000" w:themeColor="text1"/>
          <w:sz w:val="15"/>
          <w14:textFill>
            <w14:solidFill>
              <w14:schemeClr w14:val="tx1"/>
            </w14:solidFill>
          </w14:textFill>
        </w:rPr>
        <w:t>LaTeX: \theta_{\mathrm{edge}}=\frac{D_X/2}{|R_x|}</w:t>
      </w:r>
    </w:p>
    <w:p w14:paraId="21C0E566">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本项目暂定判据为 |θ̄x|≤10 µrad、σφ≤0.10 rad、θedge≤50 µrad。</w:t>
      </w:r>
    </w:p>
    <w:p w14:paraId="019486A4">
      <w:pPr>
        <w:pStyle w:val="4"/>
        <w:keepNext/>
        <w:rPr>
          <w:color w:val="000000" w:themeColor="text1"/>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6.7 数值流程与模型假设</w:t>
      </w:r>
    </w:p>
    <w:p w14:paraId="1F42A05E">
      <w:pPr>
        <w:pStyle w:val="14"/>
        <w:spacing w:after="100"/>
        <w:rPr>
          <w:color w:val="000000" w:themeColor="text1"/>
          <w14:textFill>
            <w14:solidFill>
              <w14:schemeClr w14:val="tx1"/>
            </w14:solidFill>
          </w14:textFill>
        </w:rPr>
      </w:pPr>
      <w:r>
        <w:rPr>
          <w:rFonts w:ascii="微软雅黑" w:hAnsi="微软雅黑" w:eastAsia="微软雅黑"/>
          <w:b w:val="0"/>
          <w:i w:val="0"/>
          <w:color w:val="000000" w:themeColor="text1"/>
          <w:sz w:val="20"/>
          <w14:textFill>
            <w14:solidFill>
              <w14:schemeClr w14:val="tx1"/>
            </w14:solidFill>
          </w14:textFill>
        </w:rPr>
        <w:t>输入 355 nm、6 mm 准直高斯复场，并乘以第一相位面。</w:t>
      </w:r>
    </w:p>
    <w:p w14:paraId="427F0D1E">
      <w:pPr>
        <w:pStyle w:val="14"/>
        <w:spacing w:after="100"/>
        <w:rPr>
          <w:color w:val="000000" w:themeColor="text1"/>
          <w14:textFill>
            <w14:solidFill>
              <w14:schemeClr w14:val="tx1"/>
            </w14:solidFill>
          </w14:textFill>
        </w:rPr>
      </w:pPr>
      <w:r>
        <w:rPr>
          <w:rFonts w:ascii="微软雅黑" w:hAnsi="微软雅黑" w:eastAsia="微软雅黑"/>
          <w:b w:val="0"/>
          <w:i w:val="0"/>
          <w:color w:val="000000" w:themeColor="text1"/>
          <w:sz w:val="20"/>
          <w14:textFill>
            <w14:solidFill>
              <w14:schemeClr w14:val="tx1"/>
            </w14:solidFill>
          </w14:textFill>
        </w:rPr>
        <w:t>采用角谱法传播到第二元件，建立目标平顶振幅并抵消残余相位。</w:t>
      </w:r>
    </w:p>
    <w:p w14:paraId="1690FC01">
      <w:pPr>
        <w:pStyle w:val="14"/>
        <w:spacing w:after="100"/>
        <w:rPr>
          <w:color w:val="000000" w:themeColor="text1"/>
          <w14:textFill>
            <w14:solidFill>
              <w14:schemeClr w14:val="tx1"/>
            </w14:solidFill>
          </w14:textFill>
        </w:rPr>
      </w:pPr>
      <w:r>
        <w:rPr>
          <w:rFonts w:ascii="微软雅黑" w:hAnsi="微软雅黑" w:eastAsia="微软雅黑"/>
          <w:b w:val="0"/>
          <w:i w:val="0"/>
          <w:color w:val="000000" w:themeColor="text1"/>
          <w:sz w:val="20"/>
          <w14:textFill>
            <w14:solidFill>
              <w14:schemeClr w14:val="tx1"/>
            </w14:solidFill>
          </w14:textFill>
        </w:rPr>
        <w:t>将模块出口复场传播至 CXC1，依次施加 +160 mm 薄透镜、120 mm 传播、-40 mm 薄透镜及到目标面的传播。</w:t>
      </w:r>
    </w:p>
    <w:p w14:paraId="705B1261">
      <w:pPr>
        <w:pStyle w:val="14"/>
        <w:spacing w:after="100"/>
        <w:rPr>
          <w:color w:val="000000" w:themeColor="text1"/>
          <w14:textFill>
            <w14:solidFill>
              <w14:schemeClr w14:val="tx1"/>
            </w14:solidFill>
          </w14:textFill>
        </w:rPr>
      </w:pPr>
      <w:r>
        <w:rPr>
          <w:rFonts w:ascii="微软雅黑" w:hAnsi="微软雅黑" w:eastAsia="微软雅黑"/>
          <w:b w:val="0"/>
          <w:i w:val="0"/>
          <w:color w:val="000000" w:themeColor="text1"/>
          <w:sz w:val="20"/>
          <w14:textFill>
            <w14:solidFill>
              <w14:schemeClr w14:val="tx1"/>
            </w14:solidFill>
          </w14:textFill>
        </w:rPr>
        <w:t>X 传播中不施加 YFL 相位；Y 方向独立用高斯束腰模型验证 1.0 µm 焦斑和 54.24 mm 入射直径。</w:t>
      </w:r>
    </w:p>
    <w:p w14:paraId="3CD17C96">
      <w:pPr>
        <w:pStyle w:val="14"/>
        <w:spacing w:after="100"/>
        <w:rPr>
          <w:color w:val="000000" w:themeColor="text1"/>
          <w14:textFill>
            <w14:solidFill>
              <w14:schemeClr w14:val="tx1"/>
            </w14:solidFill>
          </w14:textFill>
        </w:rPr>
      </w:pPr>
      <w:r>
        <w:rPr>
          <w:rFonts w:ascii="微软雅黑" w:hAnsi="微软雅黑" w:eastAsia="微软雅黑"/>
          <w:b w:val="0"/>
          <w:i w:val="0"/>
          <w:color w:val="000000" w:themeColor="text1"/>
          <w:sz w:val="20"/>
          <w14:textFill>
            <w14:solidFill>
              <w14:schemeClr w14:val="tx1"/>
            </w14:solidFill>
          </w14:textFill>
        </w:rPr>
        <w:t>输出线宽、平均倾角、相位 RMS、曲率和 ABCD 状态；取得 HOLO/OR 官方复场后用相同指标复核。</w:t>
      </w:r>
    </w:p>
    <w:p w14:paraId="11C82C38">
      <w:pPr>
        <w:pStyle w:val="3"/>
        <w:keepNext/>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7. MATLAB R2019b 实现</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00"/>
        <w:gridCol w:w="6560"/>
      </w:tblGrid>
      <w:tr w14:paraId="5828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800" w:type="dxa"/>
            <w:shd w:val="clear" w:color="auto" w:fill="F2F4F7"/>
            <w:tcMar>
              <w:top w:w="80" w:type="dxa"/>
              <w:left w:w="120" w:type="dxa"/>
              <w:bottom w:w="80" w:type="dxa"/>
              <w:right w:w="120" w:type="dxa"/>
            </w:tcMar>
            <w:vAlign w:val="center"/>
          </w:tcPr>
          <w:p w14:paraId="3AE2513B">
            <w:pPr>
              <w:jc w:val="cente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b/>
                <w:color w:val="000000" w:themeColor="text1"/>
                <w:sz w:val="17"/>
                <w14:textFill>
                  <w14:solidFill>
                    <w14:schemeClr w14:val="tx1"/>
                  </w14:solidFill>
                </w14:textFill>
              </w:rPr>
              <w:t>项目</w:t>
            </w:r>
          </w:p>
        </w:tc>
        <w:tc>
          <w:tcPr>
            <w:tcW w:w="6560" w:type="dxa"/>
            <w:shd w:val="clear" w:color="auto" w:fill="F2F4F7"/>
            <w:tcMar>
              <w:top w:w="80" w:type="dxa"/>
              <w:left w:w="120" w:type="dxa"/>
              <w:bottom w:w="80" w:type="dxa"/>
              <w:right w:w="120" w:type="dxa"/>
            </w:tcMar>
            <w:vAlign w:val="center"/>
          </w:tcPr>
          <w:p w14:paraId="27F6C00D">
            <w:pPr>
              <w:jc w:val="cente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b/>
                <w:color w:val="000000" w:themeColor="text1"/>
                <w:sz w:val="17"/>
                <w14:textFill>
                  <w14:solidFill>
                    <w14:schemeClr w14:val="tx1"/>
                  </w14:solidFill>
                </w14:textFill>
              </w:rPr>
              <w:t>记录</w:t>
            </w:r>
          </w:p>
        </w:tc>
      </w:tr>
      <w:tr w14:paraId="434E6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0" w:type="dxa"/>
            <w:tcMar>
              <w:top w:w="80" w:type="dxa"/>
              <w:left w:w="120" w:type="dxa"/>
              <w:bottom w:w="80" w:type="dxa"/>
              <w:right w:w="120" w:type="dxa"/>
            </w:tcMar>
            <w:vAlign w:val="center"/>
          </w:tcPr>
          <w:p w14:paraId="5FD0C901">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MATLAB</w:t>
            </w:r>
          </w:p>
        </w:tc>
        <w:tc>
          <w:tcPr>
            <w:tcW w:w="6560" w:type="dxa"/>
            <w:tcMar>
              <w:top w:w="80" w:type="dxa"/>
              <w:left w:w="120" w:type="dxa"/>
              <w:bottom w:w="80" w:type="dxa"/>
              <w:right w:w="120" w:type="dxa"/>
            </w:tcMar>
            <w:vAlign w:val="center"/>
          </w:tcPr>
          <w:p w14:paraId="461D7681">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D:\Program Files\Polyspace\R2019b\bin\matlab.exe</w:t>
            </w:r>
          </w:p>
        </w:tc>
      </w:tr>
      <w:tr w14:paraId="20010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0" w:type="dxa"/>
            <w:tcMar>
              <w:top w:w="80" w:type="dxa"/>
              <w:left w:w="120" w:type="dxa"/>
              <w:bottom w:w="80" w:type="dxa"/>
              <w:right w:w="120" w:type="dxa"/>
            </w:tcMar>
            <w:vAlign w:val="center"/>
          </w:tcPr>
          <w:p w14:paraId="66041DAB">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主程序</w:t>
            </w:r>
          </w:p>
        </w:tc>
        <w:tc>
          <w:tcPr>
            <w:tcW w:w="6560" w:type="dxa"/>
            <w:tcMar>
              <w:top w:w="80" w:type="dxa"/>
              <w:left w:w="120" w:type="dxa"/>
              <w:bottom w:w="80" w:type="dxa"/>
              <w:right w:w="120" w:type="dxa"/>
            </w:tcMar>
            <w:vAlign w:val="center"/>
          </w:tcPr>
          <w:p w14:paraId="61BD6F08">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02_matlab_code/run_HOLOOR_collimated_line_R2019b.m</w:t>
            </w:r>
          </w:p>
        </w:tc>
      </w:tr>
      <w:tr w14:paraId="0FA40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0" w:type="dxa"/>
            <w:tcMar>
              <w:top w:w="80" w:type="dxa"/>
              <w:left w:w="120" w:type="dxa"/>
              <w:bottom w:w="80" w:type="dxa"/>
              <w:right w:w="120" w:type="dxa"/>
            </w:tcMar>
            <w:vAlign w:val="center"/>
          </w:tcPr>
          <w:p w14:paraId="1F6CF64A">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统一配置</w:t>
            </w:r>
          </w:p>
        </w:tc>
        <w:tc>
          <w:tcPr>
            <w:tcW w:w="6560" w:type="dxa"/>
            <w:tcMar>
              <w:top w:w="80" w:type="dxa"/>
              <w:left w:w="120" w:type="dxa"/>
              <w:bottom w:w="80" w:type="dxa"/>
              <w:right w:w="120" w:type="dxa"/>
            </w:tcMar>
            <w:vAlign w:val="center"/>
          </w:tcPr>
          <w:p w14:paraId="20C8B665">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02_matlab_code/common_holoor_collimated_config.m</w:t>
            </w:r>
          </w:p>
        </w:tc>
      </w:tr>
      <w:tr w14:paraId="445B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0" w:type="dxa"/>
            <w:tcMar>
              <w:top w:w="80" w:type="dxa"/>
              <w:left w:w="120" w:type="dxa"/>
              <w:bottom w:w="80" w:type="dxa"/>
              <w:right w:w="120" w:type="dxa"/>
            </w:tcMar>
            <w:vAlign w:val="center"/>
          </w:tcPr>
          <w:p w14:paraId="74B25152">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HOLO/OR 相位检查</w:t>
            </w:r>
          </w:p>
        </w:tc>
        <w:tc>
          <w:tcPr>
            <w:tcW w:w="6560" w:type="dxa"/>
            <w:tcMar>
              <w:top w:w="80" w:type="dxa"/>
              <w:left w:w="120" w:type="dxa"/>
              <w:bottom w:w="80" w:type="dxa"/>
              <w:right w:w="120" w:type="dxa"/>
            </w:tcMar>
            <w:vAlign w:val="center"/>
          </w:tcPr>
          <w:p w14:paraId="3BADC49E">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02_matlab_code/run_holoor_collimated_solution.m</w:t>
            </w:r>
          </w:p>
        </w:tc>
      </w:tr>
      <w:tr w14:paraId="17AE9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0" w:type="dxa"/>
            <w:tcMar>
              <w:top w:w="80" w:type="dxa"/>
              <w:left w:w="120" w:type="dxa"/>
              <w:bottom w:w="80" w:type="dxa"/>
              <w:right w:w="120" w:type="dxa"/>
            </w:tcMar>
            <w:vAlign w:val="center"/>
          </w:tcPr>
          <w:p w14:paraId="34B4C44E">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独立相位对比</w:t>
            </w:r>
          </w:p>
        </w:tc>
        <w:tc>
          <w:tcPr>
            <w:tcW w:w="6560" w:type="dxa"/>
            <w:tcMar>
              <w:top w:w="80" w:type="dxa"/>
              <w:left w:w="120" w:type="dxa"/>
              <w:bottom w:w="80" w:type="dxa"/>
              <w:right w:w="120" w:type="dxa"/>
            </w:tcMar>
            <w:vAlign w:val="center"/>
          </w:tcPr>
          <w:p w14:paraId="513FB8F8">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02_matlab_code/simulate_holoor_phase_surrogate.m</w:t>
            </w:r>
          </w:p>
        </w:tc>
      </w:tr>
      <w:tr w14:paraId="0321C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0" w:type="dxa"/>
            <w:tcMar>
              <w:top w:w="80" w:type="dxa"/>
              <w:left w:w="120" w:type="dxa"/>
              <w:bottom w:w="80" w:type="dxa"/>
              <w:right w:w="120" w:type="dxa"/>
            </w:tcMar>
            <w:vAlign w:val="center"/>
          </w:tcPr>
          <w:p w14:paraId="20A2B4DB">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光路图</w:t>
            </w:r>
          </w:p>
        </w:tc>
        <w:tc>
          <w:tcPr>
            <w:tcW w:w="6560" w:type="dxa"/>
            <w:tcMar>
              <w:top w:w="80" w:type="dxa"/>
              <w:left w:w="120" w:type="dxa"/>
              <w:bottom w:w="80" w:type="dxa"/>
              <w:right w:w="120" w:type="dxa"/>
            </w:tcMar>
            <w:vAlign w:val="center"/>
          </w:tcPr>
          <w:p w14:paraId="46DED016">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02_matlab_code/plot_holoor_collimated_paths.m</w:t>
            </w:r>
          </w:p>
        </w:tc>
      </w:tr>
      <w:tr w14:paraId="1783E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00" w:type="dxa"/>
            <w:tcMar>
              <w:top w:w="80" w:type="dxa"/>
              <w:left w:w="120" w:type="dxa"/>
              <w:bottom w:w="80" w:type="dxa"/>
              <w:right w:w="120" w:type="dxa"/>
            </w:tcMar>
            <w:vAlign w:val="center"/>
          </w:tcPr>
          <w:p w14:paraId="559D95A8">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结果目录</w:t>
            </w:r>
          </w:p>
        </w:tc>
        <w:tc>
          <w:tcPr>
            <w:tcW w:w="6560" w:type="dxa"/>
            <w:tcMar>
              <w:top w:w="80" w:type="dxa"/>
              <w:left w:w="120" w:type="dxa"/>
              <w:bottom w:w="80" w:type="dxa"/>
              <w:right w:w="120" w:type="dxa"/>
            </w:tcMar>
            <w:vAlign w:val="center"/>
          </w:tcPr>
          <w:p w14:paraId="125F5962">
            <w:pPr>
              <w:spacing w:after="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7"/>
                <w14:textFill>
                  <w14:solidFill>
                    <w14:schemeClr w14:val="tx1"/>
                  </w14:solidFill>
                </w14:textFill>
              </w:rPr>
              <w:t>03_simulation_results/collimated_line_R2019b</w:t>
            </w:r>
          </w:p>
        </w:tc>
      </w:tr>
    </w:tbl>
    <w:p w14:paraId="700056B6">
      <w:pPr>
        <w:pStyle w:val="4"/>
        <w:keepNext/>
        <w:rPr>
          <w:color w:val="000000" w:themeColor="text1"/>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7.1 主程序入口与调用顺序</w:t>
      </w:r>
    </w:p>
    <w:p w14:paraId="39B089AE">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主程序为 run_HOLOOR_collimated_line_R2019b.m。它先根据自身文件位置解析资料包根目录和结果目录，创建输出目录，读取统一配置，检查 MATLAB 版本，然后调用准直方案求解器。求解器再依次完成 X 向 ABCD 检查、出口</w:t>
      </w:r>
      <w:r>
        <w:rPr>
          <w:rFonts w:hint="eastAsia"/>
          <w:b w:val="0"/>
          <w:i w:val="0"/>
          <w:color w:val="000000" w:themeColor="text1"/>
          <w:sz w:val="21"/>
          <w:lang w:val="en-US" w:eastAsia="zh-CN"/>
          <w14:textFill>
            <w14:solidFill>
              <w14:schemeClr w14:val="tx1"/>
            </w14:solidFill>
          </w14:textFill>
        </w:rPr>
        <w:t>复振幅</w:t>
      </w:r>
      <w:r>
        <w:rPr>
          <w:rFonts w:ascii="微软雅黑" w:hAnsi="微软雅黑" w:eastAsia="微软雅黑"/>
          <w:b w:val="0"/>
          <w:i w:val="0"/>
          <w:color w:val="000000" w:themeColor="text1"/>
          <w:sz w:val="21"/>
          <w14:textFill>
            <w14:solidFill>
              <w14:schemeClr w14:val="tx1"/>
            </w14:solidFill>
          </w14:textFill>
        </w:rPr>
        <w:t>检查、独立双元件替代模型传播和 XZ/YZ 光路绘制。</w:t>
      </w:r>
    </w:p>
    <w:p w14:paraId="10966421">
      <w:pPr>
        <w:shd w:val="clear" w:fill="F3F4F6"/>
        <w:spacing w:before="40" w:after="140"/>
        <w:ind w:left="403" w:right="259"/>
        <w:rPr>
          <w:color w:val="000000" w:themeColor="text1"/>
          <w14:textFill>
            <w14:solidFill>
              <w14:schemeClr w14:val="tx1"/>
            </w14:solidFill>
          </w14:textFill>
        </w:rPr>
      </w:pPr>
      <w:r>
        <w:rPr>
          <w:rFonts w:ascii="Consolas" w:hAnsi="Consolas" w:eastAsia="Consolas"/>
          <w:b w:val="0"/>
          <w:i w:val="0"/>
          <w:color w:val="000000" w:themeColor="text1"/>
          <w:sz w:val="16"/>
          <w14:textFill>
            <w14:solidFill>
              <w14:schemeClr w14:val="tx1"/>
            </w14:solidFill>
          </w14:textFill>
        </w:rPr>
        <w:t>cfg = common_holoor_collimated_config();</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result = run_holoor_collimated_solution(cfg, outputDir);</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 run_holoor_collimated_solution 内部：</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   1) X 向 ABCD 与边缘光线</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   2) HOLO/OR 出口复场接口（若有）</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   3) 独立双元件复场替代模型</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   4) XZ/YZ 几何光路图与 CSV/MAT 输出</w:t>
      </w:r>
    </w:p>
    <w:p w14:paraId="321FB80C">
      <w:pPr>
        <w:pStyle w:val="4"/>
        <w:keepNext/>
        <w:rPr>
          <w:color w:val="000000" w:themeColor="text1"/>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7.2 统一参数配置</w:t>
      </w:r>
    </w:p>
    <w:p w14:paraId="0339D0EA">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common_holoor_collimated_config.m 是唯一参数源，单位统一为 mm 和 rad。文件设置 λ=355×10⁻⁶ mm、M²=1.2、激光出口直径 1.0 mm、圆对称 6× 扩束后直径 6.0 mm、终端 X 宽度 1.5 mm、终端 Y 宽度 1.0×10⁻³ mm、fY=100 mm，并由高斯束腰关系计算 YFL 入射直径 54.240 mm和含 10% 余量的有效口径 59.664 mm。所有元件 z 位置、焦距和相位验收阈值也在该文件中集中定义。</w:t>
      </w:r>
    </w:p>
    <w:p w14:paraId="5AB81EBF">
      <w:pPr>
        <w:shd w:val="clear" w:fill="F3F4F6"/>
        <w:spacing w:before="40" w:after="140"/>
        <w:ind w:left="403" w:right="259"/>
        <w:rPr>
          <w:color w:val="000000" w:themeColor="text1"/>
          <w14:textFill>
            <w14:solidFill>
              <w14:schemeClr w14:val="tx1"/>
            </w14:solidFill>
          </w14:textFill>
        </w:rPr>
      </w:pPr>
      <w:r>
        <w:rPr>
          <w:rFonts w:ascii="Consolas" w:hAnsi="Consolas" w:eastAsia="Consolas"/>
          <w:b w:val="0"/>
          <w:i w:val="0"/>
          <w:color w:val="000000" w:themeColor="text1"/>
          <w:sz w:val="16"/>
          <w14:textFill>
            <w14:solidFill>
              <w14:schemeClr w14:val="tx1"/>
            </w14:solidFill>
          </w14:textFill>
        </w:rPr>
        <w:t>cfg.lambda = 355e-6;       % mm</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cfg.M2 = 1.2;</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cfg.moduleOutputXWidth = 6.0;</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cfg.targetXWidth = 1.5;</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cfg.targetYWidth = 1.0e-3; % mm = 1.0 um</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cfg.layout.fXC1 = +160; cfg.layout.fXC2 = -40;</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cfg.layout.fYFL = +100; cfg.xLastLensPower = 0;</w:t>
      </w:r>
    </w:p>
    <w:p w14:paraId="4D072A93">
      <w:pPr>
        <w:pStyle w:val="4"/>
        <w:keepNext/>
        <w:rPr>
          <w:color w:val="000000" w:themeColor="text1"/>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7.3 X 向 ABCD 与边缘光线验证</w:t>
      </w:r>
    </w:p>
    <w:p w14:paraId="42D5A74A">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run_holoor_collimated_solution.m 用 P(d) 和 L(f) 构造 CXC1/CXC2 的无焦矩阵。对模块出口 ±3 mm、入射角为 0 的两条边缘光线进行传播；结果应在 CXC2 后变为 ±0.75 mm，且角度仍为 0。YFL 在 X 平面使用单位矩阵 Ix，因此从 z=600 mm 到目标面的传播不引入 X 光焦度。程序把 C=0、末片 X 光焦度=0、CXC 后宽度、目标宽度和边缘光线角度逐项写入 collimated_x_verification.csv。</w:t>
      </w:r>
    </w:p>
    <w:p w14:paraId="6EBE3DAA">
      <w:pPr>
        <w:shd w:val="clear" w:fill="F3F4F6"/>
        <w:spacing w:before="40" w:after="140"/>
        <w:ind w:left="403" w:right="259"/>
        <w:rPr>
          <w:color w:val="000000" w:themeColor="text1"/>
          <w14:textFill>
            <w14:solidFill>
              <w14:schemeClr w14:val="tx1"/>
            </w14:solidFill>
          </w14:textFill>
        </w:rPr>
      </w:pPr>
      <w:r>
        <w:rPr>
          <w:rFonts w:ascii="Consolas" w:hAnsi="Consolas" w:eastAsia="Consolas"/>
          <w:b w:val="0"/>
          <w:i w:val="0"/>
          <w:color w:val="000000" w:themeColor="text1"/>
          <w:sz w:val="16"/>
          <w14:textFill>
            <w14:solidFill>
              <w14:schemeClr w14:val="tx1"/>
            </w14:solidFill>
          </w14:textFill>
        </w:rPr>
        <w:t>P = @(d)[1 d; 0 1];</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L = @(f)[1 0; -1/f 1];</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Ix = eye(2);</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MxTelescope = L(-40)*P(120)*L(160);</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MxToTarget = P(150)*Ix*MxTelescope;</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rayIn = [-3 3; 0 0];</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rayAtTarget = MxToTarget*rayIn;</w:t>
      </w:r>
    </w:p>
    <w:p w14:paraId="6B0C9D68">
      <w:pPr>
        <w:pStyle w:val="4"/>
        <w:keepNext/>
        <w:rPr>
          <w:rFonts w:hint="eastAsia" w:eastAsia="微软雅黑"/>
          <w:color w:val="000000" w:themeColor="text1"/>
          <w:lang w:val="en-US" w:eastAsia="zh-CN"/>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7.4 HOLO/OR 出口</w:t>
      </w:r>
      <w:r>
        <w:rPr>
          <w:rFonts w:hint="eastAsia" w:ascii="微软雅黑" w:hAnsi="微软雅黑" w:eastAsia="微软雅黑"/>
          <w:b/>
          <w:i w:val="0"/>
          <w:color w:val="000000" w:themeColor="text1"/>
          <w:sz w:val="26"/>
          <w:lang w:val="en-US" w:eastAsia="zh-CN"/>
          <w14:textFill>
            <w14:solidFill>
              <w14:schemeClr w14:val="tx1"/>
            </w14:solidFill>
          </w14:textFill>
        </w:rPr>
        <w:t>复振幅</w:t>
      </w:r>
    </w:p>
    <w:p w14:paraId="3D1FAB8D">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当 01_vendor_model/HOLOOR_CBSM_LINE_355_exit_complex_field.mat 存在时，程序读取 x_mm 和 U_exit；也兼容 amplitude 与 phase_rad 两数组。有效区按振幅不低于峰值 e⁻¹（等价于强度不低于峰值 e⁻²）选取，随后展开相位并分别进行二次和一次拟合。一次项换算平均残余倾角；只去除 piston 和一次倾斜后的相位 RMS保留二次曲率，用于避免把会聚或发散波前误判为准直。</w:t>
      </w:r>
    </w:p>
    <w:p w14:paraId="5B706A17">
      <w:pPr>
        <w:shd w:val="clear" w:fill="F3F4F6"/>
        <w:spacing w:before="40" w:after="140"/>
        <w:ind w:left="403" w:right="259"/>
        <w:rPr>
          <w:color w:val="000000" w:themeColor="text1"/>
          <w14:textFill>
            <w14:solidFill>
              <w14:schemeClr w14:val="tx1"/>
            </w14:solidFill>
          </w14:textFill>
        </w:rPr>
      </w:pPr>
      <w:r>
        <w:rPr>
          <w:rFonts w:ascii="Consolas" w:hAnsi="Consolas" w:eastAsia="Consolas"/>
          <w:b w:val="0"/>
          <w:i w:val="0"/>
          <w:color w:val="000000" w:themeColor="text1"/>
          <w:sz w:val="16"/>
          <w14:textFill>
            <w14:solidFill>
              <w14:schemeClr w14:val="tx1"/>
            </w14:solidFill>
          </w14:textFill>
        </w:rPr>
        <w:t>active = abs(uVendor) &gt;= exp(-1)*max(abs(uVendor));</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phi = unwrap(angle(uVendor(active)));</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fitCoef = polyfit(xAct, phi, 2);</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linearCoef = polyfit(xAct, phi, 1);</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phaseRms = sqrt(mean((phi-polyval(linearCoef,xAct)).^2));</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residualTilt = linearCoef(1)*cfg.lambda/(2*pi);</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curvature = pi/(cfg.lambda*fitCoef(1));</w:t>
      </w:r>
    </w:p>
    <w:p w14:paraId="5D023AAD">
      <w:pPr>
        <w:pStyle w:val="4"/>
        <w:keepNext/>
        <w:rPr>
          <w:color w:val="000000" w:themeColor="text1"/>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7.5 独立双元件相位替代模型</w:t>
      </w:r>
    </w:p>
    <w:p w14:paraId="3F3149BB">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simulate_holoor_phase_surrogate.m 用于在厂商相位缺失时进行物理对比，不是厂商代码。网格为 N=32768、窗口 80 mm、采样间隔约 2.44 µm；输入为 6 mm 全 1/e² 直径的高斯振幅并受 15 mm 口径截断。程序先用累计能量守恒建立高斯到线形平顶的坐标映射 T(ξ)，积分局部偏转角得到第一相位 φ1，再计算传播到第二元件前的复场和相位补偿 φ2。</w:t>
      </w:r>
    </w:p>
    <w:p w14:paraId="386005A0">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当前数值版本把第二元件后的场设置为相位平坦、m=8 的超高斯理想出口场，随后让该复场通过实际后级光路。因此它验证的是“理想双元件准直出口 + 实际 CXC 后级”是否满足目标，而不是已经完成制造约束优化的 DOE 微结构。φ1、φ2 是结构原理与后续优化的初值/对照量；若要形成可加工 DOE，仍需迭代传播优化、相位量化、口径、效率和公差分析。</w:t>
      </w:r>
    </w:p>
    <w:p w14:paraId="4EEE2009">
      <w:pPr>
        <w:shd w:val="clear" w:fill="F3F4F6"/>
        <w:spacing w:before="40" w:after="140"/>
        <w:ind w:left="403" w:right="259"/>
        <w:rPr>
          <w:color w:val="000000" w:themeColor="text1"/>
          <w14:textFill>
            <w14:solidFill>
              <w14:schemeClr w14:val="tx1"/>
            </w14:solidFill>
          </w14:textFill>
        </w:rPr>
      </w:pPr>
      <w:r>
        <w:rPr>
          <w:rFonts w:ascii="Consolas" w:hAnsi="Consolas" w:eastAsia="Consolas"/>
          <w:b w:val="0"/>
          <w:i w:val="0"/>
          <w:color w:val="000000" w:themeColor="text1"/>
          <w:sz w:val="16"/>
          <w14:textFill>
            <w14:solidFill>
              <w14:schemeClr w14:val="tx1"/>
            </w14:solidFill>
          </w14:textFill>
        </w:rPr>
        <w:t>xMapped = (outputWidth/2)*erf(sqrt(2)*x/w)/cdfEdge;</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phi1 = cumtrapz(x, k*sin(atan2(xMapped-x, mapperDistance)));</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Ebefore2 = propagate(Ein.*exp(1i*phi1), mapperDistance);</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phi2 = -unwrap(angle(Ebefore2));</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Eafter2 = exp(-(abs(x)/(outputWidth/2)).^8); % 理想准直出口参考</w:t>
      </w:r>
    </w:p>
    <w:p w14:paraId="539E3FDA">
      <w:pPr>
        <w:pStyle w:val="4"/>
        <w:keepNext/>
        <w:rPr>
          <w:color w:val="000000" w:themeColor="text1"/>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7.6 后级传播</w:t>
      </w:r>
    </w:p>
    <w:p w14:paraId="56150801">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替代模型的出口</w:t>
      </w:r>
      <w:r>
        <w:rPr>
          <w:rFonts w:hint="eastAsia"/>
          <w:b w:val="0"/>
          <w:i w:val="0"/>
          <w:color w:val="000000" w:themeColor="text1"/>
          <w:sz w:val="21"/>
          <w:lang w:val="en-US" w:eastAsia="zh-CN"/>
          <w14:textFill>
            <w14:solidFill>
              <w14:schemeClr w14:val="tx1"/>
            </w14:solidFill>
          </w14:textFill>
        </w:rPr>
        <w:t>复振幅</w:t>
      </w:r>
      <w:r>
        <w:rPr>
          <w:rFonts w:ascii="微软雅黑" w:hAnsi="微软雅黑" w:eastAsia="微软雅黑"/>
          <w:b w:val="0"/>
          <w:i w:val="0"/>
          <w:color w:val="000000" w:themeColor="text1"/>
          <w:sz w:val="21"/>
          <w14:textFill>
            <w14:solidFill>
              <w14:schemeClr w14:val="tx1"/>
            </w14:solidFill>
          </w14:textFill>
        </w:rPr>
        <w:t>先传播到 CXC1，乘以 fX=+160 mm 的薄透镜二次相位；传播 120 mm 后乘以 fX=-40 mm的薄透镜相位，再传播 150 mm 到目标面。传播函数使用一维角谱传递函数，完整保留振幅和相位。由于末片 YFL 只对 Y 聚焦，X 传播代码中有意不施加 YFL 的薄透镜相位，这正是保证 X 近似平行的程序实现。</w:t>
      </w:r>
    </w:p>
    <w:p w14:paraId="5FD6B4A8">
      <w:pPr>
        <w:shd w:val="clear" w:fill="F3F4F6"/>
        <w:spacing w:before="40" w:after="140"/>
        <w:ind w:left="403" w:right="259"/>
        <w:rPr>
          <w:color w:val="000000" w:themeColor="text1"/>
          <w14:textFill>
            <w14:solidFill>
              <w14:schemeClr w14:val="tx1"/>
            </w14:solidFill>
          </w14:textFill>
        </w:rPr>
      </w:pPr>
      <w:r>
        <w:rPr>
          <w:rFonts w:ascii="Consolas" w:hAnsi="Consolas" w:eastAsia="Consolas"/>
          <w:b w:val="0"/>
          <w:i w:val="0"/>
          <w:color w:val="000000" w:themeColor="text1"/>
          <w:sz w:val="16"/>
          <w14:textFill>
            <w14:solidFill>
              <w14:schemeClr w14:val="tx1"/>
            </w14:solidFill>
          </w14:textFill>
        </w:rPr>
        <w:t>E = propagate(Eafter2, zCXC1-zCBSM2);</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E = E.*exp(-1i*k*x.^2/(2*fXC1));</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E = propagate(E, zCXC2-zCXC1);</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E = E.*exp(-1i*k*x.^2/(2*fXC2));</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Etarget = propagate(E, zTarget-zCXC2);</w:t>
      </w:r>
      <w:r>
        <w:rPr>
          <w:rFonts w:ascii="Consolas" w:hAnsi="Consolas" w:eastAsia="Consolas"/>
          <w:b w:val="0"/>
          <w:i w:val="0"/>
          <w:color w:val="000000" w:themeColor="text1"/>
          <w:sz w:val="16"/>
          <w14:textFill>
            <w14:solidFill>
              <w14:schemeClr w14:val="tx1"/>
            </w14:solidFill>
          </w14:textFill>
        </w:rPr>
        <w:br w:type="textWrapping"/>
      </w:r>
      <w:r>
        <w:rPr>
          <w:rFonts w:ascii="Consolas" w:hAnsi="Consolas" w:eastAsia="Consolas"/>
          <w:b w:val="0"/>
          <w:i w:val="0"/>
          <w:color w:val="000000" w:themeColor="text1"/>
          <w:sz w:val="16"/>
          <w14:textFill>
            <w14:solidFill>
              <w14:schemeClr w14:val="tx1"/>
            </w14:solidFill>
          </w14:textFill>
        </w:rPr>
        <w:t>% YFL: X optical power = 0, 因此不乘 X 向透镜相位</w:t>
      </w:r>
    </w:p>
    <w:p w14:paraId="40E7B4D7">
      <w:pPr>
        <w:pStyle w:val="4"/>
        <w:keepNext/>
        <w:rPr>
          <w:color w:val="000000" w:themeColor="text1"/>
          <w14:textFill>
            <w14:solidFill>
              <w14:schemeClr w14:val="tx1"/>
            </w14:solidFill>
          </w14:textFill>
        </w:rPr>
      </w:pPr>
      <w:r>
        <w:rPr>
          <w:rFonts w:ascii="微软雅黑" w:hAnsi="微软雅黑" w:eastAsia="微软雅黑"/>
          <w:b/>
          <w:i w:val="0"/>
          <w:color w:val="000000" w:themeColor="text1"/>
          <w:sz w:val="26"/>
          <w14:textFill>
            <w14:solidFill>
              <w14:schemeClr w14:val="tx1"/>
            </w14:solidFill>
          </w14:textFill>
        </w:rPr>
        <w:t>7.7 指标提取、状态和输出</w:t>
      </w:r>
    </w:p>
    <w:p w14:paraId="5B09EB8C">
      <w:pPr>
        <w:spacing w:after="120" w:line="276" w:lineRule="auto"/>
        <w:rPr>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wavefrontMetrics 在有效光斑内拟合二次相位，计算平均倾角、局部角度 RMS、去 piston/倾斜后的相位 RMS和波前曲率半径；thresholdWidth 按强度 e⁻² 阈值提取全宽。独立模型通过条件为：线宽误差≤5%、平均倾角≤10 µrad、相位 RMS≤0.10 rad、曲率边缘斜率≤50 µrad。geometricPass 表示几何链通过；designPass 表示几何链与厂商相位或独立模型至少一项通过；acceptancePass 只在几何链和厂商相位均通过时为真。</w:t>
      </w:r>
    </w:p>
    <w:p w14:paraId="746277C9">
      <w:pPr>
        <w:spacing w:after="120" w:line="276" w:lineRule="auto"/>
        <w:rPr>
          <w:rFonts w:hint="eastAsia" w:ascii="微软雅黑" w:hAnsi="微软雅黑" w:eastAsia="微软雅黑" w:cs="微软雅黑"/>
          <w:color w:val="000000" w:themeColor="text1"/>
          <w14:textFill>
            <w14:solidFill>
              <w14:schemeClr w14:val="tx1"/>
            </w14:solidFill>
          </w14:textFill>
        </w:rPr>
      </w:pPr>
      <w:r>
        <w:rPr>
          <w:rFonts w:ascii="微软雅黑" w:hAnsi="微软雅黑" w:eastAsia="微软雅黑"/>
          <w:b w:val="0"/>
          <w:i w:val="0"/>
          <w:color w:val="000000" w:themeColor="text1"/>
          <w:sz w:val="21"/>
          <w14:textFill>
            <w14:solidFill>
              <w14:schemeClr w14:val="tx1"/>
            </w14:solidFill>
          </w14:textFill>
        </w:rPr>
        <w:t>输出包括 collimated_x_abcd.csv、collimated_x_verification.csv、holoor_phase_verification.csv、holoor_collimated_summary.csv、phase_surrogate_profiles.csv、phase_surrogate_summary.csv、MAT 结果文件及 XZ/YZ/复场图。plot_holoor_collimated_paths.m 只绘制几何包络，不替代衍射复场判定；无 X 光焦度的 Y 元件在 XZ 图中用虚线表示。</w:t>
      </w:r>
      <w:bookmarkStart w:id="0" w:name="_GoBack"/>
      <w:bookmarkEnd w:id="0"/>
    </w:p>
    <w:p w14:paraId="2C1363CA">
      <w:pPr>
        <w:pStyle w:val="3"/>
        <w:keepNext/>
        <w:rPr>
          <w:color w:val="000000" w:themeColor="text1"/>
          <w14:textFill>
            <w14:solidFill>
              <w14:schemeClr w14:val="tx1"/>
            </w14:solidFill>
          </w14:textFill>
        </w:rPr>
      </w:pPr>
      <w:r>
        <w:rPr>
          <w:rFonts w:ascii="微软雅黑" w:hAnsi="微软雅黑" w:eastAsia="微软雅黑"/>
          <w:b/>
          <w:i w:val="0"/>
          <w:color w:val="000000" w:themeColor="text1"/>
          <w:sz w:val="23"/>
          <w14:textFill>
            <w14:solidFill>
              <w14:schemeClr w14:val="tx1"/>
            </w14:solidFill>
          </w14:textFill>
        </w:rPr>
        <w:t>附录 A：最终资料包结构</w:t>
      </w:r>
    </w:p>
    <w:p w14:paraId="4A82503D">
      <w:pPr>
        <w:pStyle w:val="16"/>
        <w:spacing w:after="80"/>
        <w:rPr>
          <w:color w:val="000000" w:themeColor="text1"/>
          <w14:textFill>
            <w14:solidFill>
              <w14:schemeClr w14:val="tx1"/>
            </w14:solidFill>
          </w14:textFill>
        </w:rPr>
      </w:pPr>
      <w:r>
        <w:rPr>
          <w:rFonts w:ascii="微软雅黑" w:hAnsi="微软雅黑" w:eastAsia="微软雅黑"/>
          <w:b w:val="0"/>
          <w:i w:val="0"/>
          <w:color w:val="000000" w:themeColor="text1"/>
          <w:sz w:val="20"/>
          <w14:textFill>
            <w14:solidFill>
              <w14:schemeClr w14:val="tx1"/>
            </w14:solidFill>
          </w14:textFill>
        </w:rPr>
        <w:t>01_vendor_model：仅保留 HOLO/OR 出口复场文件格式说明；收到官方复场后放入此目录。</w:t>
      </w:r>
    </w:p>
    <w:p w14:paraId="414BB343">
      <w:pPr>
        <w:pStyle w:val="16"/>
        <w:spacing w:after="80"/>
        <w:rPr>
          <w:color w:val="000000" w:themeColor="text1"/>
          <w14:textFill>
            <w14:solidFill>
              <w14:schemeClr w14:val="tx1"/>
            </w14:solidFill>
          </w14:textFill>
        </w:rPr>
      </w:pPr>
      <w:r>
        <w:rPr>
          <w:rFonts w:ascii="微软雅黑" w:hAnsi="微软雅黑" w:eastAsia="微软雅黑"/>
          <w:b w:val="0"/>
          <w:i w:val="0"/>
          <w:color w:val="000000" w:themeColor="text1"/>
          <w:sz w:val="20"/>
          <w14:textFill>
            <w14:solidFill>
              <w14:schemeClr w14:val="tx1"/>
            </w14:solidFill>
          </w14:textFill>
        </w:rPr>
        <w:t>02_matlab_code：仅保留准直线光最终主程序、配置、求解器、独立替代模型和光路绘图代码。</w:t>
      </w:r>
    </w:p>
    <w:p w14:paraId="2694ECB6">
      <w:pPr>
        <w:pStyle w:val="16"/>
        <w:spacing w:after="80"/>
        <w:rPr>
          <w:color w:val="000000" w:themeColor="text1"/>
          <w14:textFill>
            <w14:solidFill>
              <w14:schemeClr w14:val="tx1"/>
            </w14:solidFill>
          </w14:textFill>
        </w:rPr>
      </w:pPr>
      <w:r>
        <w:rPr>
          <w:rFonts w:ascii="微软雅黑" w:hAnsi="微软雅黑" w:eastAsia="微软雅黑"/>
          <w:b w:val="0"/>
          <w:i w:val="0"/>
          <w:color w:val="000000" w:themeColor="text1"/>
          <w:sz w:val="20"/>
          <w14:textFill>
            <w14:solidFill>
              <w14:schemeClr w14:val="tx1"/>
            </w14:solidFill>
          </w14:textFill>
        </w:rPr>
        <w:t>03_simulation_results/collimated_line_R2019b：仅保留最终准直方案结果。</w:t>
      </w:r>
    </w:p>
    <w:p w14:paraId="36770A32">
      <w:pPr>
        <w:pStyle w:val="16"/>
        <w:spacing w:after="80"/>
        <w:rPr>
          <w:color w:val="000000" w:themeColor="text1"/>
          <w14:textFill>
            <w14:solidFill>
              <w14:schemeClr w14:val="tx1"/>
            </w14:solidFill>
          </w14:textFill>
        </w:rPr>
      </w:pPr>
      <w:r>
        <w:rPr>
          <w:rFonts w:ascii="微软雅黑" w:hAnsi="微软雅黑" w:eastAsia="微软雅黑"/>
          <w:b w:val="0"/>
          <w:i w:val="0"/>
          <w:color w:val="000000" w:themeColor="text1"/>
          <w:sz w:val="20"/>
          <w14:textFill>
            <w14:solidFill>
              <w14:schemeClr w14:val="tx1"/>
            </w14:solidFill>
          </w14:textFill>
        </w:rPr>
        <w:t>04_official_references：仅保留与准直模块、DOE 原理和采购核对有关的官方资料链接。</w:t>
      </w:r>
    </w:p>
    <w:p w14:paraId="52CDB324">
      <w:pPr>
        <w:pStyle w:val="16"/>
        <w:spacing w:after="80"/>
        <w:rPr>
          <w:color w:val="000000" w:themeColor="text1"/>
          <w14:textFill>
            <w14:solidFill>
              <w14:schemeClr w14:val="tx1"/>
            </w14:solidFill>
          </w14:textFill>
        </w:rPr>
      </w:pPr>
      <w:r>
        <w:rPr>
          <w:rFonts w:ascii="微软雅黑" w:hAnsi="微软雅黑" w:eastAsia="微软雅黑"/>
          <w:b w:val="0"/>
          <w:i w:val="0"/>
          <w:color w:val="000000" w:themeColor="text1"/>
          <w:sz w:val="20"/>
          <w14:textFill>
            <w14:solidFill>
              <w14:schemeClr w14:val="tx1"/>
            </w14:solidFill>
          </w14:textFill>
        </w:rPr>
        <w:t>HOLOOR_355nm准直线光技术说明.docx：本技术说明。</w:t>
      </w:r>
    </w:p>
    <w:p w14:paraId="67C5C5EC">
      <w:pPr>
        <w:pStyle w:val="3"/>
        <w:keepNext/>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附录 B：官方资料</w:t>
      </w:r>
    </w:p>
    <w:p w14:paraId="784F7D6A">
      <w:pPr>
        <w:ind w:left="216" w:hanging="216"/>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sz w:val="18"/>
          <w14:textFill>
            <w14:solidFill>
              <w14:schemeClr w14:val="tx1"/>
            </w14:solidFill>
          </w14:textFill>
        </w:rPr>
        <w:t>[1] HOLO/OR, Collimated Beam Shaper Module, https://www.holoor.co.il/collimated-beam-shaper/（访问：2026-08-13）。</w:t>
      </w:r>
    </w:p>
    <w:p w14:paraId="34998161">
      <w:pPr>
        <w:ind w:left="216" w:hanging="216"/>
        <w:rPr>
          <w:rFonts w:hint="eastAsia" w:ascii="微软雅黑" w:hAnsi="微软雅黑" w:eastAsia="微软雅黑" w:cs="微软雅黑"/>
          <w:color w:val="000000" w:themeColor="text1"/>
          <w14:textFill>
            <w14:solidFill>
              <w14:schemeClr w14:val="tx1"/>
            </w14:solidFill>
          </w14:textFill>
        </w:rPr>
      </w:pPr>
      <w:r>
        <w:rPr>
          <w:rFonts w:ascii="微软雅黑" w:hAnsi="微软雅黑" w:eastAsia="微软雅黑"/>
          <w:b w:val="0"/>
          <w:i w:val="0"/>
          <w:color w:val="000000" w:themeColor="text1"/>
          <w:sz w:val="19"/>
          <w14:textFill>
            <w14:solidFill>
              <w14:schemeClr w14:val="tx1"/>
            </w14:solidFill>
          </w14:textFill>
        </w:rPr>
        <w:t>[2] HOLO/OR, FAQ, https://www.holoor.co.il/faq/（访问：2026-08-13）。</w:t>
      </w:r>
    </w:p>
    <w:p w14:paraId="29F4B3FA">
      <w:pPr>
        <w:ind w:left="216" w:hanging="216"/>
        <w:rPr>
          <w:rFonts w:hint="eastAsia" w:ascii="微软雅黑" w:hAnsi="微软雅黑" w:eastAsia="微软雅黑" w:cs="微软雅黑"/>
          <w:color w:val="000000" w:themeColor="text1"/>
          <w14:textFill>
            <w14:solidFill>
              <w14:schemeClr w14:val="tx1"/>
            </w14:solidFill>
          </w14:textFill>
        </w:rPr>
      </w:pPr>
      <w:r>
        <w:rPr>
          <w:rFonts w:ascii="微软雅黑" w:hAnsi="微软雅黑" w:eastAsia="微软雅黑"/>
          <w:b w:val="0"/>
          <w:i w:val="0"/>
          <w:color w:val="000000" w:themeColor="text1"/>
          <w:sz w:val="19"/>
          <w14:textFill>
            <w14:solidFill>
              <w14:schemeClr w14:val="tx1"/>
            </w14:solidFill>
          </w14:textFill>
        </w:rPr>
        <w:t>[3] HOLO/OR, Beam Shaper Advantages / Single vs Multi Element, https://www.holoor.co.il/beam-shaper-advantages/（访问：2026-08-13）。</w:t>
      </w:r>
    </w:p>
    <w:p w14:paraId="71A37379">
      <w:pPr>
        <w:ind w:left="216" w:hanging="216"/>
        <w:rPr>
          <w:rFonts w:hint="eastAsia" w:ascii="微软雅黑" w:hAnsi="微软雅黑" w:eastAsia="微软雅黑" w:cs="微软雅黑"/>
          <w:color w:val="000000" w:themeColor="text1"/>
          <w14:textFill>
            <w14:solidFill>
              <w14:schemeClr w14:val="tx1"/>
            </w14:solidFill>
          </w14:textFill>
        </w:rPr>
      </w:pPr>
      <w:r>
        <w:rPr>
          <w:rFonts w:ascii="微软雅黑" w:hAnsi="微软雅黑" w:eastAsia="微软雅黑"/>
          <w:b w:val="0"/>
          <w:i w:val="0"/>
          <w:color w:val="000000" w:themeColor="text1"/>
          <w:sz w:val="19"/>
          <w14:textFill>
            <w14:solidFill>
              <w14:schemeClr w14:val="tx1"/>
            </w14:solidFill>
          </w14:textFill>
        </w:rPr>
        <w:t>[4] HOLO/OR, Top Hat Beam case study, https://www.holoor.co.il/top-hat-beam/（访问：2026-08-13）。</w:t>
      </w:r>
    </w:p>
    <w:p w14:paraId="38208896">
      <w:pPr>
        <w:spacing w:after="0"/>
        <w:rPr>
          <w:rFonts w:hint="eastAsia" w:ascii="微软雅黑" w:hAnsi="微软雅黑" w:eastAsia="微软雅黑" w:cs="微软雅黑"/>
          <w:color w:val="000000" w:themeColor="text1"/>
          <w14:textFill>
            <w14:solidFill>
              <w14:schemeClr w14:val="tx1"/>
            </w14:solidFill>
          </w14:textFill>
        </w:rPr>
      </w:pPr>
    </w:p>
    <w:sectPr>
      <w:headerReference r:id="rId5" w:type="default"/>
      <w:footerReference r:id="rId6" w:type="default"/>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Kozuka Mincho Pr6N R"/>
    <w:panose1 w:val="00000000000000000000"/>
    <w:charset w:val="80"/>
    <w:family w:val="roman"/>
    <w:pitch w:val="default"/>
    <w:sig w:usb0="00000000" w:usb1="00000000" w:usb2="00000010" w:usb3="00000000" w:csb0="00020000" w:csb1="00000000"/>
  </w:font>
  <w:font w:name="Kozuka Mincho Pr6N R">
    <w:panose1 w:val="02020400000000000000"/>
    <w:charset w:val="80"/>
    <w:family w:val="auto"/>
    <w:pitch w:val="default"/>
    <w:sig w:usb0="000002D7" w:usb1="2AC71C11" w:usb2="00000012"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ＭＳ 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B6019F">
    <w:pPr>
      <w:pStyle w:val="24"/>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391B8">
    <w:pPr>
      <w:pStyle w:val="25"/>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92531D"/>
    <w:rsid w:val="148C3C1A"/>
    <w:rsid w:val="2C6308E2"/>
    <w:rsid w:val="2DBA4F85"/>
    <w:rsid w:val="316D434F"/>
    <w:rsid w:val="4C714C8A"/>
    <w:rsid w:val="61F15812"/>
    <w:rsid w:val="6C5172E2"/>
    <w:rsid w:val="74EB4D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120" w:line="264" w:lineRule="auto"/>
    </w:pPr>
    <w:rPr>
      <w:rFonts w:ascii="微软雅黑" w:hAnsi="微软雅黑" w:eastAsia="微软雅黑" w:cs="微软雅黑"/>
      <w:color w:val="000000" w:themeColor="text1"/>
      <w:sz w:val="22"/>
      <w:szCs w:val="22"/>
      <w:lang w:val="en-US" w:eastAsia="en-US" w:bidi="ar-SA"/>
      <w14:textFill>
        <w14:solidFill>
          <w14:schemeClr w14:val="tx1"/>
        </w14:solidFill>
      </w14:textFill>
    </w:rPr>
  </w:style>
  <w:style w:type="paragraph" w:styleId="3">
    <w:name w:val="heading 1"/>
    <w:basedOn w:val="1"/>
    <w:next w:val="1"/>
    <w:link w:val="138"/>
    <w:qFormat/>
    <w:uiPriority w:val="9"/>
    <w:pPr>
      <w:keepNext/>
      <w:keepLines/>
      <w:spacing w:before="320" w:after="160"/>
      <w:outlineLvl w:val="0"/>
    </w:pPr>
    <w:rPr>
      <w:rFonts w:asciiTheme="majorHAnsi" w:hAnsiTheme="majorHAnsi" w:eastAsiaTheme="majorEastAsia" w:cstheme="majorBidi"/>
      <w:b/>
      <w:bCs/>
      <w:color w:val="2E74B5"/>
      <w:sz w:val="32"/>
      <w:szCs w:val="28"/>
    </w:rPr>
  </w:style>
  <w:style w:type="paragraph" w:styleId="4">
    <w:name w:val="heading 2"/>
    <w:basedOn w:val="1"/>
    <w:next w:val="1"/>
    <w:link w:val="139"/>
    <w:unhideWhenUsed/>
    <w:qFormat/>
    <w:uiPriority w:val="9"/>
    <w:pPr>
      <w:keepNext/>
      <w:keepLines/>
      <w:spacing w:before="240" w:after="120"/>
      <w:outlineLvl w:val="1"/>
    </w:pPr>
    <w:rPr>
      <w:rFonts w:asciiTheme="majorHAnsi" w:hAnsiTheme="majorHAnsi" w:eastAsiaTheme="majorEastAsia" w:cstheme="majorBidi"/>
      <w:b/>
      <w:bCs/>
      <w:color w:val="2E74B5"/>
      <w:sz w:val="26"/>
      <w:szCs w:val="26"/>
    </w:rPr>
  </w:style>
  <w:style w:type="paragraph" w:styleId="5">
    <w:name w:val="heading 3"/>
    <w:basedOn w:val="1"/>
    <w:next w:val="1"/>
    <w:link w:val="140"/>
    <w:unhideWhenUsed/>
    <w:qFormat/>
    <w:uiPriority w:val="9"/>
    <w:pPr>
      <w:keepNext/>
      <w:keepLines/>
      <w:spacing w:before="160" w:after="80"/>
      <w:outlineLvl w:val="2"/>
    </w:pPr>
    <w:rPr>
      <w:rFonts w:asciiTheme="majorHAnsi" w:hAnsiTheme="majorHAnsi" w:eastAsiaTheme="majorEastAsia" w:cstheme="majorBidi"/>
      <w:b/>
      <w:bCs/>
      <w:color w:val="1F4E79"/>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spacing w:after="160" w:line="280" w:lineRule="auto"/>
      <w:contextualSpacing/>
    </w:pPr>
    <w:rPr>
      <w:rFonts w:ascii="Calibri" w:hAnsi="Calibri" w:eastAsia="等线"/>
      <w:sz w:val="21"/>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spacing w:after="160" w:line="280" w:lineRule="auto"/>
      <w:contextualSpacing/>
    </w:pPr>
    <w:rPr>
      <w:rFonts w:ascii="Calibri" w:hAnsi="Calibri" w:eastAsia="等线"/>
      <w:sz w:val="21"/>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pPr>
      <w:keepNext/>
      <w:spacing w:before="0" w:after="320"/>
    </w:pPr>
    <w:rPr>
      <w:rFonts w:asciiTheme="majorHAnsi" w:hAnsiTheme="majorHAnsi" w:eastAsiaTheme="majorEastAsia" w:cstheme="majorBidi"/>
      <w:i/>
      <w:iCs/>
      <w:color w:val="667085"/>
      <w:spacing w:val="15"/>
      <w:sz w:val="26"/>
      <w:szCs w:val="24"/>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keepNext/>
      <w:pBdr>
        <w:bottom w:val="single" w:color="4F81BD" w:themeColor="accent1" w:sz="8" w:space="4"/>
      </w:pBdr>
      <w:spacing w:before="0" w:after="240" w:line="240" w:lineRule="auto"/>
      <w:contextualSpacing/>
    </w:pPr>
    <w:rPr>
      <w:rFonts w:asciiTheme="majorHAnsi" w:hAnsiTheme="majorHAnsi" w:eastAsiaTheme="majorEastAsia" w:cstheme="majorBidi"/>
      <w:color w:val="1F4E79"/>
      <w:spacing w:val="5"/>
      <w:kern w:val="28"/>
      <w:sz w:val="48"/>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4627</Words>
  <Characters>10309</Characters>
  <Lines>0</Lines>
  <Paragraphs>0</Paragraphs>
  <TotalTime>8</TotalTime>
  <ScaleCrop>false</ScaleCrop>
  <LinksUpToDate>false</LinksUpToDate>
  <CharactersWithSpaces>11177</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Laser Simulation Project</dc:creator>
  <dc:description>已移除旧焦面方案及旧 HOLO/OR 厂商程序内容</dc:description>
  <cp:lastModifiedBy>吴凡</cp:lastModifiedBy>
  <dcterms:modified xsi:type="dcterms:W3CDTF">2026-08-13T09:36:41Z</dcterms:modified>
  <dc:subject>最终准直线光方案、DOE 原理、数学模型与 MATLAB R2019b 程序过程</dc:subject>
  <dc:title>355 nm HOLO/OR 准直线光技术说明</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eyJoZGlkIjoiNDljOTcyNjAxM2NhYzAxMTY0ZjE1OGEwNzg3NWJlMDIiLCJ1c2VySWQiOiI1NzYyNjUwOTcifQ==</vt:lpwstr>
  </property>
  <property fmtid="{D5CDD505-2E9C-101B-9397-08002B2CF9AE}" pid="3" name="KSOProductBuildVer">
    <vt:lpwstr>2052-12.1.0.28043</vt:lpwstr>
  </property>
  <property fmtid="{D5CDD505-2E9C-101B-9397-08002B2CF9AE}" pid="4" name="ICV">
    <vt:lpwstr>3BAC05073827457DAD956661180CEA05_12</vt:lpwstr>
  </property>
</Properties>
</file>