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4CDA1">
      <w:pPr>
        <w:pStyle w:val="31"/>
        <w:keepNext/>
        <w:pBdr>
          <w:top w:val="none" w:color="auto" w:sz="0" w:space="0"/>
          <w:left w:val="none" w:color="auto" w:sz="0" w:space="0"/>
          <w:bottom w:val="none" w:color="4F81BD" w:themeColor="accent1" w:sz="0" w:space="4"/>
          <w:right w:val="none" w:color="auto" w:sz="0" w:space="0"/>
          <w:between w:val="none" w:color="auto" w:sz="0" w:space="0"/>
        </w:pBdr>
        <w:spacing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355 nm 32级浮雕DOE技术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分享</w:t>
      </w:r>
    </w:p>
    <w:p w14:paraId="6AE86F3F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方案介绍</w:t>
      </w:r>
    </w:p>
    <w:p w14:paraId="28B2C7C6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本方案采用两片一维多级浮雕DOE实现355 nm高斯光束到X向线形平顶光的能量重分配和波前展平。DOE1负责强度映射，DOE2位于100 mm后并补偿实际残余相位。两片结构都只沿X变化、沿Y等高延伸；它们共同形成近似准直的X向输出，不能只加工或安装其中一片。</w:t>
      </w:r>
    </w:p>
    <w:p w14:paraId="0F09D6E8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DOE之后不再对X扩束或压缩。后级YBE1/YBE2只扩展Y，末片YFL仅在Y方向具有fY=100 mm光焦度，在X方向fX=∞。因此目标面同时获得约1.5 mm的近似平行X线光和1.0 µm的Y焦斑。</w:t>
      </w:r>
    </w:p>
    <w:p w14:paraId="46256819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1. 需求与设计输入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1721"/>
        <w:gridCol w:w="2340"/>
        <w:gridCol w:w="3854"/>
      </w:tblGrid>
      <w:tr w14:paraId="61B35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5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7C5E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类别</w:t>
            </w:r>
          </w:p>
        </w:tc>
        <w:tc>
          <w:tcPr>
            <w:tcW w:w="1721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9B31E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参数</w:t>
            </w:r>
          </w:p>
        </w:tc>
        <w:tc>
          <w:tcPr>
            <w:tcW w:w="2340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1CFFEA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设计值/约束</w:t>
            </w:r>
          </w:p>
        </w:tc>
        <w:tc>
          <w:tcPr>
            <w:tcW w:w="3854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B6EE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定义</w:t>
            </w:r>
          </w:p>
        </w:tc>
      </w:tr>
      <w:tr w14:paraId="55CE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BA8E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光源</w:t>
            </w:r>
          </w:p>
        </w:tc>
        <w:tc>
          <w:tcPr>
            <w:tcW w:w="172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8EB67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波长</w:t>
            </w:r>
          </w:p>
        </w:tc>
        <w:tc>
          <w:tcPr>
            <w:tcW w:w="234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94A5DC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355 nm</w:t>
            </w:r>
          </w:p>
        </w:tc>
        <w:tc>
          <w:tcPr>
            <w:tcW w:w="385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CEC64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全部材料、镀膜和传播按355 nm</w:t>
            </w:r>
          </w:p>
        </w:tc>
      </w:tr>
      <w:tr w14:paraId="7E03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31C17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光源</w:t>
            </w:r>
          </w:p>
        </w:tc>
        <w:tc>
          <w:tcPr>
            <w:tcW w:w="1721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7542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相干性</w:t>
            </w:r>
          </w:p>
        </w:tc>
        <w:tc>
          <w:tcPr>
            <w:tcW w:w="234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0DC24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完全相干CW单模</w:t>
            </w:r>
          </w:p>
        </w:tc>
        <w:tc>
          <w:tcPr>
            <w:tcW w:w="3854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AFEB1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用单一确定性复电场传播</w:t>
            </w:r>
          </w:p>
        </w:tc>
      </w:tr>
      <w:tr w14:paraId="7286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C7782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光源</w:t>
            </w:r>
          </w:p>
        </w:tc>
        <w:tc>
          <w:tcPr>
            <w:tcW w:w="172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DB2656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束腰位置</w:t>
            </w:r>
          </w:p>
        </w:tc>
        <w:tc>
          <w:tcPr>
            <w:tcW w:w="234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1110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激光出口z=0</w:t>
            </w:r>
          </w:p>
        </w:tc>
        <w:tc>
          <w:tcPr>
            <w:tcW w:w="385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419624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初始波前平坦，R=∞</w:t>
            </w:r>
          </w:p>
        </w:tc>
      </w:tr>
      <w:tr w14:paraId="6049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9DAC0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光源</w:t>
            </w:r>
          </w:p>
        </w:tc>
        <w:tc>
          <w:tcPr>
            <w:tcW w:w="1721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6E184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束腰直径</w:t>
            </w:r>
          </w:p>
        </w:tc>
        <w:tc>
          <w:tcPr>
            <w:tcW w:w="234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ED4B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Dx=1.0 mm；Dy=1.1 mm</w:t>
            </w:r>
          </w:p>
        </w:tc>
        <w:tc>
          <w:tcPr>
            <w:tcW w:w="3854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2E09A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全1/e²强度直径，短轴沿X</w:t>
            </w:r>
          </w:p>
        </w:tc>
      </w:tr>
      <w:tr w14:paraId="0B35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48EE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光源</w:t>
            </w:r>
          </w:p>
        </w:tc>
        <w:tc>
          <w:tcPr>
            <w:tcW w:w="172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314A49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M²</w:t>
            </w:r>
          </w:p>
        </w:tc>
        <w:tc>
          <w:tcPr>
            <w:tcW w:w="234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675A7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M²X=M²Y=1.2</w:t>
            </w:r>
          </w:p>
        </w:tc>
        <w:tc>
          <w:tcPr>
            <w:tcW w:w="385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88F70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实际测量值</w:t>
            </w:r>
          </w:p>
        </w:tc>
      </w:tr>
      <w:tr w14:paraId="62295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DFEEC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目标</w:t>
            </w:r>
          </w:p>
        </w:tc>
        <w:tc>
          <w:tcPr>
            <w:tcW w:w="1721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97C486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X尺寸</w:t>
            </w:r>
          </w:p>
        </w:tc>
        <w:tc>
          <w:tcPr>
            <w:tcW w:w="234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ACBB50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1.5 mm</w:t>
            </w:r>
          </w:p>
        </w:tc>
        <w:tc>
          <w:tcPr>
            <w:tcW w:w="3854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37C53F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全1/e²宽度，近似平行</w:t>
            </w:r>
          </w:p>
        </w:tc>
      </w:tr>
      <w:tr w14:paraId="1B83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8D1A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目标</w:t>
            </w:r>
          </w:p>
        </w:tc>
        <w:tc>
          <w:tcPr>
            <w:tcW w:w="172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652E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Y尺寸</w:t>
            </w:r>
          </w:p>
        </w:tc>
        <w:tc>
          <w:tcPr>
            <w:tcW w:w="234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FFA5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1.0 µm</w:t>
            </w:r>
          </w:p>
        </w:tc>
        <w:tc>
          <w:tcPr>
            <w:tcW w:w="385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659F92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全1/e²焦斑宽度</w:t>
            </w:r>
          </w:p>
        </w:tc>
      </w:tr>
      <w:tr w14:paraId="77347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C406D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目标</w:t>
            </w:r>
          </w:p>
        </w:tc>
        <w:tc>
          <w:tcPr>
            <w:tcW w:w="1721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F24E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工作距离</w:t>
            </w:r>
          </w:p>
        </w:tc>
        <w:tc>
          <w:tcPr>
            <w:tcW w:w="234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403B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100 mm</w:t>
            </w:r>
          </w:p>
        </w:tc>
        <w:tc>
          <w:tcPr>
            <w:tcW w:w="3854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151B68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YFL至目标面</w:t>
            </w:r>
          </w:p>
        </w:tc>
      </w:tr>
      <w:tr w14:paraId="4D4BF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DBF89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DOE</w:t>
            </w:r>
          </w:p>
        </w:tc>
        <w:tc>
          <w:tcPr>
            <w:tcW w:w="172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BFB3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基底</w:t>
            </w:r>
          </w:p>
        </w:tc>
        <w:tc>
          <w:tcPr>
            <w:tcW w:w="234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7F6F2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熔融石英</w:t>
            </w:r>
          </w:p>
        </w:tc>
        <w:tc>
          <w:tcPr>
            <w:tcW w:w="385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402874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n(355 nm)=1.476071880</w:t>
            </w:r>
          </w:p>
        </w:tc>
      </w:tr>
      <w:tr w14:paraId="40CA8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D2DD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DOE</w:t>
            </w:r>
          </w:p>
        </w:tc>
        <w:tc>
          <w:tcPr>
            <w:tcW w:w="1721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2A93E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结构</w:t>
            </w:r>
          </w:p>
        </w:tc>
        <w:tc>
          <w:tcPr>
            <w:tcW w:w="234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DB6D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两片、32级</w:t>
            </w:r>
          </w:p>
        </w:tc>
        <w:tc>
          <w:tcPr>
            <w:tcW w:w="3854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26805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DOE1映射，DOE2展平相位</w:t>
            </w:r>
          </w:p>
        </w:tc>
      </w:tr>
      <w:tr w14:paraId="47C03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80B8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验收</w:t>
            </w:r>
          </w:p>
        </w:tc>
        <w:tc>
          <w:tcPr>
            <w:tcW w:w="172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DD5D5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均匀性</w:t>
            </w:r>
          </w:p>
        </w:tc>
        <w:tc>
          <w:tcPr>
            <w:tcW w:w="234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1E05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Imin/Imax≥90%</w:t>
            </w:r>
          </w:p>
        </w:tc>
        <w:tc>
          <w:tcPr>
            <w:tcW w:w="385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8633D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固定中央1.35 mm；当前最佳为85.388434%</w:t>
            </w:r>
          </w:p>
        </w:tc>
      </w:tr>
    </w:tbl>
    <w:p w14:paraId="31D96FF3">
      <w:pPr>
        <w:spacing w:after="4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BDF545A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2. 光学系统方案</w:t>
      </w:r>
    </w:p>
    <w:p w14:paraId="3B68DA32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2.1 功能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元件</w:t>
      </w:r>
    </w:p>
    <w:p w14:paraId="7D018EC8">
      <w:pPr>
        <w:pStyle w:val="16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SBE1/SBE2是激光后的第一组元件，也是唯一圆对称扩束组，将X/Y共同扩束。</w:t>
      </w:r>
    </w:p>
    <w:p w14:paraId="6051ECC5">
      <w:pPr>
        <w:pStyle w:val="16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DOE1/DOE2只对X复场进行强度映射和相位展平，Y不由DOE聚焦。</w:t>
      </w:r>
    </w:p>
    <w:p w14:paraId="3F309D66">
      <w:pPr>
        <w:pStyle w:val="16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YBE1/YBE2只扩展Y光束，为100 mm工作距离的1.0 µm焦斑提供所需入射口径。</w:t>
      </w:r>
    </w:p>
    <w:p w14:paraId="0D95F4C5">
      <w:pPr>
        <w:pStyle w:val="16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YFL只对Y聚焦，X方向fX=∞。</w:t>
      </w:r>
    </w:p>
    <w:p w14:paraId="485AA48B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2.2 元件位置与作用轴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109"/>
        <w:gridCol w:w="1179"/>
        <w:gridCol w:w="1803"/>
        <w:gridCol w:w="4160"/>
      </w:tblGrid>
      <w:tr w14:paraId="6BFFA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9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93F7B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ID</w:t>
            </w:r>
          </w:p>
        </w:tc>
        <w:tc>
          <w:tcPr>
            <w:tcW w:w="1109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A7097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Z/mm</w:t>
            </w:r>
          </w:p>
        </w:tc>
        <w:tc>
          <w:tcPr>
            <w:tcW w:w="1179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DCE1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作用轴</w:t>
            </w:r>
          </w:p>
        </w:tc>
        <w:tc>
          <w:tcPr>
            <w:tcW w:w="1803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FFAF7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焦距/功能</w:t>
            </w:r>
          </w:p>
        </w:tc>
        <w:tc>
          <w:tcPr>
            <w:tcW w:w="4160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E2DE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说明</w:t>
            </w:r>
          </w:p>
        </w:tc>
      </w:tr>
      <w:tr w14:paraId="5B5EE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671CE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LASER</w:t>
            </w:r>
          </w:p>
        </w:tc>
        <w:tc>
          <w:tcPr>
            <w:tcW w:w="110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5EA0C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0.0</w:t>
            </w:r>
          </w:p>
        </w:tc>
        <w:tc>
          <w:tcPr>
            <w:tcW w:w="117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81C6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-</w:t>
            </w:r>
          </w:p>
        </w:tc>
        <w:tc>
          <w:tcPr>
            <w:tcW w:w="180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D5067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fX=∞; fY=∞</w:t>
            </w:r>
          </w:p>
        </w:tc>
        <w:tc>
          <w:tcPr>
            <w:tcW w:w="41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170C6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355 nm完全相干CW束腰；Dx=Dy=1.0 mm，M²X=M²Y=1.2</w:t>
            </w:r>
          </w:p>
        </w:tc>
      </w:tr>
      <w:tr w14:paraId="3E99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A1DD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SBE1</w:t>
            </w:r>
          </w:p>
        </w:tc>
        <w:tc>
          <w:tcPr>
            <w:tcW w:w="110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8AA9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30.0</w:t>
            </w:r>
          </w:p>
        </w:tc>
        <w:tc>
          <w:tcPr>
            <w:tcW w:w="117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39F2A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XY</w:t>
            </w:r>
          </w:p>
        </w:tc>
        <w:tc>
          <w:tcPr>
            <w:tcW w:w="180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DAA2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fX=-10; fY=-10</w:t>
            </w:r>
          </w:p>
        </w:tc>
        <w:tc>
          <w:tcPr>
            <w:tcW w:w="41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4145D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第一元件；圆对称负扩束镜</w:t>
            </w:r>
          </w:p>
        </w:tc>
      </w:tr>
      <w:tr w14:paraId="04ED3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1E7D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SBE2</w:t>
            </w:r>
          </w:p>
        </w:tc>
        <w:tc>
          <w:tcPr>
            <w:tcW w:w="110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38853E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70.0</w:t>
            </w:r>
          </w:p>
        </w:tc>
        <w:tc>
          <w:tcPr>
            <w:tcW w:w="117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6CFC4E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XY</w:t>
            </w:r>
          </w:p>
        </w:tc>
        <w:tc>
          <w:tcPr>
            <w:tcW w:w="180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6E1D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fX=50; fY=50</w:t>
            </w:r>
          </w:p>
        </w:tc>
        <w:tc>
          <w:tcPr>
            <w:tcW w:w="41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11CCA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圆对称正扩束镜</w:t>
            </w:r>
          </w:p>
        </w:tc>
      </w:tr>
      <w:tr w14:paraId="0D7B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3AC9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DOE1</w:t>
            </w:r>
          </w:p>
        </w:tc>
        <w:tc>
          <w:tcPr>
            <w:tcW w:w="110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824E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120.0</w:t>
            </w:r>
          </w:p>
        </w:tc>
        <w:tc>
          <w:tcPr>
            <w:tcW w:w="117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5372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 phase</w:t>
            </w:r>
          </w:p>
        </w:tc>
        <w:tc>
          <w:tcPr>
            <w:tcW w:w="180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A951E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fX=∞; fY=∞</w:t>
            </w:r>
          </w:p>
        </w:tc>
        <w:tc>
          <w:tcPr>
            <w:tcW w:w="41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D0AB9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独立浮雕DOE1：能量映射</w:t>
            </w:r>
          </w:p>
        </w:tc>
      </w:tr>
      <w:tr w14:paraId="67A00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EEBC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DOE2</w:t>
            </w:r>
          </w:p>
        </w:tc>
        <w:tc>
          <w:tcPr>
            <w:tcW w:w="110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D677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220.0</w:t>
            </w:r>
          </w:p>
        </w:tc>
        <w:tc>
          <w:tcPr>
            <w:tcW w:w="117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256CB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 phase</w:t>
            </w:r>
          </w:p>
        </w:tc>
        <w:tc>
          <w:tcPr>
            <w:tcW w:w="180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380A6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fX=∞; fY=∞</w:t>
            </w:r>
          </w:p>
        </w:tc>
        <w:tc>
          <w:tcPr>
            <w:tcW w:w="41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106EC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独立浮雕DOE2：相位展平</w:t>
            </w:r>
          </w:p>
        </w:tc>
      </w:tr>
      <w:tr w14:paraId="580F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3DC0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YBE1</w:t>
            </w:r>
          </w:p>
        </w:tc>
        <w:tc>
          <w:tcPr>
            <w:tcW w:w="110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6C45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250.0</w:t>
            </w:r>
          </w:p>
        </w:tc>
        <w:tc>
          <w:tcPr>
            <w:tcW w:w="117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3FE1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</w:t>
            </w:r>
          </w:p>
        </w:tc>
        <w:tc>
          <w:tcPr>
            <w:tcW w:w="180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DA5F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fX=∞; fY=-20</w:t>
            </w:r>
          </w:p>
        </w:tc>
        <w:tc>
          <w:tcPr>
            <w:tcW w:w="41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F35882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Y向负柱面扩束镜</w:t>
            </w:r>
          </w:p>
        </w:tc>
      </w:tr>
      <w:tr w14:paraId="7053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436815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YBE2</w:t>
            </w:r>
          </w:p>
        </w:tc>
        <w:tc>
          <w:tcPr>
            <w:tcW w:w="110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A503C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427.2</w:t>
            </w:r>
          </w:p>
        </w:tc>
        <w:tc>
          <w:tcPr>
            <w:tcW w:w="117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FAE8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</w:t>
            </w:r>
          </w:p>
        </w:tc>
        <w:tc>
          <w:tcPr>
            <w:tcW w:w="180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75E98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fX=∞; fY=197.2</w:t>
            </w:r>
          </w:p>
        </w:tc>
        <w:tc>
          <w:tcPr>
            <w:tcW w:w="41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CA843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Y向正柱面扩束镜</w:t>
            </w:r>
          </w:p>
        </w:tc>
      </w:tr>
      <w:tr w14:paraId="5E64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C3332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YFL</w:t>
            </w:r>
          </w:p>
        </w:tc>
        <w:tc>
          <w:tcPr>
            <w:tcW w:w="110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B269C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570.0</w:t>
            </w:r>
          </w:p>
        </w:tc>
        <w:tc>
          <w:tcPr>
            <w:tcW w:w="117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399B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</w:t>
            </w:r>
          </w:p>
        </w:tc>
        <w:tc>
          <w:tcPr>
            <w:tcW w:w="180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6ACE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fX=∞; fY=100</w:t>
            </w:r>
          </w:p>
        </w:tc>
        <w:tc>
          <w:tcPr>
            <w:tcW w:w="41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E7A0F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末片：只对Y聚焦；X光焦度为0</w:t>
            </w:r>
          </w:p>
        </w:tc>
      </w:tr>
      <w:tr w14:paraId="710B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FEB07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TARGET</w:t>
            </w:r>
          </w:p>
        </w:tc>
        <w:tc>
          <w:tcPr>
            <w:tcW w:w="110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C3D7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670.0</w:t>
            </w:r>
          </w:p>
        </w:tc>
        <w:tc>
          <w:tcPr>
            <w:tcW w:w="117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5BA2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-</w:t>
            </w:r>
          </w:p>
        </w:tc>
        <w:tc>
          <w:tcPr>
            <w:tcW w:w="180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F937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fX=∞; fY=∞</w:t>
            </w:r>
          </w:p>
        </w:tc>
        <w:tc>
          <w:tcPr>
            <w:tcW w:w="41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18473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X约1.5 mm近似平行；Y聚焦1.0 µm</w:t>
            </w:r>
          </w:p>
        </w:tc>
      </w:tr>
    </w:tbl>
    <w:p w14:paraId="5573CDC1">
      <w:pPr>
        <w:spacing w:after="4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B767641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3. XZ与YZ光路图</w:t>
      </w:r>
    </w:p>
    <w:p w14:paraId="66B8FAAB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3.1 XZ平面：X向近似平行</w:t>
      </w:r>
    </w:p>
    <w:p w14:paraId="306BF61B">
      <w:pPr>
        <w:keepNext/>
        <w:spacing w:before="80" w:after="4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drawing>
          <wp:inline distT="0" distB="0" distL="114300" distR="114300">
            <wp:extent cx="5715000" cy="2553970"/>
            <wp:effectExtent l="0" t="0" r="0" b="11430"/>
            <wp:docPr id="1" name="Picture 1" descr="图1  独立浮雕DOE方案XZ光路。YFL在X方向为零光焦度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 独立浮雕DOE方案XZ光路。YFL在X方向为零光焦度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CC8D">
      <w:pPr>
        <w:pStyle w:val="15"/>
        <w:keepNext w:val="0"/>
        <w:spacing w:after="16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图1  独立浮雕DOE方案XZ光路。YFL在X方向为零光焦度。</w:t>
      </w:r>
    </w:p>
    <w:p w14:paraId="71A6067C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XZ图中Y向专用元件以虚线表示。DOE之后X不再经过有光焦度的元件；z=570 mm的YFL不会使X会聚，目标面位于z=670 mm。</w:t>
      </w:r>
    </w:p>
    <w:p w14:paraId="1FCA9F69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3.2 YZ平面：100 mm工作距离聚焦</w:t>
      </w:r>
    </w:p>
    <w:p w14:paraId="3647EBDF">
      <w:pPr>
        <w:keepNext/>
        <w:spacing w:before="80" w:after="4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drawing>
          <wp:inline distT="0" distB="0" distL="114300" distR="114300">
            <wp:extent cx="5715000" cy="2553970"/>
            <wp:effectExtent l="0" t="0" r="0" b="11430"/>
            <wp:docPr id="2" name="Picture 2" descr="图2  独立浮雕DOE方案YZ光路。YFL在100 mm后形成1.0 µm焦斑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 独立浮雕DOE方案YZ光路。YFL在100 mm后形成1.0 µm焦斑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FD84">
      <w:pPr>
        <w:pStyle w:val="15"/>
        <w:keepNext w:val="0"/>
        <w:spacing w:after="16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图2  独立浮雕DOE方案YZ光路。YFL在100 mm后形成1.0 µm焦斑。</w:t>
      </w:r>
    </w:p>
    <w:p w14:paraId="05BC3B52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4. 激光源与相干传播模型</w:t>
      </w:r>
    </w:p>
    <w:p w14:paraId="31FB07B7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4.1 束腰复电场</w:t>
      </w:r>
    </w:p>
    <w:p w14:paraId="19BAD5C8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激光出口被确定为束腰面，采用连续、单模、完全相干的确定性复电场。初始场不叠加随机相位，X/Y振幅均满足高斯束腰定义：</w:t>
      </w:r>
    </w:p>
    <w:p w14:paraId="1BAF3EA7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U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0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(x,y)=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U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p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exp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微软雅黑"/>
                  <w:sz w:val="18"/>
                </w:rPr>
              </m:ctrlPr>
            </m:d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2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num>
                <m:den>
                  <m:sSubSup>
                    <m:sSubSup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w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0x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2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微软雅黑"/>
                  <w:sz w:val="18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y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2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num>
                <m:den>
                  <m:sSubSup>
                    <m:sSubSup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w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0y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2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den>
              </m:f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</m:d>
          <m:r>
            <m:rPr/>
            <w:rPr>
              <w:rFonts w:hint="default" w:ascii="Cambria Math" w:hAnsi="Cambria Math" w:eastAsia="微软雅黑"/>
              <w:sz w:val="18"/>
            </w:rPr>
            <m:t>,  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I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0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=|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U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0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微软雅黑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|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微软雅黑"/>
                  <w:sz w:val="18"/>
                </w:rPr>
                <m:t>2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p>
          </m:sSup>
        </m:oMath>
      </m:oMathPara>
    </w:p>
    <w:p w14:paraId="55D558FA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M²=1.2通过广义q参数进入瑞利长度、发散角、束宽和曲率的传播：</w:t>
      </w:r>
    </w:p>
    <w:p w14:paraId="42FE71C7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z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R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微软雅黑"/>
                  <w:sz w:val="18"/>
                </w:rPr>
                <m:t>π</m:t>
              </m:r>
              <m:sSubSup>
                <m:sSubSup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w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0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2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p>
              </m:sSubSup>
              <m:ctrlPr>
                <w:rPr>
                  <w:rFonts w:hint="default" w:ascii="Cambria Math" w:hAnsi="Cambria Math" w:eastAsia="微软雅黑"/>
                  <w:sz w:val="18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M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2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微软雅黑"/>
                  <w:sz w:val="18"/>
                </w:rPr>
                <m:t>λ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微软雅黑"/>
              <w:sz w:val="18"/>
            </w:rPr>
            <m:t>,  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θ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1/2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M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2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微软雅黑"/>
                  <w:sz w:val="18"/>
                </w:rPr>
                <m:t>λ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微软雅黑"/>
                  <w:sz w:val="18"/>
                </w:rPr>
                <m:t>π</m:t>
              </m:r>
              <m:sSub>
                <m:sSub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w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0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微软雅黑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微软雅黑"/>
              <w:sz w:val="18"/>
            </w:rPr>
            <m:t>,  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q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0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=i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z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R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</m:oMath>
      </m:oMathPara>
    </w:p>
    <w:p w14:paraId="57B28EF1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当前1.0 mm全1/e²束腰对应全发散角0.542400 mrad、瑞利长度1843.658 mm。</w:t>
      </w:r>
    </w:p>
    <w:p w14:paraId="5C733BF6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4.2 相干角谱传播</w:t>
      </w:r>
    </w:p>
    <w:p w14:paraId="791C6B06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所有X向DOE和后级透镜都在同一复场中连续传播，因此保留激光相干性造成的相位积累、干涉和衍射：</w:t>
      </w:r>
    </w:p>
    <w:p w14:paraId="038EB5ED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r>
            <m:rPr/>
            <w:rPr>
              <w:rFonts w:hint="default" w:ascii="Cambria Math" w:hAnsi="Cambria Math" w:eastAsia="微软雅黑"/>
              <w:sz w:val="18"/>
            </w:rPr>
            <m:t>U(x,z)=</m:t>
          </m:r>
          <m:sSup>
            <m:sSupPr>
              <m:ctrlPr>
                <w:rPr>
                  <w:rFonts w:hint="default" w:ascii="Cambria Math" w:hAnsi="Cambria Math" w:eastAsia="微软雅黑"/>
                  <w:sz w:val="18"/>
                </w:rPr>
              </m:ctrlPr>
            </m:sSup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8"/>
                </w:rPr>
                <m:t>ℱ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微软雅黑"/>
                  <w:sz w:val="18"/>
                </w:rPr>
                <m:t>−1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p>
          </m:sSup>
          <m:d>
            <m:dPr>
              <m:begChr m:val="{"/>
              <m:endChr m:val="}"/>
              <m:ctrlPr>
                <w:rPr>
                  <w:rFonts w:hint="default" w:ascii="Cambria Math" w:hAnsi="Cambria Math" w:eastAsia="微软雅黑"/>
                  <w:sz w:val="18"/>
                </w:rPr>
              </m:ctrlPr>
            </m:d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8"/>
                </w:rPr>
                <m:t>ℱ</m:t>
              </m:r>
              <m:r>
                <m:rPr/>
                <w:rPr>
                  <w:rFonts w:hint="default" w:ascii="Cambria Math" w:hAnsi="Cambria Math" w:eastAsia="微软雅黑"/>
                  <w:sz w:val="18"/>
                </w:rPr>
                <m:t>[U(x,0)]H(</m:t>
              </m:r>
              <m:sSub>
                <m:sSub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f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x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微软雅黑"/>
                  <w:sz w:val="18"/>
                </w:rPr>
                <m:t>;z)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</m:d>
        </m:oMath>
      </m:oMathPara>
    </w:p>
    <w:p w14:paraId="3909632B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r>
            <m:rPr/>
            <w:rPr>
              <w:rFonts w:hint="default" w:ascii="Cambria Math" w:hAnsi="Cambria Math" w:eastAsia="微软雅黑"/>
              <w:sz w:val="18"/>
            </w:rPr>
            <m:t>H(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f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x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;z)=exp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微软雅黑"/>
                  <w:sz w:val="18"/>
                </w:rPr>
              </m:ctrlPr>
            </m:d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ikz</m:t>
              </m:r>
              <m:rad>
                <m:radPr>
                  <m:degHide m:val="1"/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radPr>
                <m:deg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1−</m:t>
                  </m:r>
                  <m:sSup>
                    <m:sSup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λ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2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f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2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e>
              </m:rad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</m:d>
          <m:r>
            <m:rPr/>
            <w:rPr>
              <w:rFonts w:hint="default" w:ascii="Cambria Math" w:hAnsi="Cambria Math" w:eastAsia="微软雅黑"/>
              <w:sz w:val="18"/>
            </w:rPr>
            <m:t>,  k=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微软雅黑"/>
                  <w:sz w:val="18"/>
                </w:rPr>
                <m:t>2π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微软雅黑"/>
                  <w:sz w:val="18"/>
                </w:rPr>
                <m:t>λ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den>
          </m:f>
        </m:oMath>
      </m:oMathPara>
    </w:p>
    <w:p w14:paraId="730A036D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薄透镜用二次相位描述，而不是仅用几何光线改变束宽：</w:t>
      </w:r>
    </w:p>
    <w:p w14:paraId="63A49373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t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L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(x)=exp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微软雅黑"/>
                  <w:sz w:val="18"/>
                </w:rPr>
              </m:ctrlPr>
            </m:d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−i</m:t>
              </m:r>
              <m:f>
                <m:f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k</m:t>
                  </m:r>
                  <m:sSup>
                    <m:sSup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2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2</m:t>
                  </m:r>
                  <m:sSub>
                    <m:sSub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f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den>
              </m:f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</m:d>
        </m:oMath>
      </m:oMathPara>
    </w:p>
    <w:p w14:paraId="24C26AB1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5. 双片浮雕DOE设计原理</w:t>
      </w:r>
    </w:p>
    <w:p w14:paraId="514BC679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5.1 DOE1能量映射</w:t>
      </w:r>
    </w:p>
    <w:p w14:paraId="4DBB8D9D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DOE1的初值由累计功率守恒建立。令输入坐标为ξ、目标坐标为T(ξ)，输入高斯与目标超高斯在对应坐标左侧的归一化累计功率相等：</w:t>
      </w:r>
    </w:p>
    <w:p w14:paraId="3017B3EC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−∞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ξ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I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in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微软雅黑"/>
                  <w:sz w:val="18"/>
                </w:rPr>
                <m:t>(s)ds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num>
            <m:den>
              <m:nary>
                <m:naryPr>
                  <m:limLoc m:val="subSup"/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−∞</m:t>
                  </m: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∞</m:t>
                  </m: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I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in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微软雅黑"/>
                  <w:sz w:val="18"/>
                </w:rPr>
                <m:t>(s)ds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−D/2</m:t>
                  </m: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T(ξ)</m:t>
                  </m: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I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TH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微软雅黑"/>
                  <w:sz w:val="18"/>
                </w:rPr>
                <m:t>(u)du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num>
            <m:den>
              <m:nary>
                <m:naryPr>
                  <m:limLoc m:val="subSup"/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−D/2</m:t>
                  </m: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D/2</m:t>
                  </m: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I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TH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微软雅黑"/>
                  <w:sz w:val="18"/>
                </w:rPr>
                <m:t>(u)du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den>
          </m:f>
        </m:oMath>
      </m:oMathPara>
    </w:p>
    <w:p w14:paraId="0175ECB7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目标振幅采用m=100超高斯；其设计宽度1.54 mm略大于1.5 mm名义值，以优化固定中央1.35 mm区域的均匀性：</w:t>
      </w:r>
    </w:p>
    <w:p w14:paraId="3A57394E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A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TH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(x)=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A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p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exp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微软雅黑"/>
                  <w:sz w:val="18"/>
                </w:rPr>
              </m:ctrlPr>
            </m:d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微软雅黑"/>
                              <w:sz w:val="18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D/2</m:t>
                          </m:r>
                          <m:ctrlPr>
                            <w:rPr>
                              <w:rFonts w:ascii="Cambria Math" w:hAnsi="Cambria Math" w:eastAsia="微软雅黑"/>
                              <w:sz w:val="18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100</m:t>
                  </m: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up>
              </m:sSup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</m:d>
          <m:r>
            <m:rPr/>
            <w:rPr>
              <w:rFonts w:hint="default" w:ascii="Cambria Math" w:hAnsi="Cambria Math" w:eastAsia="微软雅黑"/>
              <w:sz w:val="18"/>
            </w:rPr>
            <m:t xml:space="preserve">,  D=1.54 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mm</m:t>
          </m:r>
        </m:oMath>
      </m:oMathPara>
    </w:p>
    <w:p w14:paraId="60C073EE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两相位面相距L=100 mm，第一相位梯度产生将ξ映射到T(ξ)的局部偏转：</w:t>
      </w:r>
    </w:p>
    <w:p w14:paraId="15FA3798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微软雅黑"/>
                  <w:sz w:val="18"/>
                </w:rPr>
                <m:t>d</m:t>
              </m:r>
              <m:sSub>
                <m:sSub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ϕ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1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微软雅黑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微软雅黑"/>
                  <w:sz w:val="18"/>
                </w:rPr>
                <m:t>dξ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微软雅黑"/>
              <w:sz w:val="18"/>
            </w:rPr>
            <m:t>≈k</m:t>
          </m:r>
          <m:func>
            <m:funcPr>
              <m:ctrlPr>
                <w:rPr>
                  <w:rFonts w:hint="default" w:ascii="Cambria Math" w:hAnsi="Cambria Math" w:eastAsia="微软雅黑"/>
                  <w:sz w:val="1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8"/>
                </w:rPr>
                <m:t>sin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tan</m:t>
                          </m:r>
                          <m:ctrlPr>
                            <w:rPr>
                              <w:rFonts w:ascii="Cambria Math" w:hAnsi="Cambria Math" w:eastAsia="微软雅黑"/>
                              <w:sz w:val="18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−1</m:t>
                          </m:r>
                          <m:ctrlPr>
                            <w:rPr>
                              <w:rFonts w:ascii="Cambria Math" w:hAnsi="Cambria Math" w:eastAsia="微软雅黑"/>
                              <w:sz w:val="18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T(ξ)−ξ</m:t>
                          </m:r>
                          <m:ctrlPr>
                            <w:rPr>
                              <w:rFonts w:ascii="Cambria Math" w:hAnsi="Cambria Math" w:eastAsia="微软雅黑"/>
                              <w:sz w:val="18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L</m:t>
                          </m:r>
                          <m:ctrlPr>
                            <w:rPr>
                              <w:rFonts w:ascii="Cambria Math" w:hAnsi="Cambria Math" w:eastAsia="微软雅黑"/>
                              <w:sz w:val="18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e>
              </m:d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</m:func>
        </m:oMath>
      </m:oMathPara>
    </w:p>
    <w:p w14:paraId="14012B97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5.2 双平面交替投影与DOE2</w:t>
      </w:r>
    </w:p>
    <w:p w14:paraId="4C916F27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以能量映射相位为初值，先进行200次连续双平面交替投影和120次单片制造量化细化，再进行最多600次双片联合量化优化。在DOE1面保持实际输入振幅，在DOE2和目标面施加所需振幅约束，同时保留传播所得相位。由于量化迭代并非单调，程序在满足宽度、倾角和曲率约束时锁存历史最高均匀性；本次最佳加工相位出现在第470次联合迭代。</w:t>
      </w:r>
    </w:p>
    <w:p w14:paraId="58740833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Sup>
            <m:sSubSup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Sup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U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2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  <m:sup>
              <m:r>
                <m:rPr/>
                <w:rPr>
                  <w:rFonts w:hint="default" w:ascii="Cambria Math" w:hAnsi="Cambria Math" w:eastAsia="微软雅黑"/>
                  <w:sz w:val="18"/>
                </w:rPr>
                <m:t>−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p>
          </m:sSubSup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8"/>
                </w:rPr>
                <m:t>P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L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{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U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in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exp(i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ϕ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1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)},  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ϕ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2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(x)=−</m:t>
          </m:r>
          <m:func>
            <m:funcPr>
              <m:ctrlPr>
                <w:rPr>
                  <w:rFonts w:hint="default" w:ascii="Cambria Math" w:hAnsi="Cambria Math" w:eastAsia="微软雅黑"/>
                  <w:sz w:val="1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8"/>
                </w:rPr>
                <m:t>arg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fName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[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</m:func>
          <m:sSubSup>
            <m:sSubSup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Sup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U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2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  <m:sup>
              <m:r>
                <m:rPr/>
                <w:rPr>
                  <w:rFonts w:hint="default" w:ascii="Cambria Math" w:hAnsi="Cambria Math" w:eastAsia="微软雅黑"/>
                  <w:sz w:val="18"/>
                </w:rPr>
                <m:t>−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p>
          </m:sSubSup>
          <m:r>
            <m:rPr/>
            <w:rPr>
              <w:rFonts w:hint="default" w:ascii="Cambria Math" w:hAnsi="Cambria Math" w:eastAsia="微软雅黑"/>
              <w:sz w:val="18"/>
            </w:rPr>
            <m:t>(x)]</m:t>
          </m:r>
        </m:oMath>
      </m:oMathPara>
    </w:p>
    <w:p w14:paraId="50A95B25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U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out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sSubSup>
            <m:sSubSup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Sup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U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2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  <m:sup>
              <m:r>
                <m:rPr/>
                <w:rPr>
                  <w:rFonts w:hint="default" w:ascii="Cambria Math" w:hAnsi="Cambria Math" w:eastAsia="微软雅黑"/>
                  <w:sz w:val="18"/>
                </w:rPr>
                <m:t>−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p>
          </m:sSubSup>
          <m:r>
            <m:rPr/>
            <w:rPr>
              <w:rFonts w:hint="default" w:ascii="Cambria Math" w:hAnsi="Cambria Math" w:eastAsia="微软雅黑"/>
              <w:sz w:val="18"/>
            </w:rPr>
            <m:t>exp(i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ϕ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2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)</m:t>
          </m:r>
        </m:oMath>
      </m:oMathPara>
    </w:p>
    <w:p w14:paraId="1ECA059E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5.3 相位熔融石英浮雕</w:t>
      </w:r>
    </w:p>
    <w:p w14:paraId="1385B2CA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相位通过透明基底的局部光程差转化为浮雕高度：</w:t>
      </w:r>
    </w:p>
    <w:p w14:paraId="78A1C590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ϕ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DOE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(x)=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微软雅黑"/>
                  <w:sz w:val="18"/>
                </w:rPr>
                <m:t>2π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微软雅黑"/>
                  <w:sz w:val="18"/>
                </w:rPr>
                <m:t>λ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微软雅黑"/>
              <w:sz w:val="18"/>
            </w:rPr>
            <m:t>[n(λ)−1]h(x) (mod 2π) </m:t>
          </m:r>
        </m:oMath>
      </m:oMathPara>
    </w:p>
    <w:p w14:paraId="49BDA6EB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h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2π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微软雅黑"/>
                  <w:sz w:val="18"/>
                </w:rPr>
                <m:t>λ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微软雅黑"/>
                  <w:sz w:val="18"/>
                </w:rPr>
                <m:t>n−1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微软雅黑"/>
              <w:sz w:val="18"/>
            </w:rPr>
            <m:t xml:space="preserve">=0.745685714 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μm</m:t>
          </m:r>
        </m:oMath>
      </m:oMathPara>
    </w:p>
    <w:p w14:paraId="0C83412F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连续相位先按实际横向加工单元做圆周平均保持，再量化到32级。程序最后一次传播使用量化后相位，而不是连续理想相位，因此最终二维强度已经包含台阶相位和有限横向单元的影响。</w:t>
      </w:r>
    </w:p>
    <w:p w14:paraId="21D58AB7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ϕ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q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(x)=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微软雅黑"/>
                  <w:sz w:val="18"/>
                </w:rPr>
                <m:t>2π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微软雅黑"/>
                  <w:sz w:val="18"/>
                </w:rPr>
                <m:t>32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微软雅黑"/>
              <w:sz w:val="18"/>
            </w:rPr>
            <m:t>round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微软雅黑"/>
                  <w:sz w:val="18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32ϕ(x)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2π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den>
              </m:f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</m:d>
          <m:r>
            <m:rPr/>
            <w:rPr>
              <w:rFonts w:hint="default" w:ascii="Cambria Math" w:hAnsi="Cambria Math" w:eastAsia="微软雅黑"/>
              <w:sz w:val="18"/>
            </w:rPr>
            <m:t>,  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h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q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ϕ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q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微软雅黑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微软雅黑"/>
                  <w:sz w:val="18"/>
                </w:rPr>
                <m:t>2π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h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2π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</m:oMath>
      </m:oMathPara>
    </w:p>
    <w:p w14:paraId="2F0C55FA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6. 浮雕加工定义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7"/>
        <w:gridCol w:w="2773"/>
        <w:gridCol w:w="1560"/>
      </w:tblGrid>
      <w:tr w14:paraId="55ED6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27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42CD03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加工参数</w:t>
            </w:r>
          </w:p>
        </w:tc>
        <w:tc>
          <w:tcPr>
            <w:tcW w:w="2773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B53C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数值</w:t>
            </w:r>
          </w:p>
        </w:tc>
        <w:tc>
          <w:tcPr>
            <w:tcW w:w="1560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C46A7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单位</w:t>
            </w:r>
          </w:p>
        </w:tc>
      </w:tr>
      <w:tr w14:paraId="618FA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C5653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材料</w:t>
            </w:r>
          </w:p>
        </w:tc>
        <w:tc>
          <w:tcPr>
            <w:tcW w:w="277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1546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熔融石英（Malitson Sellmeier）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0684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-</w:t>
            </w:r>
          </w:p>
        </w:tc>
      </w:tr>
      <w:tr w14:paraId="0594B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5101E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355 nm折射率</w:t>
            </w:r>
          </w:p>
        </w:tc>
        <w:tc>
          <w:tcPr>
            <w:tcW w:w="277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B203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1.47607188</w:t>
            </w:r>
          </w:p>
        </w:tc>
        <w:tc>
          <w:tcPr>
            <w:tcW w:w="15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1539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-</w:t>
            </w:r>
          </w:p>
        </w:tc>
      </w:tr>
      <w:tr w14:paraId="5ECD7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96C194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通光口径</w:t>
            </w:r>
          </w:p>
        </w:tc>
        <w:tc>
          <w:tcPr>
            <w:tcW w:w="277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3F6B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50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431508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mm</w:t>
            </w:r>
          </w:p>
        </w:tc>
      </w:tr>
      <w:tr w14:paraId="3F48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9CE3CF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相位级数</w:t>
            </w:r>
          </w:p>
        </w:tc>
        <w:tc>
          <w:tcPr>
            <w:tcW w:w="277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03AF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32</w:t>
            </w:r>
          </w:p>
        </w:tc>
        <w:tc>
          <w:tcPr>
            <w:tcW w:w="15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32960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-</w:t>
            </w:r>
          </w:p>
        </w:tc>
      </w:tr>
      <w:tr w14:paraId="3E44D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A4443A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二进制掩模数</w:t>
            </w:r>
          </w:p>
        </w:tc>
        <w:tc>
          <w:tcPr>
            <w:tcW w:w="277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9602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5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340F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-</w:t>
            </w:r>
          </w:p>
        </w:tc>
      </w:tr>
      <w:tr w14:paraId="3D3B3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A4DE2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请求最小横向特征</w:t>
            </w:r>
          </w:p>
        </w:tc>
        <w:tc>
          <w:tcPr>
            <w:tcW w:w="277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AA89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5</w:t>
            </w:r>
          </w:p>
        </w:tc>
        <w:tc>
          <w:tcPr>
            <w:tcW w:w="15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ECFF30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24A6E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7C1A01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实际X单元节距</w:t>
            </w:r>
          </w:p>
        </w:tc>
        <w:tc>
          <w:tcPr>
            <w:tcW w:w="277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3D75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6.10351562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A375F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6788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50D9C8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有效图形宽度</w:t>
            </w:r>
          </w:p>
        </w:tc>
        <w:tc>
          <w:tcPr>
            <w:tcW w:w="277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74072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8</w:t>
            </w:r>
          </w:p>
        </w:tc>
        <w:tc>
          <w:tcPr>
            <w:tcW w:w="15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EE85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mm</w:t>
            </w:r>
          </w:p>
        </w:tc>
      </w:tr>
      <w:tr w14:paraId="01C2A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A2680E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理论2π浮雕深度</w:t>
            </w:r>
          </w:p>
        </w:tc>
        <w:tc>
          <w:tcPr>
            <w:tcW w:w="277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657D29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0.745685714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0B30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000C3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2EF4C9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单级高度步长</w:t>
            </w:r>
          </w:p>
        </w:tc>
        <w:tc>
          <w:tcPr>
            <w:tcW w:w="277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9FD74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0.0233026786</w:t>
            </w:r>
          </w:p>
        </w:tc>
        <w:tc>
          <w:tcPr>
            <w:tcW w:w="15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F8852B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0FABE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D964C9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最大保留浮雕高度</w:t>
            </w:r>
          </w:p>
        </w:tc>
        <w:tc>
          <w:tcPr>
            <w:tcW w:w="277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1E47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0.722383035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0C36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0457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DB4C1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掩模1刻蚀深度</w:t>
            </w:r>
          </w:p>
        </w:tc>
        <w:tc>
          <w:tcPr>
            <w:tcW w:w="277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84649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0.0233026786</w:t>
            </w:r>
          </w:p>
        </w:tc>
        <w:tc>
          <w:tcPr>
            <w:tcW w:w="15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6020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5B2CC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750F8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掩模2刻蚀深度</w:t>
            </w:r>
          </w:p>
        </w:tc>
        <w:tc>
          <w:tcPr>
            <w:tcW w:w="277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B84A9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0.0466053571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B803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7E357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65BB3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掩模3刻蚀深度</w:t>
            </w:r>
          </w:p>
        </w:tc>
        <w:tc>
          <w:tcPr>
            <w:tcW w:w="277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8ED6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0.0932107142</w:t>
            </w:r>
          </w:p>
        </w:tc>
        <w:tc>
          <w:tcPr>
            <w:tcW w:w="15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A50C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19763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B90A45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掩模4刻蚀深度</w:t>
            </w:r>
          </w:p>
        </w:tc>
        <w:tc>
          <w:tcPr>
            <w:tcW w:w="277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07CE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0.186421428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52C9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212F9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BEE6E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掩模5刻蚀深度</w:t>
            </w:r>
          </w:p>
        </w:tc>
        <w:tc>
          <w:tcPr>
            <w:tcW w:w="277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094D5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0.372842857</w:t>
            </w:r>
          </w:p>
        </w:tc>
        <w:tc>
          <w:tcPr>
            <w:tcW w:w="156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3E3F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</w:tbl>
    <w:p w14:paraId="14196F14">
      <w:pPr>
        <w:spacing w:after="4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FEFC106">
      <w:pPr>
        <w:keepNext/>
        <w:spacing w:before="80" w:after="4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drawing>
          <wp:inline distT="0" distB="0" distL="114300" distR="114300">
            <wp:extent cx="5760720" cy="3376930"/>
            <wp:effectExtent l="0" t="0" r="5080" b="1270"/>
            <wp:docPr id="3" name="Picture 3" descr="图3  DOE1与DOE2连续相位、32级制造相位及保留浮雕高度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 DOE1与DOE2连续相位、32级制造相位及保留浮雕高度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81D2">
      <w:pPr>
        <w:pStyle w:val="15"/>
        <w:keepNext w:val="0"/>
        <w:spacing w:after="16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图3  DOE1与DOE2连续相位、32级制造相位及保留浮雕高度。</w:t>
      </w:r>
    </w:p>
    <w:p w14:paraId="2562B011">
      <w:pPr>
        <w:keepNext/>
        <w:spacing w:before="80" w:after="4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drawing>
          <wp:inline distT="0" distB="0" distL="114300" distR="114300">
            <wp:extent cx="5760720" cy="2581910"/>
            <wp:effectExtent l="0" t="0" r="5080" b="8890"/>
            <wp:docPr id="4" name="Picture 4" descr="图4  两片DOE的五层二进制刻蚀掩模预览；白色为开窗刻蚀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 两片DOE的五层二进制刻蚀掩模预览；白色为开窗刻蚀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014E">
      <w:pPr>
        <w:pStyle w:val="15"/>
        <w:keepNext w:val="0"/>
        <w:spacing w:after="16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图4  两片DOE的五层二进制刻蚀掩模预览；白色为开窗刻蚀。</w:t>
      </w:r>
    </w:p>
    <w:p w14:paraId="64780545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7. MATLAB R2019b程序过程</w:t>
      </w:r>
    </w:p>
    <w:p w14:paraId="737C7AF8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7.1 主程序</w:t>
      </w:r>
    </w:p>
    <w:p w14:paraId="03986084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独立包的唯一主入口为：</w:t>
      </w:r>
    </w:p>
    <w:p w14:paraId="6AEE45AD">
      <w:pPr>
        <w:keepLines/>
        <w:shd w:val="clear" w:fill="F2F2F2"/>
        <w:spacing w:before="40" w:after="160" w:line="240" w:lineRule="auto"/>
        <w:ind w:left="360" w:right="144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17"/>
        </w:rPr>
        <w:t>cd('&lt;资料包&gt;/02_matlab_code');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1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17"/>
        </w:rPr>
        <w:t>result = run_independent_relief_DOE_R2019b();</w:t>
      </w:r>
    </w:p>
    <w:p w14:paraId="4E29B13F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主程序不调用旧HOLO/OR厂商模型，也不查找厂商相位文件。执行顺序如下：</w:t>
      </w:r>
    </w:p>
    <w:p w14:paraId="590566C5">
      <w:pPr>
        <w:pStyle w:val="14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读取independent_relief_doe_config.m并检查MATLAB版本必须为R2019b。</w:t>
      </w:r>
    </w:p>
    <w:p w14:paraId="37C1A224">
      <w:pPr>
        <w:pStyle w:val="14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按参考资料第7.1/7.3节验证束腰高斯振幅、强度、q参数、发散角和M²传播。</w:t>
      </w:r>
    </w:p>
    <w:p w14:paraId="07C64E8E">
      <w:pPr>
        <w:pStyle w:val="14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建立DOE1输入复场，设计连续双平面相位并执行200次交替投影。</w:t>
      </w:r>
    </w:p>
    <w:p w14:paraId="2C3155E0">
      <w:pPr>
        <w:pStyle w:val="14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施加最小特征保持、32级高度量化和8 mm有效图形区，再执行120次DOE1量化细化和最多600次双DOE联合优化。</w:t>
      </w:r>
    </w:p>
    <w:p w14:paraId="28588AB4">
      <w:pPr>
        <w:pStyle w:val="14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在满足X宽度、平均倾角和曲率约束时锁存历史最高均匀性加工相位。</w:t>
      </w:r>
    </w:p>
    <w:p w14:paraId="643FE29C">
      <w:pPr>
        <w:pStyle w:val="14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让量化相位通过100 mm DOE间距和目标面角谱传播；后续YBE/YFL在X方向均不施加透镜相位。</w:t>
      </w:r>
    </w:p>
    <w:p w14:paraId="66FF90C2">
      <w:pPr>
        <w:pStyle w:val="14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独立用M²高斯q参数传播Y光路，验证YFL后100 mm的1.0 µm焦斑。</w:t>
      </w:r>
    </w:p>
    <w:p w14:paraId="6DC4CE0E">
      <w:pPr>
        <w:pStyle w:val="14"/>
        <w:spacing w:after="8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输出浮雕CSV、五层掩模、二维强度、XZ/YZ光路、效率预算和验收表。</w:t>
      </w:r>
    </w:p>
    <w:p w14:paraId="078987A3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7.2 数值网格与制造约束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4"/>
        <w:gridCol w:w="2096"/>
        <w:gridCol w:w="4470"/>
      </w:tblGrid>
      <w:tr w14:paraId="6205E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94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F94B8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项目</w:t>
            </w:r>
          </w:p>
        </w:tc>
        <w:tc>
          <w:tcPr>
            <w:tcW w:w="2096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518A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设定</w:t>
            </w:r>
          </w:p>
        </w:tc>
        <w:tc>
          <w:tcPr>
            <w:tcW w:w="4470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C517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作用</w:t>
            </w:r>
          </w:p>
        </w:tc>
      </w:tr>
      <w:tr w14:paraId="46BE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22B1A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X传播采样数</w:t>
            </w:r>
          </w:p>
        </w:tc>
        <w:tc>
          <w:tcPr>
            <w:tcW w:w="209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6C19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65,536</w:t>
            </w:r>
          </w:p>
        </w:tc>
        <w:tc>
          <w:tcPr>
            <w:tcW w:w="447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8281B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提高横向单元和相位梯度分辨率</w:t>
            </w:r>
          </w:p>
        </w:tc>
      </w:tr>
      <w:tr w14:paraId="0371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4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5A2C91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计算窗口</w:t>
            </w:r>
          </w:p>
        </w:tc>
        <w:tc>
          <w:tcPr>
            <w:tcW w:w="2096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3F4A6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80 mm</w:t>
            </w:r>
          </w:p>
        </w:tc>
        <w:tc>
          <w:tcPr>
            <w:tcW w:w="447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A830A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降低FFT周期卷绕影响</w:t>
            </w:r>
          </w:p>
        </w:tc>
      </w:tr>
      <w:tr w14:paraId="3E54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4190E9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实际X单元节距</w:t>
            </w:r>
          </w:p>
        </w:tc>
        <w:tc>
          <w:tcPr>
            <w:tcW w:w="209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4074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6.103516 µm</w:t>
            </w:r>
          </w:p>
        </w:tc>
        <w:tc>
          <w:tcPr>
            <w:tcW w:w="447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CF738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向上取整，绝不低于5 µm请求值</w:t>
            </w:r>
          </w:p>
        </w:tc>
      </w:tr>
      <w:tr w14:paraId="1BDC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4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BCF58A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DOE有效图形宽度</w:t>
            </w:r>
          </w:p>
        </w:tc>
        <w:tc>
          <w:tcPr>
            <w:tcW w:w="2096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7AF14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8 mm</w:t>
            </w:r>
          </w:p>
        </w:tc>
        <w:tc>
          <w:tcPr>
            <w:tcW w:w="447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9A9E99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外侧保持未刻蚀，避免无能量区随机相位</w:t>
            </w:r>
          </w:p>
        </w:tc>
      </w:tr>
      <w:tr w14:paraId="136B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35E9C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相位优化迭代</w:t>
            </w:r>
          </w:p>
        </w:tc>
        <w:tc>
          <w:tcPr>
            <w:tcW w:w="209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95BE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200+120+600</w:t>
            </w:r>
          </w:p>
        </w:tc>
        <w:tc>
          <w:tcPr>
            <w:tcW w:w="447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A76AD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连续、单片量化及双片联合优化；最佳为联合第470次</w:t>
            </w:r>
          </w:p>
        </w:tc>
      </w:tr>
      <w:tr w14:paraId="4920A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4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EE51A1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相位级数</w:t>
            </w:r>
          </w:p>
        </w:tc>
        <w:tc>
          <w:tcPr>
            <w:tcW w:w="2096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8FF29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32</w:t>
            </w:r>
          </w:p>
        </w:tc>
        <w:tc>
          <w:tcPr>
            <w:tcW w:w="4470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423C38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直接用于最终复场传播</w:t>
            </w:r>
          </w:p>
        </w:tc>
      </w:tr>
    </w:tbl>
    <w:p w14:paraId="7CB5D8EE">
      <w:pPr>
        <w:spacing w:after="4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45E27DA">
      <w:pPr>
        <w:pStyle w:val="4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7.3 相位和准直指标提取</w:t>
      </w:r>
    </w:p>
    <w:p w14:paraId="4993C41E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在有效X光斑内展开相位，去除piston和平均倾角后计算相位RMS；二次项不被删除，因此有限曲率仍计入准直误差。平均倾角和曲率边缘斜率分别为：</w:t>
      </w:r>
    </w:p>
    <w:p w14:paraId="1F9B3FB4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acc>
                <m:accPr>
                  <m:chr m:val="̄"/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θ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</m:acc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x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微软雅黑"/>
                  <w:sz w:val="18"/>
                </w:rPr>
                <m:t>λ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微软雅黑"/>
                  <w:sz w:val="18"/>
                </w:rPr>
                <m:t>2π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a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1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,  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R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x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微软雅黑"/>
                  <w:sz w:val="18"/>
                </w:rPr>
                <m:t>π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微软雅黑"/>
                  <w:sz w:val="18"/>
                </w:rPr>
                <m:t>λ</m:t>
              </m:r>
              <m:sSub>
                <m:sSub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a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2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微软雅黑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微软雅黑"/>
              <w:sz w:val="18"/>
            </w:rPr>
            <m:t>,  </m:t>
          </m:r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θ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edge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f>
            <m:fPr>
              <m:ctrlPr>
                <w:rPr>
                  <w:rFonts w:hint="default" w:ascii="Cambria Math" w:hAnsi="Cambria Math" w:eastAsia="微软雅黑"/>
                  <w:sz w:val="18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D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X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微软雅黑"/>
                  <w:sz w:val="18"/>
                </w:rPr>
                <m:t>/2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微软雅黑"/>
                  <w:sz w:val="18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R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x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微软雅黑"/>
                  <w:sz w:val="18"/>
                </w:rPr>
                <m:t>|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den>
          </m:f>
        </m:oMath>
      </m:oMathPara>
    </w:p>
    <w:p w14:paraId="42C857C4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σ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ϕ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微软雅黑"/>
                  <w:sz w:val="18"/>
                </w:rPr>
              </m:ctrlPr>
            </m:radPr>
            <m:deg>
              <m:ctrlPr>
                <w:rPr>
                  <w:rFonts w:ascii="Cambria Math" w:hAnsi="Cambria Math" w:eastAsia="微软雅黑"/>
                  <w:sz w:val="18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1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N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den>
              </m:f>
              <m:nary>
                <m:naryPr>
                  <m:chr m:val="∑"/>
                  <m:limLoc m:val="subSup"/>
                  <m:supHide m:val="1"/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微软雅黑"/>
                      <w:sz w:val="18"/>
                    </w:rPr>
                    <m:t>n</m:t>
                  </m:r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b>
                <m:sup>
                  <m:ctrlPr>
                    <w:rPr>
                      <w:rFonts w:ascii="Cambria Math" w:hAnsi="Cambria Math" w:eastAsia="微软雅黑"/>
                      <w:sz w:val="18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ϕ(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微软雅黑"/>
                                  <w:sz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eastAsia="微软雅黑"/>
                                  <w:sz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)−(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 w:eastAsia="微软雅黑"/>
                                  <w:sz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微软雅黑"/>
                                  <w:sz w:val="18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微软雅黑"/>
                                  <w:sz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eastAsia="微软雅黑"/>
                                  <w:sz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 w:eastAsia="微软雅黑"/>
                                  <w:sz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微软雅黑"/>
                                  <w:sz w:val="18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 w:eastAsia="微软雅黑"/>
                                  <w:sz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e>
              </m:nary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</m:rad>
        </m:oMath>
      </m:oMathPara>
    </w:p>
    <w:p w14:paraId="029300BA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8. 仿真结果</w:t>
      </w:r>
    </w:p>
    <w:p w14:paraId="39E9EA8F">
      <w:pPr>
        <w:keepNext/>
        <w:spacing w:before="80" w:after="4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drawing>
          <wp:inline distT="0" distB="0" distL="114300" distR="114300">
            <wp:extent cx="5760720" cy="3099435"/>
            <wp:effectExtent l="0" t="0" r="5080" b="12065"/>
            <wp:docPr id="5" name="Picture 5" descr="图5  z=670 mm最终平面二维归一化强度；X使用量化浮雕相干传播，Y使用M²高斯焦斑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 z=670 mm最终平面二维归一化强度；X使用量化浮雕相干传播，Y使用M²高斯焦斑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D3CB">
      <w:pPr>
        <w:pStyle w:val="15"/>
        <w:keepNext w:val="0"/>
        <w:spacing w:after="16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图5  z=670 mm最终平面二维归一化强度；X使用量化浮雕相干传播，Y使用M²高斯焦斑。</w:t>
      </w:r>
    </w:p>
    <w:p w14:paraId="52E3CC36">
      <w:pPr>
        <w:keepNext/>
        <w:spacing w:before="80" w:after="4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drawing>
          <wp:inline distT="0" distB="0" distL="114300" distR="114300">
            <wp:extent cx="5715000" cy="3636010"/>
            <wp:effectExtent l="0" t="0" r="0" b="8890"/>
            <wp:docPr id="6" name="Picture 6" descr="图6  DOE2出口与目标面的X向强度和局部相位梯度角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 DOE2出口与目标面的X向强度和局部相位梯度角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2498">
      <w:pPr>
        <w:pStyle w:val="15"/>
        <w:keepNext w:val="0"/>
        <w:spacing w:after="160" w:line="24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图6  DOE2出口与目标面的X向强度和局部相位梯度角。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2"/>
        <w:gridCol w:w="2662"/>
        <w:gridCol w:w="1546"/>
      </w:tblGrid>
      <w:tr w14:paraId="1FA1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152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F59A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验收项目</w:t>
            </w:r>
          </w:p>
        </w:tc>
        <w:tc>
          <w:tcPr>
            <w:tcW w:w="2662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53E71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结果</w:t>
            </w:r>
          </w:p>
        </w:tc>
        <w:tc>
          <w:tcPr>
            <w:tcW w:w="1546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D615B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单位</w:t>
            </w:r>
          </w:p>
        </w:tc>
      </w:tr>
      <w:tr w14:paraId="1EC1C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0E59F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第一组圆对称扩束倍率</w:t>
            </w:r>
          </w:p>
        </w:tc>
        <w:tc>
          <w:tcPr>
            <w:tcW w:w="266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5EE5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5</w:t>
            </w:r>
          </w:p>
        </w:tc>
        <w:tc>
          <w:tcPr>
            <w:tcW w:w="15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D5CBE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</w:t>
            </w:r>
          </w:p>
        </w:tc>
      </w:tr>
      <w:tr w14:paraId="4A573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DC1CB2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X全1/e²宽度</w:t>
            </w:r>
          </w:p>
        </w:tc>
        <w:tc>
          <w:tcPr>
            <w:tcW w:w="266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D64C1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1.53303</w:t>
            </w:r>
          </w:p>
        </w:tc>
        <w:tc>
          <w:tcPr>
            <w:tcW w:w="1546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8DA710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mm</w:t>
            </w:r>
          </w:p>
        </w:tc>
      </w:tr>
      <w:tr w14:paraId="2F0E1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B01AE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X半高全宽</w:t>
            </w:r>
          </w:p>
        </w:tc>
        <w:tc>
          <w:tcPr>
            <w:tcW w:w="266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C6157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1.45715</w:t>
            </w:r>
          </w:p>
        </w:tc>
        <w:tc>
          <w:tcPr>
            <w:tcW w:w="15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582D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mm</w:t>
            </w:r>
          </w:p>
        </w:tc>
      </w:tr>
      <w:tr w14:paraId="459A1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A4A391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X中央90% Imin/Imax均匀性</w:t>
            </w:r>
          </w:p>
        </w:tc>
        <w:tc>
          <w:tcPr>
            <w:tcW w:w="266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82F1C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85.3884</w:t>
            </w:r>
          </w:p>
        </w:tc>
        <w:tc>
          <w:tcPr>
            <w:tcW w:w="1546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7680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%</w:t>
            </w:r>
          </w:p>
        </w:tc>
      </w:tr>
      <w:tr w14:paraId="54AA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5C3EE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X均匀性门槛</w:t>
            </w:r>
          </w:p>
        </w:tc>
        <w:tc>
          <w:tcPr>
            <w:tcW w:w="266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7DAD7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90</w:t>
            </w:r>
          </w:p>
        </w:tc>
        <w:tc>
          <w:tcPr>
            <w:tcW w:w="15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D257A9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%</w:t>
            </w:r>
          </w:p>
        </w:tc>
      </w:tr>
      <w:tr w14:paraId="68F7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8C5ED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Y全1/e²宽度</w:t>
            </w:r>
          </w:p>
        </w:tc>
        <w:tc>
          <w:tcPr>
            <w:tcW w:w="266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64C5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</w:t>
            </w:r>
          </w:p>
        </w:tc>
        <w:tc>
          <w:tcPr>
            <w:tcW w:w="1546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3A064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28CB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3412B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目标平均X倾角</w:t>
            </w:r>
          </w:p>
        </w:tc>
        <w:tc>
          <w:tcPr>
            <w:tcW w:w="266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4DA92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4.43753</w:t>
            </w:r>
          </w:p>
        </w:tc>
        <w:tc>
          <w:tcPr>
            <w:tcW w:w="15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59728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µrad</w:t>
            </w:r>
          </w:p>
        </w:tc>
      </w:tr>
      <w:tr w14:paraId="74393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C05CF4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目标曲率边缘斜率</w:t>
            </w:r>
          </w:p>
        </w:tc>
        <w:tc>
          <w:tcPr>
            <w:tcW w:w="266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8720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16.1171</w:t>
            </w:r>
          </w:p>
        </w:tc>
        <w:tc>
          <w:tcPr>
            <w:tcW w:w="1546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9C562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µrad</w:t>
            </w:r>
          </w:p>
        </w:tc>
      </w:tr>
      <w:tr w14:paraId="79DA4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8F9C6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继续传播100 mm后的X宽度变化</w:t>
            </w:r>
          </w:p>
        </w:tc>
        <w:tc>
          <w:tcPr>
            <w:tcW w:w="266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3C6D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2.86385</w:t>
            </w:r>
          </w:p>
        </w:tc>
        <w:tc>
          <w:tcPr>
            <w:tcW w:w="15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4B96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%</w:t>
            </w:r>
          </w:p>
        </w:tc>
      </w:tr>
      <w:tr w14:paraId="2BADF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A006D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宽度变化参考值</w:t>
            </w:r>
          </w:p>
        </w:tc>
        <w:tc>
          <w:tcPr>
            <w:tcW w:w="266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4CEF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1</w:t>
            </w:r>
          </w:p>
        </w:tc>
        <w:tc>
          <w:tcPr>
            <w:tcW w:w="1546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21524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%</w:t>
            </w:r>
          </w:p>
        </w:tc>
      </w:tr>
      <w:tr w14:paraId="6FAB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5373B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实际浮雕X单元节距</w:t>
            </w:r>
          </w:p>
        </w:tc>
        <w:tc>
          <w:tcPr>
            <w:tcW w:w="266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5347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6.10352</w:t>
            </w:r>
          </w:p>
        </w:tc>
        <w:tc>
          <w:tcPr>
            <w:tcW w:w="15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6B27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µm</w:t>
            </w:r>
          </w:p>
        </w:tc>
      </w:tr>
      <w:tr w14:paraId="6CFE7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5259E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设计验证通过</w:t>
            </w:r>
          </w:p>
        </w:tc>
        <w:tc>
          <w:tcPr>
            <w:tcW w:w="266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64CFB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</w:t>
            </w:r>
          </w:p>
        </w:tc>
        <w:tc>
          <w:tcPr>
            <w:tcW w:w="1546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0DBC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0/1</w:t>
            </w:r>
          </w:p>
        </w:tc>
      </w:tr>
    </w:tbl>
    <w:p w14:paraId="063DE68C">
      <w:pPr>
        <w:spacing w:after="4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CC6CB1A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9. 能量效率预算</w:t>
      </w:r>
    </w:p>
    <w:p w14:paraId="6A430E41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理想相位乘子模长为1，因此标量传播本身不吸收功率；但量化会把部分能量送入非目标衍射分量，空气/石英界面会反射，实际加工还存在散射、吸收和目标窗口外溢。32级相位的理想量化上限为：</w:t>
      </w:r>
    </w:p>
    <w:p w14:paraId="7CAFF7C7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18"/>
                </w:rPr>
                <m:t>η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18"/>
                </w:rPr>
                <m:t>32</m:t>
              </m:r>
              <m:ctrlPr>
                <w:rPr>
                  <w:rFonts w:ascii="Cambria Math" w:hAnsi="Cambria Math" w:eastAsia="微软雅黑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18"/>
            </w:rPr>
            <m:t>=</m:t>
          </m:r>
          <m:sSup>
            <m:sSupPr>
              <m:ctrlPr>
                <w:rPr>
                  <w:rFonts w:hint="default" w:ascii="Cambria Math" w:hAnsi="Cambria Math" w:eastAsia="微软雅黑"/>
                  <w:sz w:val="1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sin</m:t>
                          </m:r>
                          <m:ctrlPr>
                            <w:rPr>
                              <w:rFonts w:ascii="Cambria Math" w:hAnsi="Cambria Math" w:eastAsia="微软雅黑"/>
                              <w:sz w:val="18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Cambria Math" w:hAnsi="Cambria Math" w:eastAsia="微软雅黑"/>
                              <w:sz w:val="18"/>
                            </w:rPr>
                            <m:t>(</m:t>
                          </m:r>
                          <m:ctrlPr>
                            <w:rPr>
                              <w:rFonts w:ascii="Cambria Math" w:hAnsi="Cambria Math" w:eastAsia="微软雅黑"/>
                              <w:sz w:val="18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π/32)</m:t>
                      </m: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π/32</m:t>
                      </m: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e>
              </m:d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微软雅黑"/>
                  <w:sz w:val="18"/>
                </w:rPr>
                <m:t>2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微软雅黑"/>
              <w:sz w:val="18"/>
            </w:rPr>
            <m:t>=99.6791%</m:t>
          </m:r>
        </m:oMath>
      </m:oMathPara>
    </w:p>
    <w:p w14:paraId="170435E5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未镀膜单表面的法向Fresnel反射估算为：</w:t>
      </w:r>
      <w:bookmarkStart w:id="0" w:name="_GoBack"/>
      <w:bookmarkEnd w:id="0"/>
    </w:p>
    <w:p w14:paraId="09BF0DB6">
      <w:pPr>
        <w:keepLines/>
        <w:shd w:val="clear" w:fill="F5F7FA"/>
        <w:spacing w:before="40" w:after="140" w:line="240" w:lineRule="auto"/>
        <w:ind w:left="360" w:right="216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m:oMathPara>
        <m:oMath>
          <m:r>
            <m:rPr/>
            <w:rPr>
              <w:rFonts w:hint="default" w:ascii="Cambria Math" w:hAnsi="Cambria Math" w:eastAsia="微软雅黑"/>
              <w:sz w:val="18"/>
            </w:rPr>
            <m:t>R=</m:t>
          </m:r>
          <m:sSup>
            <m:sSupPr>
              <m:ctrlPr>
                <w:rPr>
                  <w:rFonts w:hint="default" w:ascii="Cambria Math" w:hAnsi="Cambria Math" w:eastAsia="微软雅黑"/>
                  <w:sz w:val="18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微软雅黑"/>
                          <w:sz w:val="18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n−1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微软雅黑"/>
                          <w:sz w:val="18"/>
                        </w:rPr>
                        <m:t>n+1</m:t>
                      </m:r>
                      <m:ctrlPr>
                        <w:rPr>
                          <w:rFonts w:ascii="Cambria Math" w:hAnsi="Cambria Math" w:eastAsia="微软雅黑"/>
                          <w:sz w:val="18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微软雅黑"/>
                      <w:sz w:val="18"/>
                    </w:rPr>
                  </m:ctrlPr>
                </m:e>
              </m:d>
              <m:ctrlPr>
                <w:rPr>
                  <w:rFonts w:hint="default" w:ascii="Cambria Math" w:hAnsi="Cambria Math" w:eastAsia="微软雅黑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微软雅黑"/>
                  <w:sz w:val="18"/>
                </w:rPr>
                <m:t>2</m:t>
              </m:r>
              <m:ctrlPr>
                <w:rPr>
                  <w:rFonts w:hint="default" w:ascii="Cambria Math" w:hAnsi="Cambria Math" w:eastAsia="微软雅黑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微软雅黑"/>
              <w:sz w:val="18"/>
            </w:rPr>
            <m:t>=3.6967%</m:t>
          </m:r>
        </m:oMath>
      </m:oMathPara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3"/>
        <w:gridCol w:w="1418"/>
        <w:gridCol w:w="3829"/>
      </w:tblGrid>
      <w:tr w14:paraId="3A8FE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13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57B59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效率项目</w:t>
            </w:r>
          </w:p>
        </w:tc>
        <w:tc>
          <w:tcPr>
            <w:tcW w:w="1418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F125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数值/%</w:t>
            </w:r>
          </w:p>
        </w:tc>
        <w:tc>
          <w:tcPr>
            <w:tcW w:w="3829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1ACF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说明</w:t>
            </w:r>
          </w:p>
        </w:tc>
      </w:tr>
      <w:tr w14:paraId="245A6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F445C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单片DOE的32级量化</w:t>
            </w:r>
          </w:p>
        </w:tc>
        <w:tc>
          <w:tcPr>
            <w:tcW w:w="141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E189D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99.6791</w:t>
            </w:r>
          </w:p>
        </w:tc>
        <w:tc>
          <w:tcPr>
            <w:tcW w:w="382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4A350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相位级量化上限</w:t>
            </w:r>
          </w:p>
        </w:tc>
      </w:tr>
      <w:tr w14:paraId="76C1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59E88C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两片DOE的相位量化</w:t>
            </w:r>
          </w:p>
        </w:tc>
        <w:tc>
          <w:tcPr>
            <w:tcW w:w="1418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E7A444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99.3593</w:t>
            </w:r>
          </w:p>
        </w:tc>
        <w:tc>
          <w:tcPr>
            <w:tcW w:w="382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C2275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两个量化因子的乘积</w:t>
            </w:r>
          </w:p>
        </w:tc>
      </w:tr>
      <w:tr w14:paraId="6DA1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91CDD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单个未镀膜表面反射</w:t>
            </w:r>
          </w:p>
        </w:tc>
        <w:tc>
          <w:tcPr>
            <w:tcW w:w="141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E28D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3.6967</w:t>
            </w:r>
          </w:p>
        </w:tc>
        <w:tc>
          <w:tcPr>
            <w:tcW w:w="382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CF8D7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法向Fresnel估算</w:t>
            </w:r>
          </w:p>
        </w:tc>
      </w:tr>
      <w:tr w14:paraId="059BB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1C157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四个未镀膜表面透射</w:t>
            </w:r>
          </w:p>
        </w:tc>
        <w:tc>
          <w:tcPr>
            <w:tcW w:w="1418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A503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86.0130</w:t>
            </w:r>
          </w:p>
        </w:tc>
        <w:tc>
          <w:tcPr>
            <w:tcW w:w="382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37CC8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四个空气/石英界面</w:t>
            </w:r>
          </w:p>
        </w:tc>
      </w:tr>
      <w:tr w14:paraId="1077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F49E8C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两片DOE未镀膜理论上限</w:t>
            </w:r>
          </w:p>
        </w:tc>
        <w:tc>
          <w:tcPr>
            <w:tcW w:w="141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B32A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85.4619</w:t>
            </w:r>
          </w:p>
        </w:tc>
        <w:tc>
          <w:tcPr>
            <w:tcW w:w="382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9AC165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不含散射、吸收及目标外溢</w:t>
            </w:r>
          </w:p>
        </w:tc>
      </w:tr>
      <w:tr w14:paraId="1D74B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3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3EA07D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每面剩余反射0.5%时的两片上限</w:t>
            </w:r>
          </w:p>
        </w:tc>
        <w:tc>
          <w:tcPr>
            <w:tcW w:w="1418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EE39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97.3870</w:t>
            </w:r>
          </w:p>
        </w:tc>
        <w:tc>
          <w:tcPr>
            <w:tcW w:w="3829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3803F1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要求合格的355 nm增透膜</w:t>
            </w:r>
          </w:p>
        </w:tc>
      </w:tr>
    </w:tbl>
    <w:p w14:paraId="74F27E32">
      <w:pPr>
        <w:spacing w:after="4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F59740D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附录B：程序文件说明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8"/>
        <w:gridCol w:w="4972"/>
      </w:tblGrid>
      <w:tr w14:paraId="5D07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388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07E02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MATLAB文件</w:t>
            </w:r>
          </w:p>
        </w:tc>
        <w:tc>
          <w:tcPr>
            <w:tcW w:w="4972" w:type="dxa"/>
            <w:shd w:val="clear" w:color="auto" w:fill="2E74B5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9FE5C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作用</w:t>
            </w:r>
          </w:p>
        </w:tc>
      </w:tr>
      <w:tr w14:paraId="3B284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FA272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run_independent_relief_DOE_R2019b.m</w:t>
            </w:r>
          </w:p>
        </w:tc>
        <w:tc>
          <w:tcPr>
            <w:tcW w:w="497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5CEA18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唯一主程序；运行、验收并刷新加工数据</w:t>
            </w:r>
          </w:p>
        </w:tc>
      </w:tr>
      <w:tr w14:paraId="2D015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8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8FC5B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independent_relief_doe_config.m</w:t>
            </w:r>
          </w:p>
        </w:tc>
        <w:tc>
          <w:tcPr>
            <w:tcW w:w="497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E6A881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激光、光路、DOE材料、量化和验收参数唯一来源</w:t>
            </w:r>
          </w:p>
        </w:tc>
      </w:tr>
      <w:tr w14:paraId="29E0C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B7983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simulate_independent_relief_doe.m</w:t>
            </w:r>
          </w:p>
        </w:tc>
        <w:tc>
          <w:tcPr>
            <w:tcW w:w="497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725CC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DOE1/DOE2设计、制造量化、相干传播和二维强度</w:t>
            </w:r>
          </w:p>
        </w:tc>
      </w:tr>
      <w:tr w14:paraId="5291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8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9B6DD8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simulate_y_m2_gaussian_path.m</w:t>
            </w:r>
          </w:p>
        </w:tc>
        <w:tc>
          <w:tcPr>
            <w:tcW w:w="497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61660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Y向M² q参数传播和1.0 µm焦斑验证</w:t>
            </w:r>
          </w:p>
        </w:tc>
      </w:tr>
      <w:tr w14:paraId="04B9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DB70A9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build_coherent_laser_waist_1d.m</w:t>
            </w:r>
          </w:p>
        </w:tc>
        <w:tc>
          <w:tcPr>
            <w:tcW w:w="497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14F0A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完全相干高斯束腰复场</w:t>
            </w:r>
          </w:p>
        </w:tc>
      </w:tr>
      <w:tr w14:paraId="1145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8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49F3B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verify_laser_model_against_reference.m</w:t>
            </w:r>
          </w:p>
        </w:tc>
        <w:tc>
          <w:tcPr>
            <w:tcW w:w="4972" w:type="dxa"/>
            <w:shd w:val="clear" w:color="auto" w:fill="F3F7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994D55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按参考资料验证高斯束物理定义</w:t>
            </w:r>
          </w:p>
        </w:tc>
      </w:tr>
      <w:tr w14:paraId="551D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27596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plot_independent_relief_doe_paths.m</w:t>
            </w:r>
          </w:p>
        </w:tc>
        <w:tc>
          <w:tcPr>
            <w:tcW w:w="497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8A1E4F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XZ/YZ光路图和元件表</w:t>
            </w:r>
          </w:p>
        </w:tc>
      </w:tr>
    </w:tbl>
    <w:p w14:paraId="5FC268E3">
      <w:pPr>
        <w:spacing w:after="40"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DA65A67">
      <w:pPr>
        <w:pStyle w:val="3"/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附录C：参考资料</w:t>
      </w:r>
    </w:p>
    <w:p w14:paraId="7816D30B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[1] optical_design_using_excel.pdf，第7.1节“What is a Gaussian Beam?”及第7.3节M²传播模型；随包位于05_references。</w:t>
      </w:r>
    </w:p>
    <w:p w14:paraId="32110A14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[2] Malitson型熔融石英Sellmeier系数；数值系数和计算式固化于independent_relief_doe_config.m。</w:t>
      </w:r>
    </w:p>
    <w:p w14:paraId="5C979236">
      <w:pPr>
        <w:spacing w:line="240" w:lineRule="auto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[3] 本资料包MATLAB R2019b执行清单、doe_fabrication_summary.csv、efficiency_budget.csv和independent_relief_doe_acceptance.csv。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6019F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391B8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2531D"/>
    <w:rsid w:val="148C3C1A"/>
    <w:rsid w:val="2C6308E2"/>
    <w:rsid w:val="2DBA4F85"/>
    <w:rsid w:val="316D434F"/>
    <w:rsid w:val="40533055"/>
    <w:rsid w:val="4C714C8A"/>
    <w:rsid w:val="61F15812"/>
    <w:rsid w:val="6C5172E2"/>
    <w:rsid w:val="74EB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64" w:lineRule="auto"/>
    </w:pPr>
    <w:rPr>
      <w:rFonts w:ascii="微软雅黑" w:hAnsi="微软雅黑" w:eastAsia="微软雅黑" w:cs="微软雅黑"/>
      <w:color w:val="000000" w:themeColor="text1"/>
      <w:sz w:val="22"/>
      <w:szCs w:val="22"/>
      <w:lang w:val="en-US" w:eastAsia="en-US" w:bidi="ar-SA"/>
      <w14:textFill>
        <w14:solidFill>
          <w14:schemeClr w14:val="tx1"/>
        </w14:solidFill>
      </w14:textFill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60" w:line="280" w:lineRule="auto"/>
      <w:contextualSpacing/>
    </w:pPr>
    <w:rPr>
      <w:rFonts w:ascii="Calibri" w:hAnsi="Calibri" w:eastAsia="等线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60" w:line="280" w:lineRule="auto"/>
      <w:contextualSpacing/>
    </w:pPr>
    <w:rPr>
      <w:rFonts w:ascii="Calibri" w:hAnsi="Calibri" w:eastAsia="等线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320"/>
    </w:pPr>
    <w:rPr>
      <w:rFonts w:asciiTheme="majorHAnsi" w:hAnsiTheme="majorHAnsi" w:eastAsiaTheme="majorEastAsia" w:cstheme="majorBidi"/>
      <w:i/>
      <w:iCs/>
      <w:color w:val="667085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998</Words>
  <Characters>1509</Characters>
  <Lines>0</Lines>
  <Paragraphs>0</Paragraphs>
  <TotalTime>15</TotalTime>
  <ScaleCrop>false</ScaleCrop>
  <LinksUpToDate>false</LinksUpToDate>
  <CharactersWithSpaces>1578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Laser Simulation Project</dc:creator>
  <dc:description>独立设计；不含厂商专有相位。</dc:description>
  <cp:keywords>355 nm, DOE, relief, fused silica, MATLAB R2019b, coherent propagation</cp:keywords>
  <cp:lastModifiedBy>吴凡</cp:lastModifiedBy>
  <dcterms:modified xsi:type="dcterms:W3CDTF">2026-08-14T09:22:25Z</dcterms:modified>
  <dc:subject>双片熔融石英多级浮雕DOE设计、加工与MATLAB R2019b验证</dc:subject>
  <dc:title>355 nm独立32级浮雕DOE线光技术说明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eyJoZGlkIjoiNDljOTcyNjAxM2NhYzAxMTY0ZjE1OGEwNzg3NWJlMDIiLCJ1c2VySWQiOiI1NzYyNjUwOTcifQ==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3BAC05073827457DAD956661180CEA05_12</vt:lpwstr>
  </property>
</Properties>
</file>