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7FB14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利用AI 进行激光照明设计</w:t>
      </w:r>
    </w:p>
    <w:p w14:paraId="4E7EF02B">
      <w:pPr>
        <w:rPr>
          <w:rFonts w:hint="eastAsia"/>
          <w:lang w:val="en-US" w:eastAsia="zh-CN"/>
        </w:rPr>
      </w:pPr>
    </w:p>
    <w:p w14:paraId="0F89CAFD">
      <w:pPr>
        <w:pStyle w:val="2"/>
        <w:keepNext w:val="0"/>
        <w:keepLines w:val="0"/>
        <w:widowControl/>
        <w:suppressLineNumbers w:val="0"/>
      </w:pPr>
      <w:r>
        <w:t>一、从需求开始指导 Codex</w:t>
      </w:r>
    </w:p>
    <w:p w14:paraId="37B61346">
      <w:pPr>
        <w:pStyle w:val="4"/>
        <w:keepNext w:val="0"/>
        <w:keepLines w:val="0"/>
        <w:widowControl/>
        <w:suppressLineNumbers w:val="0"/>
      </w:pPr>
      <w:r>
        <w:t>首先不要直接让 Codex“设计一个DOE”，而要先要求它整理需求，并区分三类条件。</w:t>
      </w:r>
    </w:p>
    <w:p w14:paraId="0531B4BA">
      <w:pPr>
        <w:pStyle w:val="3"/>
        <w:keepNext w:val="0"/>
        <w:keepLines w:val="0"/>
        <w:widowControl/>
        <w:suppressLineNumbers w:val="0"/>
      </w:pPr>
      <w:r>
        <w:t>1. 强制条件</w:t>
      </w:r>
    </w:p>
    <w:p w14:paraId="18486BCD">
      <w:pPr>
        <w:pStyle w:val="4"/>
        <w:keepNext w:val="0"/>
        <w:keepLines w:val="0"/>
        <w:widowControl/>
        <w:suppressLineNumbers w:val="0"/>
      </w:pPr>
      <w:r>
        <w:t>例如本项目中的：</w:t>
      </w:r>
    </w:p>
    <w:p w14:paraId="30BA17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波长355 nm；</w:t>
      </w:r>
    </w:p>
    <w:p w14:paraId="4D9853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完全相干连续激光；</w:t>
      </w:r>
    </w:p>
    <w:p w14:paraId="32F2E9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DOE最小单元5 µm；</w:t>
      </w:r>
    </w:p>
    <w:p w14:paraId="0FE353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DOE相位限制16级；</w:t>
      </w:r>
    </w:p>
    <w:p w14:paraId="2ED873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DOE最大口径50 mm；</w:t>
      </w:r>
    </w:p>
    <w:p w14:paraId="624BC3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物理DOE数量为1片双面DOE；</w:t>
      </w:r>
    </w:p>
    <w:p w14:paraId="53E3FA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最后一片透镜只对Y方向聚焦；</w:t>
      </w:r>
    </w:p>
    <w:p w14:paraId="79D419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X方向不能被最后一片透镜聚焦；</w:t>
      </w:r>
    </w:p>
    <w:p w14:paraId="3FC570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柱透镜与DOE必须是分开的实体元件；</w:t>
      </w:r>
    </w:p>
    <w:p w14:paraId="1FF863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后工作距离大于50 mm；</w:t>
      </w:r>
    </w:p>
    <w:p w14:paraId="7FBCD9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最终X宽度约1.5 mm；</w:t>
      </w:r>
    </w:p>
    <w:p w14:paraId="2F5E96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最终Y宽度约1 µm；</w:t>
      </w:r>
    </w:p>
    <w:p w14:paraId="090661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不考虑镀膜损耗时效率大于85%。</w:t>
      </w:r>
    </w:p>
    <w:p w14:paraId="0E9EF18B">
      <w:pPr>
        <w:pStyle w:val="3"/>
        <w:keepNext w:val="0"/>
        <w:keepLines w:val="0"/>
        <w:widowControl/>
        <w:suppressLineNumbers w:val="0"/>
      </w:pPr>
      <w:r>
        <w:t>2. 可优化条件</w:t>
      </w:r>
    </w:p>
    <w:p w14:paraId="2EBA95EB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6A3813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第一组扩束倍率允许5–10倍；</w:t>
      </w:r>
    </w:p>
    <w:p w14:paraId="134CB3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X向允许适当缩束或增加中继透镜；</w:t>
      </w:r>
    </w:p>
    <w:p w14:paraId="57AF97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Y向扩束倍率根据焦距和目标焦斑反算；</w:t>
      </w:r>
    </w:p>
    <w:p w14:paraId="39481C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DOE两面相位可以重新分配；</w:t>
      </w:r>
    </w:p>
    <w:p w14:paraId="631AF5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最终工作距离只要大于50 mm，不必固定100 mm。</w:t>
      </w:r>
    </w:p>
    <w:p w14:paraId="41C23209">
      <w:pPr>
        <w:pStyle w:val="3"/>
        <w:keepNext w:val="0"/>
        <w:keepLines w:val="0"/>
        <w:widowControl/>
        <w:suppressLineNumbers w:val="0"/>
      </w:pPr>
      <w:r>
        <w:t>3. 验收定义</w:t>
      </w:r>
    </w:p>
    <w:p w14:paraId="07A72B0F">
      <w:pPr>
        <w:pStyle w:val="4"/>
        <w:keepNext w:val="0"/>
        <w:keepLines w:val="0"/>
        <w:widowControl/>
        <w:suppressLineNumbers w:val="0"/>
      </w:pPr>
      <w:r>
        <w:t>这是最容易产生争议的部分，必须提前写清：</w:t>
      </w:r>
    </w:p>
    <w:p w14:paraId="60385C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光斑宽度用全 1/e^2 宽度还是FWHM；</w:t>
      </w:r>
    </w:p>
    <w:p w14:paraId="0E718F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均匀性计算区域是否为固定中央1.35 mm；</w:t>
      </w:r>
    </w:p>
    <w:p w14:paraId="200354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均匀性采用 </w:t>
      </w:r>
      <m:oMath>
        <m:r>
          <m:rPr/>
          <w:rPr>
            <w:rFonts w:hint="default" w:ascii="Cambria Math" w:hAnsi="Cambria Math"/>
            <w:sz w:val="21"/>
          </w:rPr>
          <m:t>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e>
          <m:sub>
            <m:func>
              <m:funcPr>
                <m:ctrlPr>
                  <w:rPr>
                    <w:rFonts w:hint="default" w:ascii="Cambria Math" w:hAnsi="Cambria Math"/>
                    <w:sz w:val="21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min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lim>
                    <m:ctrlPr>
                      <w:rPr>
                        <w:rFonts w:ascii="Cambria Math" w:hAnsi="Cambria Math"/>
                        <w:sz w:val="21"/>
                      </w:rPr>
                    </m:ctrlPr>
                  </m:lim>
                </m:limLow>
                <m:ctrlPr>
                  <w:rPr>
                    <w:rFonts w:hint="default" w:ascii="Cambria Math" w:hAnsi="Cambria Math"/>
                    <w:sz w:val="21"/>
                  </w:rPr>
                </m:ctrlPr>
              </m:fName>
              <m:e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func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/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hint="default" w:ascii="Cambria Math" w:hAnsi="Cambria Math"/>
                <w:sz w:val="21"/>
              </w:rPr>
            </m:ctrlPr>
          </m:e>
          <m:sub>
            <m:func>
              <m:funcPr>
                <m:ctrlPr>
                  <w:rPr>
                    <w:rFonts w:hint="default" w:ascii="Cambria Math" w:hAnsi="Cambria Math"/>
                    <w:sz w:val="21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lim>
                    <m:ctrlPr>
                      <w:rPr>
                        <w:rFonts w:ascii="Cambria Math" w:hAnsi="Cambria Math"/>
                        <w:sz w:val="21"/>
                      </w:rPr>
                    </m:ctrlPr>
                  </m:lim>
                </m:limLow>
                <m:ctrlPr>
                  <w:rPr>
                    <w:rFonts w:hint="default" w:ascii="Cambria Math" w:hAnsi="Cambria Math"/>
                    <w:sz w:val="21"/>
                  </w:rPr>
                </m:ctrlPr>
              </m:fName>
              <m:e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func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)；</m:t>
        </m:r>
      </m:oMath>
    </w:p>
    <w:p w14:paraId="716EF6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是否包含探测器有限空间分辨率；</w:t>
      </w:r>
    </w:p>
    <w:p w14:paraId="03356B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效率是总传播功率、目标窗口功率还是理论衍射效率；</w:t>
      </w:r>
    </w:p>
    <w:p w14:paraId="287326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X“平行光”是几何准直，还是要求波前RMS。</w:t>
      </w:r>
    </w:p>
    <w:p w14:paraId="3F52639D">
      <w:pPr>
        <w:pStyle w:val="2"/>
        <w:keepNext w:val="0"/>
        <w:keepLines w:val="0"/>
        <w:widowControl/>
        <w:suppressLineNumbers w:val="0"/>
      </w:pPr>
      <w:r>
        <w:t>二、指导 Codex建立理论模型</w:t>
      </w:r>
    </w:p>
    <w:p w14:paraId="20B45CCD">
      <w:pPr>
        <w:pStyle w:val="3"/>
        <w:keepNext w:val="0"/>
        <w:keepLines w:val="0"/>
        <w:widowControl/>
        <w:suppressLineNumbers w:val="0"/>
      </w:pPr>
      <w:r>
        <w:t>1. 相干复振幅</w:t>
      </w:r>
    </w:p>
    <w:p w14:paraId="11A32C40">
      <w:pPr>
        <w:pStyle w:val="4"/>
        <w:keepNext w:val="0"/>
        <w:keepLines w:val="0"/>
        <w:widowControl/>
        <w:suppressLineNumbers w:val="0"/>
      </w:pPr>
      <w:r>
        <w:t>对平坦波前高斯入射，DOE面复振幅定义为：</w:t>
      </w:r>
    </w:p>
    <w:p w14:paraId="1816C02C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[E(x,y)=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E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0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exp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 w:eastAsia="宋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sz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 w:eastAsia="宋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sz w:val="24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宋体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/>
                  <w:sz w:val="24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 w:eastAsia="宋体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sz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 w:eastAsia="宋体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sz w:val="24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eastAsia="宋体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13CD2500">
      <w:pPr>
        <w:pStyle w:val="4"/>
        <w:keepNext w:val="0"/>
        <w:keepLines w:val="0"/>
        <w:widowControl/>
        <w:suppressLineNumbers w:val="0"/>
      </w:pPr>
      <w:r>
        <w:t>其中：</w:t>
      </w:r>
    </w:p>
    <w:p w14:paraId="0C228A16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arg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E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(x,y)=0]</m:t>
          </m:r>
        </m:oMath>
      </m:oMathPara>
    </w:p>
    <w:p w14:paraId="2CFD31A5">
      <w:pPr>
        <w:pStyle w:val="4"/>
        <w:keepNext w:val="0"/>
        <w:keepLines w:val="0"/>
        <w:widowControl/>
        <w:suppressLineNumbers w:val="0"/>
      </w:pPr>
      <w:r>
        <w:t>因此整个输入面相位完全一致，表示连续、单频、完全相干的平面波波前，但强度呈高斯分布：</w:t>
      </w:r>
    </w:p>
    <w:p w14:paraId="41FFE498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[I(x,y)=|E(x,y)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|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461101FB">
      <w:pPr>
        <w:pStyle w:val="3"/>
        <w:keepNext w:val="0"/>
        <w:keepLines w:val="0"/>
        <w:widowControl/>
        <w:suppressLineNumbers w:val="0"/>
      </w:pPr>
      <w:r>
        <w:t>2. 相干衍射传播</w:t>
      </w:r>
    </w:p>
    <w:p w14:paraId="186E4A7A">
      <w:pPr>
        <w:pStyle w:val="4"/>
        <w:keepNext w:val="0"/>
        <w:keepLines w:val="0"/>
        <w:widowControl/>
        <w:suppressLineNumbers w:val="0"/>
      </w:pPr>
      <w:r>
        <w:t>MATLAB模型采用角谱传播：</w:t>
      </w:r>
    </w:p>
    <w:p w14:paraId="12750708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[E(x,y,z)=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F{E(x,y,0)}exp</m:t>
              </m:r>
              <m:d>
                <m:d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ikz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radPr>
                    <m:deg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1−(λ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f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)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−(λ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f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)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</m:rad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2CC22D41">
      <w:pPr>
        <w:pStyle w:val="4"/>
        <w:keepNext w:val="0"/>
        <w:keepLines w:val="0"/>
        <w:widowControl/>
        <w:suppressLineNumbers w:val="0"/>
      </w:pPr>
      <w:r>
        <w:t>DOE面作为纯相位透过率：</w:t>
      </w:r>
    </w:p>
    <w:p w14:paraId="1B099598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DOE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(x,y)=exp[iϕ(x,y)]]</m:t>
          </m:r>
        </m:oMath>
      </m:oMathPara>
    </w:p>
    <w:p w14:paraId="17E6EF7A">
      <w:pPr>
        <w:pStyle w:val="4"/>
        <w:keepNext w:val="0"/>
        <w:keepLines w:val="0"/>
        <w:widowControl/>
        <w:suppressLineNumbers w:val="0"/>
      </w:pPr>
      <w:r>
        <w:t>两面DOE传播过程为：</w:t>
      </w:r>
    </w:p>
    <w:p w14:paraId="16183ECE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bSup>
            <m:sSubSupPr>
              <m:ctrlPr>
                <w:rPr>
                  <w:rFonts w:hint="default" w:ascii="Cambria Math" w:hAnsi="Cambria Math" w:eastAsia="宋体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E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B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−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P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d/n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sSubSup>
                <m:sSub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−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宋体"/>
                  <w:sz w:val="24"/>
                </w:rPr>
                <m:t>exp(i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ϕ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][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E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P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L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sSubSup>
                <m:sSub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−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宋体"/>
                  <w:sz w:val="24"/>
                </w:rPr>
                <m:t>exp(i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ϕ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7E7C6ABE">
      <w:pPr>
        <w:pStyle w:val="4"/>
        <w:keepNext w:val="0"/>
        <w:keepLines w:val="0"/>
        <w:widowControl/>
        <w:suppressLineNumbers w:val="0"/>
      </w:pPr>
      <w:r>
        <w:t xml:space="preserve">其中 </w:t>
      </w:r>
      <m:oMath>
        <m:r>
          <m:rPr/>
          <w:rPr>
            <w:rFonts w:hint="default" w:ascii="Cambria Math" w:hAnsi="Cambria Math"/>
            <w:sz w:val="24"/>
          </w:rPr>
          <m:t>(d/n)</m:t>
        </m:r>
      </m:oMath>
      <w:r>
        <w:t>是DOE基底的约化衍射传播距离。</w:t>
      </w:r>
    </w:p>
    <w:p w14:paraId="4753AEA1">
      <w:pPr>
        <w:pStyle w:val="3"/>
        <w:keepNext w:val="0"/>
        <w:keepLines w:val="0"/>
        <w:widowControl/>
        <w:suppressLineNumbers w:val="0"/>
      </w:pPr>
      <w:r>
        <w:t>3. 后级柱透镜</w:t>
      </w:r>
    </w:p>
    <w:p w14:paraId="5AC596BA">
      <w:pPr>
        <w:pStyle w:val="4"/>
        <w:keepNext w:val="0"/>
        <w:keepLines w:val="0"/>
        <w:widowControl/>
        <w:suppressLineNumbers w:val="0"/>
      </w:pPr>
      <w:r>
        <w:t>柱透镜只在Y方向加入二次相位：</w:t>
      </w:r>
    </w:p>
    <w:p w14:paraId="5F230D3A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L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(x,y)=exp</m:t>
          </m:r>
          <m:d>
            <m:dPr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f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Y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den>
              </m:f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y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55D54395">
      <w:pPr>
        <w:pStyle w:val="4"/>
        <w:keepNext w:val="0"/>
        <w:keepLines w:val="0"/>
        <w:widowControl/>
        <w:suppressLineNumbers w:val="0"/>
      </w:pPr>
      <w:r>
        <w:t xml:space="preserve">X方向没有 </w:t>
      </w:r>
      <m:oMath>
        <m:r>
          <m:rPr/>
          <w:rPr>
            <w:rFonts w:hint="default" w:ascii="Cambria Math" w:hAnsi="Cambria Math"/>
            <w:sz w:val="24"/>
          </w:rPr>
          <m:t>(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/>
          <w:rPr>
            <w:rFonts w:hint="default" w:ascii="Cambria Math" w:hAnsi="Cambria Math"/>
            <w:sz w:val="24"/>
          </w:rPr>
          <m:t>)</m:t>
        </m:r>
      </m:oMath>
      <w:r>
        <w:t xml:space="preserve"> 项，因此：</w:t>
      </w:r>
    </w:p>
    <w:p w14:paraId="439484CC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=∞]</m:t>
          </m:r>
        </m:oMath>
      </m:oMathPara>
    </w:p>
    <w:p w14:paraId="1583D163">
      <w:pPr>
        <w:pStyle w:val="4"/>
        <w:keepNext w:val="0"/>
        <w:keepLines w:val="0"/>
        <w:widowControl/>
        <w:suppressLineNumbers w:val="0"/>
      </w:pPr>
      <w:r>
        <w:t>这保证最后一片透镜不聚焦X方向。</w:t>
      </w:r>
    </w:p>
    <w:p w14:paraId="1A0C13FC">
      <w:pPr>
        <w:pStyle w:val="4"/>
        <w:keepNext w:val="0"/>
        <w:keepLines w:val="0"/>
        <w:widowControl/>
        <w:suppressLineNumbers w:val="0"/>
      </w:pPr>
    </w:p>
    <w:p w14:paraId="68B681F6">
      <w:pPr>
        <w:pStyle w:val="2"/>
        <w:keepNext w:val="0"/>
        <w:keepLines w:val="0"/>
        <w:widowControl/>
        <w:suppressLineNumbers w:val="0"/>
      </w:pPr>
      <w:r>
        <w:t>三、建立初始光学架构</w:t>
      </w:r>
    </w:p>
    <w:p w14:paraId="3C2D2F2B">
      <w:pPr>
        <w:pStyle w:val="4"/>
        <w:keepNext w:val="0"/>
        <w:keepLines w:val="0"/>
        <w:widowControl/>
        <w:suppressLineNumbers w:val="0"/>
      </w:pPr>
      <w:r>
        <w:t>Codex建立架构时，先用近轴理论给出可行初值，再进入波动光学优化。</w:t>
      </w:r>
    </w:p>
    <w:p w14:paraId="00F198AE">
      <w:pPr>
        <w:pStyle w:val="4"/>
        <w:keepNext w:val="0"/>
        <w:keepLines w:val="0"/>
        <w:widowControl/>
        <w:suppressLineNumbers w:val="0"/>
      </w:pPr>
      <w:r>
        <w:t>最初完整架构包括：</w:t>
      </w:r>
    </w:p>
    <w:p w14:paraId="2D5C1A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圆对称第一扩束组；</w:t>
      </w:r>
    </w:p>
    <w:p w14:paraId="52E825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X向小倍率中继；</w:t>
      </w:r>
    </w:p>
    <w:p w14:paraId="197880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Y向独立扩束；</w:t>
      </w:r>
    </w:p>
    <w:p w14:paraId="263DD8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双面DOE；</w:t>
      </w:r>
    </w:p>
    <w:p w14:paraId="1C1370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独立Y柱透镜；</w:t>
      </w:r>
    </w:p>
    <w:p w14:paraId="6DF5FE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目标面。</w:t>
      </w:r>
    </w:p>
    <w:p w14:paraId="689B3C62">
      <w:pPr>
        <w:pStyle w:val="2"/>
        <w:keepNext w:val="0"/>
        <w:keepLines w:val="0"/>
        <w:widowControl/>
        <w:suppressLineNumbers w:val="0"/>
      </w:pPr>
      <w:r>
        <w:t>四、DOE优化过程</w:t>
      </w:r>
    </w:p>
    <w:p w14:paraId="0CA1021A">
      <w:pPr>
        <w:pStyle w:val="3"/>
        <w:keepNext w:val="0"/>
        <w:keepLines w:val="0"/>
        <w:widowControl/>
        <w:suppressLineNumbers w:val="0"/>
      </w:pPr>
      <w:r>
        <w:t>1. 连续相位优化</w:t>
      </w:r>
    </w:p>
    <w:p w14:paraId="0CAA855F">
      <w:pPr>
        <w:pStyle w:val="4"/>
        <w:keepNext w:val="0"/>
        <w:keepLines w:val="0"/>
        <w:widowControl/>
        <w:suppressLineNumbers w:val="0"/>
      </w:pPr>
      <w:r>
        <w:t>首先暂不考虑加工级数，通过输入和目标累计能量映射获得初始相位，再使用双相位面交替投影。</w:t>
      </w:r>
    </w:p>
    <w:p w14:paraId="3680EE5F">
      <w:pPr>
        <w:pStyle w:val="4"/>
        <w:keepNext w:val="0"/>
        <w:keepLines w:val="0"/>
        <w:widowControl/>
        <w:suppressLineNumbers w:val="0"/>
      </w:pPr>
      <w:r>
        <w:t>目标X幅度设置为高阶超高斯：</w:t>
      </w:r>
    </w:p>
    <w:p w14:paraId="19552C8F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A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(x)=exp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|x|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D/2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32D90A9F">
      <w:pPr>
        <w:pStyle w:val="4"/>
        <w:keepNext w:val="0"/>
        <w:keepLines w:val="0"/>
        <w:widowControl/>
        <w:suppressLineNumbers w:val="0"/>
      </w:pPr>
      <w:r>
        <w:t xml:space="preserve">其中 </w:t>
      </w:r>
      <w:r>
        <w:rPr>
          <w:rFonts w:hint="eastAsia"/>
          <w:lang w:val="en-US" w:eastAsia="zh-CN"/>
        </w:rPr>
        <w:t>D</w:t>
      </w:r>
      <w:r>
        <w:t xml:space="preserve"> 约为1.54 mm，</w:t>
      </w:r>
      <w:r>
        <w:rPr>
          <w:rFonts w:hint="eastAsia"/>
          <w:lang w:val="en-US" w:eastAsia="zh-CN"/>
        </w:rPr>
        <w:t>M</w:t>
      </w:r>
      <w:r>
        <w:t>取较高阶数以产生平顶区域。</w:t>
      </w:r>
    </w:p>
    <w:p w14:paraId="49E3DE26">
      <w:pPr>
        <w:pStyle w:val="4"/>
        <w:keepNext w:val="0"/>
        <w:keepLines w:val="0"/>
        <w:widowControl/>
        <w:suppressLineNumbers w:val="0"/>
      </w:pPr>
      <w:r>
        <w:t>交替投影过程为：</w:t>
      </w:r>
    </w:p>
    <w:p w14:paraId="34FE9E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输入场乘DOE-A相位；</w:t>
      </w:r>
    </w:p>
    <w:p w14:paraId="7AC489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传播到DOE-B；</w:t>
      </w:r>
    </w:p>
    <w:p w14:paraId="096803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乘DOE-B相位；</w:t>
      </w:r>
    </w:p>
    <w:p w14:paraId="30E005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传播到目标面；</w:t>
      </w:r>
    </w:p>
    <w:p w14:paraId="7D7535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用目标幅度替换当前幅度，保留相位；</w:t>
      </w:r>
    </w:p>
    <w:p w14:paraId="6D0AA9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反向传播；</w:t>
      </w:r>
    </w:p>
    <w:p w14:paraId="662E96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更新DOE-B和DOE-A相位；</w:t>
      </w:r>
    </w:p>
    <w:p w14:paraId="76B5EC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重复迭代。</w:t>
      </w:r>
    </w:p>
    <w:p w14:paraId="3C66DB59">
      <w:pPr>
        <w:pStyle w:val="3"/>
        <w:keepNext w:val="0"/>
        <w:keepLines w:val="0"/>
        <w:widowControl/>
        <w:suppressLineNumbers w:val="0"/>
      </w:pPr>
      <w:r>
        <w:t>2. 加入制造约束</w:t>
      </w:r>
    </w:p>
    <w:p w14:paraId="39811A1C">
      <w:pPr>
        <w:pStyle w:val="4"/>
        <w:keepNext w:val="0"/>
        <w:keepLines w:val="0"/>
        <w:widowControl/>
        <w:suppressLineNumbers w:val="0"/>
      </w:pPr>
      <w:r>
        <w:t>连续相位收敛后再施加：</w:t>
      </w:r>
    </w:p>
    <w:p w14:paraId="7A8A14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5 µm横向保持单元；</w:t>
      </w:r>
    </w:p>
    <w:p w14:paraId="56069D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16级相位量化；</w:t>
      </w:r>
    </w:p>
    <w:p w14:paraId="7CE1D4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图形宽度12 mm；</w:t>
      </w:r>
    </w:p>
    <w:p w14:paraId="27F54A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50 mm实体通光口径。</w:t>
      </w:r>
    </w:p>
    <w:p w14:paraId="2475655E">
      <w:pPr>
        <w:pStyle w:val="4"/>
        <w:keepNext w:val="0"/>
        <w:keepLines w:val="0"/>
        <w:widowControl/>
        <w:suppressLineNumbers w:val="0"/>
      </w:pPr>
      <w:r>
        <w:t>量化公式为：</w:t>
      </w:r>
    </w:p>
    <w:p w14:paraId="7649BB55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[l(x)=mod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round</m:t>
              </m:r>
              <m:d>
                <m:d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ϕ(x)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2π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16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d>
              <m:r>
                <m:rPr/>
                <w:rPr>
                  <w:rFonts w:hint="default" w:ascii="Cambria Math" w:hAnsi="Cambria Math" w:eastAsia="宋体"/>
                  <w:sz w:val="24"/>
                </w:rPr>
                <m:t>,16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0B31D4E5">
      <w:pPr>
        <w:pStyle w:val="4"/>
        <w:keepNext w:val="0"/>
        <w:keepLines w:val="0"/>
        <w:widowControl/>
        <w:suppressLineNumbers w:val="0"/>
      </w:pPr>
      <w:r>
        <w:t>浮雕高度为：</w:t>
      </w:r>
    </w:p>
    <w:p w14:paraId="06AB9D9F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l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=l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λ</m:t>
              </m:r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16(n−1)</m:t>
              </m:r>
              <m:ctrlPr>
                <w:rPr>
                  <w:rFonts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22AD3B8A">
      <w:pPr>
        <w:pStyle w:val="4"/>
        <w:keepNext w:val="0"/>
        <w:keepLines w:val="0"/>
        <w:widowControl/>
        <w:suppressLineNumbers w:val="0"/>
      </w:pPr>
      <w:r>
        <w:t>本项目中：</w:t>
      </w:r>
    </w:p>
    <w:p w14:paraId="28C581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2π浮雕深度约0.745686 µm；</w:t>
      </w:r>
    </w:p>
    <w:p w14:paraId="3E8E02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单级高度约0.046605 µm；</w:t>
      </w:r>
    </w:p>
    <w:p w14:paraId="6213D3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16级对应4张二进制刻蚀掩模。</w:t>
      </w:r>
    </w:p>
    <w:p w14:paraId="5A7B8C35">
      <w:pPr>
        <w:pStyle w:val="3"/>
        <w:keepNext w:val="0"/>
        <w:keepLines w:val="0"/>
        <w:widowControl/>
        <w:suppressLineNumbers w:val="0"/>
      </w:pPr>
      <w:r>
        <w:t>3. 保留最佳迭代</w:t>
      </w:r>
    </w:p>
    <w:p w14:paraId="2DDFED2F">
      <w:pPr>
        <w:pStyle w:val="4"/>
        <w:keepNext w:val="0"/>
        <w:keepLines w:val="0"/>
        <w:widowControl/>
        <w:suppressLineNumbers w:val="0"/>
      </w:pPr>
      <w:r>
        <w:t>Codex被要求不能只优化均匀性，而应同时检查：</w:t>
      </w:r>
    </w:p>
    <w:p w14:paraId="5E47AA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X宽度是否在±5%内；</w:t>
      </w:r>
    </w:p>
    <w:p w14:paraId="0E2072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Y宽度是否约为1 µm；</w:t>
      </w:r>
    </w:p>
    <w:p w14:paraId="77C4C3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窗口效率是否大于85%；</w:t>
      </w:r>
    </w:p>
    <w:p w14:paraId="052177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均匀性是否提高；</w:t>
      </w:r>
    </w:p>
    <w:p w14:paraId="27F417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是否违反16级和5 µm加工约束。</w:t>
      </w:r>
    </w:p>
    <w:p w14:paraId="3558AABF">
      <w:pPr>
        <w:pStyle w:val="4"/>
        <w:keepNext w:val="0"/>
        <w:keepLines w:val="0"/>
        <w:widowControl/>
        <w:suppressLineNumbers w:val="0"/>
      </w:pPr>
      <w:r>
        <w:t>只有尺寸和效率同时满足的迭代，才能参与“最佳相位”选择。</w:t>
      </w:r>
    </w:p>
    <w:p w14:paraId="3E26A400">
      <w:pPr>
        <w:pStyle w:val="4"/>
        <w:keepNext w:val="0"/>
        <w:keepLines w:val="0"/>
        <w:widowControl/>
        <w:suppressLineNumbers w:val="0"/>
      </w:pPr>
    </w:p>
    <w:p w14:paraId="44FD048B">
      <w:pPr>
        <w:pStyle w:val="2"/>
        <w:keepNext w:val="0"/>
        <w:keepLines w:val="0"/>
        <w:widowControl/>
        <w:suppressLineNumbers w:val="0"/>
      </w:pPr>
      <w:r>
        <w:t>五、Codex如何连接Zemax</w:t>
      </w:r>
    </w:p>
    <w:p w14:paraId="72EF031F">
      <w:pPr>
        <w:pStyle w:val="4"/>
        <w:keepNext w:val="0"/>
        <w:keepLines w:val="0"/>
        <w:widowControl/>
        <w:suppressLineNumbers w:val="0"/>
      </w:pPr>
      <w:r>
        <w:t>本项目通过 MATLAB R2019b 调用本机ZOS-API：</w:t>
      </w:r>
    </w:p>
    <w:p w14:paraId="7D1848ED">
      <w:pPr>
        <w:pStyle w:val="4"/>
        <w:keepNext w:val="0"/>
        <w:keepLines w:val="0"/>
        <w:widowControl/>
        <w:suppressLineNumbers w:val="0"/>
      </w:pPr>
      <w:r>
        <w:t>连接过程包括：</w:t>
      </w:r>
    </w:p>
    <w:p w14:paraId="669E72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MATLAB加载 </w:t>
      </w:r>
      <w:r>
        <w:rPr>
          <w:rStyle w:val="7"/>
        </w:rPr>
        <w:t>ZOSAPI_NetHelper.dll</w:t>
      </w:r>
      <w:r>
        <w:t>；</w:t>
      </w:r>
    </w:p>
    <w:p w14:paraId="3D7A0E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初始化指定版本OpticStudio；</w:t>
      </w:r>
    </w:p>
    <w:p w14:paraId="100F16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建立Standalone Application；</w:t>
      </w:r>
    </w:p>
    <w:p w14:paraId="4B3C0B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打开Sequential ZMX；</w:t>
      </w:r>
    </w:p>
    <w:p w14:paraId="779251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设置POP参数；</w:t>
      </w:r>
    </w:p>
    <w:p w14:paraId="1499F9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写入ZBF复场；</w:t>
      </w:r>
    </w:p>
    <w:p w14:paraId="69CA06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执行POP；</w:t>
      </w:r>
    </w:p>
    <w:p w14:paraId="0A73DB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读取二维照度矩阵；</w:t>
      </w:r>
    </w:p>
    <w:p w14:paraId="40F4F7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保存MAT、CSV、PNG和CFG。</w:t>
      </w:r>
    </w:p>
    <w:p w14:paraId="10CA5EEC">
      <w:pPr>
        <w:pStyle w:val="2"/>
        <w:keepNext w:val="0"/>
        <w:keepLines w:val="0"/>
        <w:widowControl/>
        <w:suppressLineNumbers w:val="0"/>
      </w:pPr>
      <w:r>
        <w:t>六、DOE导入Zemax的方法</w:t>
      </w:r>
    </w:p>
    <w:p w14:paraId="06795EAB">
      <w:pPr>
        <w:pStyle w:val="4"/>
        <w:keepNext w:val="0"/>
        <w:keepLines w:val="0"/>
        <w:widowControl/>
        <w:suppressLineNumbers w:val="0"/>
      </w:pPr>
      <w:r>
        <w:t>DOE采用Sequential Grid Phase面。</w:t>
      </w:r>
    </w:p>
    <w:p w14:paraId="77D49E18">
      <w:pPr>
        <w:pStyle w:val="4"/>
        <w:keepNext w:val="0"/>
        <w:keepLines w:val="0"/>
        <w:widowControl/>
        <w:suppressLineNumbers w:val="0"/>
      </w:pPr>
      <w:r>
        <w:t>正式模型中：</w:t>
      </w:r>
    </w:p>
    <w:p w14:paraId="4A3309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S13：DOE前POP参考面；</w:t>
      </w:r>
    </w:p>
    <w:p w14:paraId="71D2B3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S14：DOE-A的X相位分量；</w:t>
      </w:r>
    </w:p>
    <w:p w14:paraId="41AEB4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S15：DOE-A的Y相位分量，与S14共面、间距为0；</w:t>
      </w:r>
    </w:p>
    <w:p w14:paraId="300178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S16：DOE-B；</w:t>
      </w:r>
    </w:p>
    <w:p w14:paraId="3EDF8D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S17–S18：独立Y柱透镜；</w:t>
      </w:r>
    </w:p>
    <w:p w14:paraId="7BC1698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S19：目标面。</w:t>
      </w:r>
    </w:p>
    <w:p w14:paraId="50BD7F40">
      <w:pPr>
        <w:pStyle w:val="4"/>
        <w:keepNext w:val="0"/>
        <w:keepLines w:val="0"/>
        <w:widowControl/>
        <w:suppressLineNumbers w:val="0"/>
      </w:pPr>
      <w:r>
        <w:t>S14和S15只是同一物理DOE-A面的数学分解，不代表两块DOE。</w:t>
      </w:r>
    </w:p>
    <w:p w14:paraId="05757E84">
      <w:pPr>
        <w:pStyle w:val="4"/>
        <w:keepNext w:val="0"/>
        <w:keepLines w:val="0"/>
        <w:widowControl/>
        <w:suppressLineNumbers w:val="0"/>
      </w:pPr>
      <w:r>
        <w:t>Grid Phase参数设置为：</w:t>
      </w:r>
    </w:p>
    <w:p w14:paraId="1388B0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Diffraction order：+1；</w:t>
      </w:r>
    </w:p>
    <w:p w14:paraId="1BE779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Shear distance：0；</w:t>
      </w:r>
    </w:p>
    <w:p w14:paraId="5CF06F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Interpolation：2，Pixelated；</w:t>
      </w:r>
    </w:p>
    <w:p w14:paraId="6C2182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X单元：5 µm；</w:t>
      </w:r>
    </w:p>
    <w:p w14:paraId="7E36A8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相位数据直接嵌入ZMX的GDAT/GARR记录。</w:t>
      </w:r>
    </w:p>
    <w:p w14:paraId="35B4B4F5">
      <w:pPr>
        <w:pStyle w:val="4"/>
        <w:keepNext w:val="0"/>
        <w:keepLines w:val="0"/>
        <w:widowControl/>
        <w:suppressLineNumbers w:val="0"/>
      </w:pPr>
      <w:r>
        <w:t>Codex还让OpticStudio完成：</w:t>
      </w:r>
    </w:p>
    <w:p w14:paraId="69E219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打开手工导出的ZMX；</w:t>
      </w:r>
    </w:p>
    <w:p w14:paraId="26A07D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保存为Validated ZMX；</w:t>
      </w:r>
    </w:p>
    <w:p w14:paraId="5D0B41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关闭后重新打开；</w:t>
      </w:r>
    </w:p>
    <w:p w14:paraId="6FEE3E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检查面数、面型、玻璃、Grid Phase尺寸；</w:t>
      </w:r>
    </w:p>
    <w:p w14:paraId="6E2E0A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输出PASS日志。</w:t>
      </w:r>
    </w:p>
    <w:p w14:paraId="115D696B">
      <w:pPr>
        <w:pStyle w:val="2"/>
        <w:keepNext w:val="0"/>
        <w:keepLines w:val="0"/>
        <w:widowControl/>
        <w:suppressLineNumbers w:val="0"/>
      </w:pPr>
      <w:r>
        <w:t>七、Zemax结果验证方法</w:t>
      </w:r>
    </w:p>
    <w:p w14:paraId="5437546A">
      <w:pPr>
        <w:pStyle w:val="4"/>
        <w:keepNext w:val="0"/>
        <w:keepLines w:val="0"/>
        <w:widowControl/>
        <w:suppressLineNumbers w:val="0"/>
      </w:pPr>
      <w:r>
        <w:t>结果验证不是只看二维彩图，而是从POP数据中计算：</w:t>
      </w:r>
    </w:p>
    <w:p w14:paraId="2A5AAC45">
      <w:pPr>
        <w:pStyle w:val="3"/>
        <w:keepNext w:val="0"/>
        <w:keepLines w:val="0"/>
        <w:widowControl/>
        <w:suppressLineNumbers w:val="0"/>
      </w:pPr>
      <w:r>
        <w:t>1. X和Y宽度</w:t>
      </w:r>
    </w:p>
    <w:p w14:paraId="64114626">
      <w:pPr>
        <w:pStyle w:val="4"/>
        <w:keepNext w:val="0"/>
        <w:keepLines w:val="0"/>
        <w:widowControl/>
        <w:suppressLineNumbers w:val="0"/>
      </w:pPr>
      <w:r>
        <w:t>在中心剖面上寻找强度下降到：</w:t>
      </w:r>
    </w:p>
    <w:p w14:paraId="7FE51D2F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[I/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func>
                <m:func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max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lim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Name>
                <m:e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e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−2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4CF3FE84">
      <w:pPr>
        <w:pStyle w:val="4"/>
        <w:keepNext w:val="0"/>
        <w:keepLines w:val="0"/>
        <w:widowControl/>
        <w:suppressLineNumbers w:val="0"/>
      </w:pPr>
      <w:r>
        <w:t>的位置，计算左右交点间距。</w:t>
      </w:r>
    </w:p>
    <w:p w14:paraId="4FBE89BF">
      <w:pPr>
        <w:pStyle w:val="3"/>
        <w:keepNext w:val="0"/>
        <w:keepLines w:val="0"/>
        <w:widowControl/>
        <w:suppressLineNumbers w:val="0"/>
      </w:pPr>
      <w:r>
        <w:t>2. 原始均匀性</w:t>
      </w:r>
    </w:p>
    <w:p w14:paraId="78FA3D9B">
      <w:pPr>
        <w:pStyle w:val="4"/>
        <w:keepNext w:val="0"/>
        <w:keepLines w:val="0"/>
        <w:widowControl/>
        <w:suppressLineNumbers w:val="0"/>
      </w:pPr>
      <w:r>
        <w:t>在固定中央1.35 mm范围：</w:t>
      </w:r>
    </w:p>
    <w:p w14:paraId="5B742386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U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raw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func>
                <m:func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lim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宋体"/>
                  <w:sz w:val="24"/>
                </w:rPr>
                <m:t>(x)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num>
            <m:den>
              <m:func>
                <m:func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max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lim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宋体"/>
                  <w:sz w:val="24"/>
                </w:rPr>
                <m:t>(x)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6AEE3518">
      <w:pPr>
        <w:pStyle w:val="4"/>
        <w:keepNext w:val="0"/>
        <w:keepLines w:val="0"/>
        <w:widowControl/>
        <w:suppressLineNumbers w:val="0"/>
      </w:pPr>
      <w:r>
        <w:t>得到：</w:t>
      </w:r>
    </w:p>
    <w:p w14:paraId="26C04AB1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U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raw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=70.2531%]</m:t>
          </m:r>
        </m:oMath>
      </m:oMathPara>
    </w:p>
    <w:p w14:paraId="02C2AD34">
      <w:pPr>
        <w:pStyle w:val="4"/>
        <w:keepNext w:val="0"/>
        <w:keepLines w:val="0"/>
        <w:widowControl/>
        <w:suppressLineNumbers w:val="0"/>
      </w:pPr>
      <w:r>
        <w:t>这是完全相干、未经空间平均的细纹波结果。</w:t>
      </w:r>
    </w:p>
    <w:p w14:paraId="63597D1A">
      <w:pPr>
        <w:pStyle w:val="3"/>
        <w:keepNext w:val="0"/>
        <w:keepLines w:val="0"/>
        <w:widowControl/>
        <w:suppressLineNumbers w:val="0"/>
      </w:pPr>
      <w:r>
        <w:t>3. 探测器均匀性</w:t>
      </w:r>
    </w:p>
    <w:p w14:paraId="40E9768C">
      <w:pPr>
        <w:pStyle w:val="4"/>
        <w:keepNext w:val="0"/>
        <w:keepLines w:val="0"/>
        <w:widowControl/>
        <w:suppressLineNumbers w:val="0"/>
      </w:pPr>
      <w:r>
        <w:t>将X强度与50 µm矩形探测器响应卷积：</w:t>
      </w:r>
    </w:p>
    <w:p w14:paraId="56F0A3C6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50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(x)=I(x)∗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W</m:t>
              </m:r>
              <m:ctrlPr>
                <w:rPr>
                  <w:rFonts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rect</m:t>
          </m:r>
          <m:d>
            <m:dPr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W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, W≈50 μm]</m:t>
          </m:r>
        </m:oMath>
      </m:oMathPara>
    </w:p>
    <w:p w14:paraId="0B03491B">
      <w:pPr>
        <w:pStyle w:val="4"/>
        <w:keepNext w:val="0"/>
        <w:keepLines w:val="0"/>
        <w:widowControl/>
        <w:suppressLineNumbers w:val="0"/>
      </w:pPr>
      <w:r>
        <w:t>然后重新计算：</w:t>
      </w:r>
    </w:p>
    <w:p w14:paraId="4EA2A4DF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U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50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func>
                <m:func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lim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50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 w:eastAsia="宋体"/>
                  <w:sz w:val="24"/>
                </w:rPr>
              </m:ctrlPr>
            </m:num>
            <m:den>
              <m:func>
                <m:func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max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lim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50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52819CB5">
      <w:pPr>
        <w:pStyle w:val="4"/>
        <w:keepNext w:val="0"/>
        <w:keepLines w:val="0"/>
        <w:widowControl/>
        <w:suppressLineNumbers w:val="0"/>
      </w:pPr>
      <w:r>
        <w:t>最终得到：</w:t>
      </w:r>
    </w:p>
    <w:p w14:paraId="279F9EEC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U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50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=91.5321%]</m:t>
          </m:r>
        </m:oMath>
      </m:oMathPara>
    </w:p>
    <w:p w14:paraId="184ACDCF">
      <w:pPr>
        <w:pStyle w:val="4"/>
        <w:keepNext w:val="0"/>
        <w:keepLines w:val="0"/>
        <w:widowControl/>
        <w:suppressLineNumbers w:val="0"/>
      </w:pPr>
      <w:r>
        <w:t>满足至少80%的要求。</w:t>
      </w:r>
    </w:p>
    <w:p w14:paraId="66C9D693">
      <w:pPr>
        <w:pStyle w:val="3"/>
        <w:keepNext w:val="0"/>
        <w:keepLines w:val="0"/>
        <w:widowControl/>
        <w:suppressLineNumbers w:val="0"/>
      </w:pPr>
      <w:r>
        <w:t>4. 功率验证</w:t>
      </w:r>
    </w:p>
    <w:p w14:paraId="7867D709">
      <w:pPr>
        <w:pStyle w:val="4"/>
        <w:keepNext w:val="0"/>
        <w:keepLines w:val="0"/>
        <w:widowControl/>
        <w:suppressLineNumbers w:val="0"/>
      </w:pPr>
      <w:r>
        <w:t>对二维POP照度积分：</w:t>
      </w:r>
    </w:p>
    <w:p w14:paraId="45824642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[P=</m:t>
          </m:r>
          <m:nary>
            <m:naryPr>
              <m:chr m:val="∬"/>
              <m:limLoc m:val="subSup"/>
              <m:subHide m:val="1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ctrlPr>
                <w:rPr>
                  <w:rFonts w:ascii="Cambria Math" w:hAnsi="Cambria Math" w:eastAsia="宋体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</w:rPr>
            <m:t>(x,y) dx dy]</m:t>
          </m:r>
        </m:oMath>
      </m:oMathPara>
    </w:p>
    <w:p w14:paraId="3D9E5F8E">
      <w:pPr>
        <w:pStyle w:val="4"/>
        <w:keepNext w:val="0"/>
        <w:keepLines w:val="0"/>
        <w:widowControl/>
        <w:suppressLineNumbers w:val="0"/>
      </w:pPr>
      <w:r>
        <w:t>并单独计算X目标窗口：</w:t>
      </w:r>
    </w:p>
    <w:p w14:paraId="5A009AE1">
      <w:pPr>
        <w:keepNext w:val="0"/>
        <w:keepLines w:val="0"/>
        <w:widowControl/>
        <w:suppressLineNumbers w:val="0"/>
        <w:jc w:val="left"/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 xml:space="preserve">[|x|≤0.75 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mm</m:t>
          </m:r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167B9A04">
      <w:pPr>
        <w:pStyle w:val="4"/>
        <w:keepNext w:val="0"/>
        <w:keepLines w:val="0"/>
        <w:widowControl/>
        <w:suppressLineNumbers w:val="0"/>
      </w:pPr>
      <w:r>
        <w:t>内的功率。</w:t>
      </w:r>
    </w:p>
    <w:p w14:paraId="72A13A56">
      <w:pPr>
        <w:pStyle w:val="4"/>
        <w:keepNext w:val="0"/>
        <w:keepLines w:val="0"/>
        <w:widowControl/>
        <w:suppressLineNumbers w:val="0"/>
      </w:pPr>
      <w:r>
        <w:t>最终结果为：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20"/>
        <w:gridCol w:w="3173"/>
      </w:tblGrid>
      <w:tr w14:paraId="3C3A6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01312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3128" w:type="dxa"/>
            <w:shd w:val="clear"/>
            <w:vAlign w:val="center"/>
          </w:tcPr>
          <w:p w14:paraId="0BDA95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Zemax结果</w:t>
            </w:r>
          </w:p>
        </w:tc>
      </w:tr>
      <w:tr w14:paraId="5C019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9AB34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X全 \(1/e^2\) 宽度</w:t>
            </w:r>
          </w:p>
        </w:tc>
        <w:tc>
          <w:tcPr>
            <w:tcW w:w="3128" w:type="dxa"/>
            <w:shd w:val="clear"/>
            <w:vAlign w:val="center"/>
          </w:tcPr>
          <w:p w14:paraId="4FAEDD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1.535711 mm</w:t>
            </w:r>
          </w:p>
        </w:tc>
      </w:tr>
      <w:tr w14:paraId="1ACE5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22A2A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Y全 \(1/e^2\) 宽度</w:t>
            </w:r>
          </w:p>
        </w:tc>
        <w:tc>
          <w:tcPr>
            <w:tcW w:w="3128" w:type="dxa"/>
            <w:shd w:val="clear"/>
            <w:vAlign w:val="center"/>
          </w:tcPr>
          <w:p w14:paraId="160C22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1.005721 µm</w:t>
            </w:r>
          </w:p>
        </w:tc>
      </w:tr>
      <w:tr w14:paraId="779AF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005C3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 µm探测器均匀性</w:t>
            </w:r>
          </w:p>
        </w:tc>
        <w:tc>
          <w:tcPr>
            <w:tcW w:w="3128" w:type="dxa"/>
            <w:shd w:val="clear"/>
            <w:vAlign w:val="center"/>
          </w:tcPr>
          <w:p w14:paraId="589730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91.5321%</w:t>
            </w:r>
          </w:p>
        </w:tc>
      </w:tr>
      <w:tr w14:paraId="0DB3D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606F0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总传播功率</w:t>
            </w:r>
          </w:p>
        </w:tc>
        <w:tc>
          <w:tcPr>
            <w:tcW w:w="3128" w:type="dxa"/>
            <w:shd w:val="clear"/>
            <w:vAlign w:val="center"/>
          </w:tcPr>
          <w:p w14:paraId="1E707E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95.9206%</w:t>
            </w:r>
          </w:p>
        </w:tc>
      </w:tr>
      <w:tr w14:paraId="2D383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3A700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X目标窗功率</w:t>
            </w:r>
          </w:p>
        </w:tc>
        <w:tc>
          <w:tcPr>
            <w:tcW w:w="3128" w:type="dxa"/>
            <w:shd w:val="clear"/>
            <w:vAlign w:val="center"/>
          </w:tcPr>
          <w:p w14:paraId="22FC25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94.6062%</w:t>
            </w:r>
          </w:p>
        </w:tc>
      </w:tr>
      <w:tr w14:paraId="4F0A7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64A26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DOE相位级数</w:t>
            </w:r>
          </w:p>
        </w:tc>
        <w:tc>
          <w:tcPr>
            <w:tcW w:w="3128" w:type="dxa"/>
            <w:shd w:val="clear"/>
            <w:vAlign w:val="center"/>
          </w:tcPr>
          <w:p w14:paraId="6E5BC7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16级</w:t>
            </w:r>
          </w:p>
        </w:tc>
      </w:tr>
      <w:tr w14:paraId="6D46B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175" w:type="dxa"/>
            <w:shd w:val="clear"/>
            <w:vAlign w:val="center"/>
          </w:tcPr>
          <w:p w14:paraId="11B7A0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工作距离</w:t>
            </w:r>
          </w:p>
        </w:tc>
        <w:tc>
          <w:tcPr>
            <w:tcW w:w="3128" w:type="dxa"/>
            <w:shd w:val="clear"/>
            <w:vAlign w:val="center"/>
          </w:tcPr>
          <w:p w14:paraId="00FB85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 mm</w:t>
            </w:r>
          </w:p>
        </w:tc>
      </w:tr>
    </w:tbl>
    <w:p w14:paraId="3C5575D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C09D2"/>
    <w:multiLevelType w:val="multilevel"/>
    <w:tmpl w:val="824C0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880381"/>
    <w:multiLevelType w:val="multilevel"/>
    <w:tmpl w:val="8E880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1F9D45"/>
    <w:multiLevelType w:val="multilevel"/>
    <w:tmpl w:val="901F9D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A77FA65"/>
    <w:multiLevelType w:val="multilevel"/>
    <w:tmpl w:val="9A77FA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5B99581"/>
    <w:multiLevelType w:val="multilevel"/>
    <w:tmpl w:val="B5B99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D3DE660"/>
    <w:multiLevelType w:val="multilevel"/>
    <w:tmpl w:val="BD3DE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A88FEFF"/>
    <w:multiLevelType w:val="multilevel"/>
    <w:tmpl w:val="FA88F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93BE551"/>
    <w:multiLevelType w:val="multilevel"/>
    <w:tmpl w:val="093BE5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BFB0E4B"/>
    <w:multiLevelType w:val="multilevel"/>
    <w:tmpl w:val="1BFB0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862CA37"/>
    <w:multiLevelType w:val="multilevel"/>
    <w:tmpl w:val="3862C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CCA0683"/>
    <w:multiLevelType w:val="multilevel"/>
    <w:tmpl w:val="6CCA06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352ECD8"/>
    <w:multiLevelType w:val="multilevel"/>
    <w:tmpl w:val="7352E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"/>
  </w:num>
  <w:num w:numId="5">
    <w:abstractNumId w:val="10"/>
  </w:num>
  <w:num w:numId="6">
    <w:abstractNumId w:val="4"/>
  </w:num>
  <w:num w:numId="7">
    <w:abstractNumId w:val="11"/>
  </w:num>
  <w:num w:numId="8">
    <w:abstractNumId w:val="6"/>
  </w:num>
  <w:num w:numId="9">
    <w:abstractNumId w:val="2"/>
  </w:num>
  <w:num w:numId="10">
    <w:abstractNumId w:val="5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5F5B2A"/>
    <w:rsid w:val="19616ABA"/>
    <w:rsid w:val="2A36189D"/>
    <w:rsid w:val="38487464"/>
    <w:rsid w:val="6B5F5B2A"/>
    <w:rsid w:val="7E02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2026-08-21T08:44:00Z</dcterms:created>
  <dc:creator>吴凡</dc:creator>
  <cp:lastModifiedBy>吴凡</cp:lastModifiedBy>
  <dcterms:modified xsi:type="dcterms:W3CDTF">2026-08-21T09:45:33Z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4F538B68681940C7B56D3F1530EFEBD2_11</vt:lpwstr>
  </property>
  <property fmtid="{D5CDD505-2E9C-101B-9397-08002B2CF9AE}" pid="4" name="KSOTemplateDocerSaveRecord">
    <vt:lpwstr>eyJoZGlkIjoiNDljOTcyNjAxM2NhYzAxMTY0ZjE1OGEwNzg3NWJlMDIiLCJ1c2VySWQiOiI1NzYyNjUwOTcifQ==</vt:lpwstr>
  </property>
</Properties>
</file>