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88F21">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355 nm HOLO/OR 整形技术方案</w:t>
      </w:r>
    </w:p>
    <w:p w14:paraId="24470A0C">
      <w:pPr>
        <w:pStyle w:val="26"/>
        <w:rPr>
          <w:rFonts w:hint="eastAsia" w:ascii="微软雅黑" w:hAnsi="微软雅黑" w:eastAsia="微软雅黑" w:cs="微软雅黑"/>
          <w:i w:val="0"/>
          <w:iCs w:val="0"/>
          <w:color w:val="000000" w:themeColor="text1"/>
          <w:lang w:val="en-US" w:eastAsia="zh-CN"/>
          <w14:textFill>
            <w14:solidFill>
              <w14:schemeClr w14:val="tx1"/>
            </w14:solidFill>
          </w14:textFill>
        </w:rPr>
      </w:pPr>
      <w:r>
        <w:rPr>
          <w:rFonts w:hint="eastAsia" w:ascii="微软雅黑" w:hAnsi="微软雅黑" w:eastAsia="微软雅黑" w:cs="微软雅黑"/>
          <w:i w:val="0"/>
          <w:iCs w:val="0"/>
          <w:color w:val="000000" w:themeColor="text1"/>
          <w:lang w:val="en-US" w:eastAsia="zh-CN"/>
          <w14:textFill>
            <w14:solidFill>
              <w14:schemeClr w14:val="tx1"/>
            </w14:solidFill>
          </w14:textFill>
        </w:rPr>
        <w:t>设计要求</w:t>
      </w:r>
      <w:r>
        <w:rPr>
          <w:rFonts w:hint="eastAsia" w:ascii="微软雅黑" w:hAnsi="微软雅黑" w:eastAsia="微软雅黑" w:cs="微软雅黑"/>
          <w:i w:val="0"/>
          <w:iCs w:val="0"/>
          <w:color w:val="000000" w:themeColor="text1"/>
          <w14:textFill>
            <w14:solidFill>
              <w14:schemeClr w14:val="tx1"/>
            </w14:solidFill>
          </w14:textFill>
        </w:rPr>
        <w:t xml:space="preserve">X：1.5 mm 近似平行 Top-Hat · Y：1.0 µm 聚焦 </w:t>
      </w:r>
      <w:r>
        <w:rPr>
          <w:rFonts w:hint="eastAsia" w:ascii="微软雅黑" w:hAnsi="微软雅黑" w:eastAsia="微软雅黑" w:cs="微软雅黑"/>
          <w:i w:val="0"/>
          <w:iCs w:val="0"/>
          <w:color w:val="000000" w:themeColor="text1"/>
          <w:lang w:val="en-US" w:eastAsia="zh-CN"/>
          <w14:textFill>
            <w14:solidFill>
              <w14:schemeClr w14:val="tx1"/>
            </w14:solidFill>
          </w14:textFill>
        </w:rPr>
        <w:t xml:space="preserve"> 总长1米，最有一片镜子聚焦距离100mm</w:t>
      </w:r>
    </w:p>
    <w:p w14:paraId="717D54A9">
      <w:pPr>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 xml:space="preserve">设计  </w:t>
      </w:r>
      <w:r>
        <w:rPr>
          <w:rFonts w:hint="eastAsia" w:ascii="微软雅黑" w:hAnsi="微软雅黑" w:eastAsia="微软雅黑" w:cs="微软雅黑"/>
          <w:color w:val="000000" w:themeColor="text1"/>
          <w14:textFill>
            <w14:solidFill>
              <w14:schemeClr w14:val="tx1"/>
            </w14:solidFill>
          </w14:textFill>
        </w:rPr>
        <w:t>X 向采用 +160/-40 mm、间距 120 mm 的 4× 无焦缩束组，把 6 mm 准直线光缩为 1.5 mm； YFL 在 X 平面为</w:t>
      </w:r>
      <w:r>
        <w:rPr>
          <w:rFonts w:hint="eastAsia" w:ascii="微软雅黑" w:hAnsi="微软雅黑" w:eastAsia="微软雅黑" w:cs="微软雅黑"/>
          <w:color w:val="000000" w:themeColor="text1"/>
          <w:lang w:val="en-US" w:eastAsia="zh-CN"/>
          <w14:textFill>
            <w14:solidFill>
              <w14:schemeClr w14:val="tx1"/>
            </w14:solidFill>
          </w14:textFill>
        </w:rPr>
        <w:t>无光焦度</w:t>
      </w:r>
      <w:r>
        <w:rPr>
          <w:rFonts w:hint="eastAsia" w:ascii="微软雅黑" w:hAnsi="微软雅黑" w:eastAsia="微软雅黑" w:cs="微软雅黑"/>
          <w:color w:val="000000" w:themeColor="text1"/>
          <w14:textFill>
            <w14:solidFill>
              <w14:schemeClr w14:val="tx1"/>
            </w14:solidFill>
          </w14:textFill>
        </w:rPr>
        <w:t>，所以不会把 X 聚焦。Y 向独立扩束至 54.24 mm 后由 fY=100 mm 柱面镜聚焦至 1.0 µm</w:t>
      </w:r>
      <w:r>
        <w:rPr>
          <w:rFonts w:hint="eastAsia" w:cs="微软雅黑"/>
          <w:color w:val="000000" w:themeColor="text1"/>
          <w:lang w:eastAsia="zh-CN"/>
          <w14:textFill>
            <w14:solidFill>
              <w14:schemeClr w14:val="tx1"/>
            </w14:solidFill>
          </w14:textFill>
        </w:rPr>
        <w:t>。</w:t>
      </w:r>
    </w:p>
    <w:p w14:paraId="632ECBFB">
      <w:pPr>
        <w:pStyle w:val="3"/>
        <w:keepNext/>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方案介绍</w:t>
      </w:r>
    </w:p>
    <w:p w14:paraId="35CC021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本版修正了此前将 z=600 mm 元件写成 XFL/YFL 的错误。正确结构是 YFL：只对 Y 聚焦，X 方向没有光焦度；XZ 图中该元件以虚线表示，X 光束在其前后保持约 1.5 mm 宽。</w:t>
      </w:r>
    </w:p>
    <w:p w14:paraId="13CF174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由于最终 X 指标是“1.5 mm 近似平行光”，所选 HOLO/OR 产品为定制 Collimated Beam Shaper Module。HOLO/OR 官方资料把准直输出定义为双元件模块：第一元件完成强度重分配，第二元件展平相位。</w:t>
      </w:r>
    </w:p>
    <w:p w14:paraId="07FE2BA9">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 需求与设计输入</w:t>
      </w:r>
    </w:p>
    <w:tbl>
      <w:tblPr>
        <w:tblStyle w:val="33"/>
        <w:tblW w:w="9360" w:type="dxa"/>
        <w:tblInd w:w="12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60"/>
        <w:gridCol w:w="1660"/>
        <w:gridCol w:w="2236"/>
        <w:gridCol w:w="3804"/>
      </w:tblGrid>
      <w:tr w14:paraId="4A0FD2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1660" w:type="dxa"/>
            <w:tcBorders>
              <w:top w:val="single" w:color="auto" w:sz="12" w:space="0"/>
              <w:left w:val="single" w:color="auto" w:sz="12" w:space="0"/>
              <w:bottom w:val="nil"/>
              <w:right w:val="nil"/>
            </w:tcBorders>
            <w:shd w:val="clear" w:color="auto" w:fill="F2F4F7"/>
            <w:noWrap w:val="0"/>
            <w:tcMar>
              <w:top w:w="80" w:type="dxa"/>
              <w:left w:w="120" w:type="dxa"/>
              <w:bottom w:w="80" w:type="dxa"/>
              <w:right w:w="120" w:type="dxa"/>
            </w:tcMar>
            <w:vAlign w:val="center"/>
          </w:tcPr>
          <w:p w14:paraId="0D967362">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类别</w:t>
            </w:r>
          </w:p>
        </w:tc>
        <w:tc>
          <w:tcPr>
            <w:tcW w:w="1660" w:type="dxa"/>
            <w:tcBorders>
              <w:top w:val="single" w:color="auto" w:sz="12" w:space="0"/>
              <w:left w:val="single" w:color="auto" w:sz="4" w:space="0"/>
              <w:bottom w:val="nil"/>
              <w:right w:val="nil"/>
            </w:tcBorders>
            <w:shd w:val="clear" w:color="auto" w:fill="F2F4F7"/>
            <w:noWrap w:val="0"/>
            <w:tcMar>
              <w:top w:w="80" w:type="dxa"/>
              <w:left w:w="120" w:type="dxa"/>
              <w:bottom w:w="80" w:type="dxa"/>
              <w:right w:w="120" w:type="dxa"/>
            </w:tcMar>
            <w:vAlign w:val="center"/>
          </w:tcPr>
          <w:p w14:paraId="0CE7FED3">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参数</w:t>
            </w:r>
          </w:p>
        </w:tc>
        <w:tc>
          <w:tcPr>
            <w:tcW w:w="2236" w:type="dxa"/>
            <w:tcBorders>
              <w:top w:val="single" w:color="auto" w:sz="12" w:space="0"/>
              <w:left w:val="single" w:color="auto" w:sz="4" w:space="0"/>
              <w:bottom w:val="nil"/>
              <w:right w:val="nil"/>
            </w:tcBorders>
            <w:shd w:val="clear" w:color="auto" w:fill="F2F4F7"/>
            <w:noWrap w:val="0"/>
            <w:tcMar>
              <w:top w:w="80" w:type="dxa"/>
              <w:left w:w="120" w:type="dxa"/>
              <w:bottom w:w="80" w:type="dxa"/>
              <w:right w:w="120" w:type="dxa"/>
            </w:tcMar>
            <w:vAlign w:val="center"/>
          </w:tcPr>
          <w:p w14:paraId="61CCA5C9">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设计值/约束</w:t>
            </w:r>
          </w:p>
        </w:tc>
        <w:tc>
          <w:tcPr>
            <w:tcW w:w="3804" w:type="dxa"/>
            <w:tcBorders>
              <w:top w:val="single" w:color="auto" w:sz="12" w:space="0"/>
              <w:left w:val="single" w:color="auto" w:sz="4" w:space="0"/>
              <w:bottom w:val="nil"/>
              <w:right w:val="single" w:color="auto" w:sz="12" w:space="0"/>
            </w:tcBorders>
            <w:shd w:val="clear" w:color="auto" w:fill="F2F4F7"/>
            <w:noWrap w:val="0"/>
            <w:tcMar>
              <w:top w:w="80" w:type="dxa"/>
              <w:left w:w="120" w:type="dxa"/>
              <w:bottom w:w="80" w:type="dxa"/>
              <w:right w:w="120" w:type="dxa"/>
            </w:tcMar>
            <w:vAlign w:val="center"/>
          </w:tcPr>
          <w:p w14:paraId="5AA4587A">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定义</w:t>
            </w:r>
          </w:p>
        </w:tc>
      </w:tr>
      <w:tr w14:paraId="538AB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14895CE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0062848">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波长</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2D4791D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355 nm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7454DF0">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全部 DOE、透镜与镀膜按 355 nm</w:t>
            </w:r>
          </w:p>
        </w:tc>
      </w:tr>
      <w:tr w14:paraId="16236A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BB84A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10A5DF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M²</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E149B4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1.2</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0E75CE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用于 Y 向衍射极限计算</w:t>
            </w:r>
          </w:p>
        </w:tc>
      </w:tr>
      <w:tr w14:paraId="082F8B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6C1053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14485A46">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出口直径</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381C58E9">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DF18A1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直径</w:t>
            </w:r>
          </w:p>
        </w:tc>
      </w:tr>
      <w:tr w14:paraId="00360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E490D5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整形模块输入</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110358A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圆形准直光斑</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628907B">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6.0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26325C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SBE1/SBE2 扩束后；X/Y 相同</w:t>
            </w:r>
          </w:p>
        </w:tc>
      </w:tr>
      <w:tr w14:paraId="644DD3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428962A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7C100D6">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线宽</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0DFF45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1.5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97D4E8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宽度，近似平行光</w:t>
            </w:r>
          </w:p>
        </w:tc>
      </w:tr>
      <w:tr w14:paraId="3EF156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558B5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74EE847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平均残余倾角</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A33D59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µrad（暂定）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78A534D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去除 piston 后的一阶相位斜率</w:t>
            </w:r>
          </w:p>
        </w:tc>
      </w:tr>
      <w:tr w14:paraId="368EDE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422F619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096539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相位 RMS</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2CDD1B0">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≤0.10 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759184C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去除 piston/平均倾角后，保留曲率</w:t>
            </w:r>
          </w:p>
        </w:tc>
      </w:tr>
      <w:tr w14:paraId="0139B9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580EBDC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6C01C6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曲率边缘斜率</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2BCDF6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≤50 µrad（暂定）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B0CD0B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半宽除以拟合波前曲率半径</w:t>
            </w:r>
          </w:p>
        </w:tc>
      </w:tr>
      <w:tr w14:paraId="1B6369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42ED26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Y</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619965E8">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聚焦宽度</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2F91F324">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µm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694A8339">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宽度</w:t>
            </w:r>
          </w:p>
        </w:tc>
      </w:tr>
      <w:tr w14:paraId="3216B4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D1616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结构</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612FF96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工作距离</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655616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70DBD8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YFL 至目标面</w:t>
            </w:r>
          </w:p>
        </w:tc>
      </w:tr>
    </w:tbl>
    <w:p w14:paraId="472233C9">
      <w:pPr>
        <w:spacing w:after="0"/>
        <w:rPr>
          <w:rFonts w:hint="eastAsia" w:ascii="微软雅黑" w:hAnsi="微软雅黑" w:eastAsia="微软雅黑" w:cs="微软雅黑"/>
          <w:color w:val="000000" w:themeColor="text1"/>
          <w14:textFill>
            <w14:solidFill>
              <w14:schemeClr w14:val="tx1"/>
            </w14:solidFill>
          </w14:textFill>
        </w:rPr>
      </w:pPr>
    </w:p>
    <w:p w14:paraId="4279B893">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 HOLO/OR 产品选择</w:t>
      </w:r>
    </w:p>
    <w:p w14:paraId="30579CDD">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最终选择：HOLO/OR Collimated Beam Shaper Module，定制 355 nm、6 mm 输入、X 向线形平顶输出。官方页面给出该系列可定制 lines 等形状，并说明输出形状可在较长传播范围保持准直；正式尺寸、效率、口径和料号必须由 HOLO/OR 报价确认。</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6258"/>
      </w:tblGrid>
      <w:tr w14:paraId="6C05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02" w:type="dxa"/>
            <w:shd w:val="clear" w:color="auto" w:fill="F2F4F7"/>
            <w:tcMar>
              <w:top w:w="80" w:type="dxa"/>
              <w:left w:w="120" w:type="dxa"/>
              <w:bottom w:w="80" w:type="dxa"/>
              <w:right w:w="120" w:type="dxa"/>
            </w:tcMar>
            <w:vAlign w:val="center"/>
          </w:tcPr>
          <w:p w14:paraId="51ECCF8E">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7"/>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项目</w:t>
            </w:r>
          </w:p>
        </w:tc>
        <w:tc>
          <w:tcPr>
            <w:tcW w:w="6258" w:type="dxa"/>
            <w:shd w:val="clear" w:color="auto" w:fill="F2F4F7"/>
            <w:tcMar>
              <w:top w:w="80" w:type="dxa"/>
              <w:left w:w="120" w:type="dxa"/>
              <w:bottom w:w="80" w:type="dxa"/>
              <w:right w:w="120" w:type="dxa"/>
            </w:tcMar>
            <w:vAlign w:val="center"/>
          </w:tcPr>
          <w:p w14:paraId="2F6E2F76">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7"/>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最终路线</w:t>
            </w:r>
          </w:p>
        </w:tc>
      </w:tr>
      <w:tr w14:paraId="2F76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078ED6E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HOLO/OR 系列</w:t>
            </w:r>
          </w:p>
        </w:tc>
        <w:tc>
          <w:tcPr>
            <w:tcW w:w="6258" w:type="dxa"/>
            <w:tcMar>
              <w:top w:w="80" w:type="dxa"/>
              <w:left w:w="120" w:type="dxa"/>
              <w:bottom w:w="80" w:type="dxa"/>
              <w:right w:w="120" w:type="dxa"/>
            </w:tcMar>
            <w:vAlign w:val="center"/>
          </w:tcPr>
          <w:p w14:paraId="00A00B6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Collimated Beam Shaper Module</w:t>
            </w:r>
          </w:p>
        </w:tc>
      </w:tr>
      <w:tr w14:paraId="35B3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675DC05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输出物理量</w:t>
            </w:r>
          </w:p>
        </w:tc>
        <w:tc>
          <w:tcPr>
            <w:tcW w:w="6258" w:type="dxa"/>
            <w:tcMar>
              <w:top w:w="80" w:type="dxa"/>
              <w:left w:w="120" w:type="dxa"/>
              <w:bottom w:w="80" w:type="dxa"/>
              <w:right w:w="120" w:type="dxa"/>
            </w:tcMar>
            <w:vAlign w:val="center"/>
          </w:tcPr>
          <w:p w14:paraId="3FC9C5AA">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准直线形强度 + 展平波前</w:t>
            </w:r>
          </w:p>
        </w:tc>
      </w:tr>
      <w:tr w14:paraId="5594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7FCA47C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元件数</w:t>
            </w:r>
          </w:p>
        </w:tc>
        <w:tc>
          <w:tcPr>
            <w:tcW w:w="6258" w:type="dxa"/>
            <w:tcMar>
              <w:top w:w="80" w:type="dxa"/>
              <w:left w:w="120" w:type="dxa"/>
              <w:bottom w:w="80" w:type="dxa"/>
              <w:right w:w="120" w:type="dxa"/>
            </w:tcMar>
            <w:vAlign w:val="center"/>
          </w:tcPr>
          <w:p w14:paraId="5FDA51C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厂商说明为双元件模块</w:t>
            </w:r>
          </w:p>
        </w:tc>
      </w:tr>
      <w:tr w14:paraId="62EE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4CA8CCC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对本项目作用</w:t>
            </w:r>
          </w:p>
        </w:tc>
        <w:tc>
          <w:tcPr>
            <w:tcW w:w="6258" w:type="dxa"/>
            <w:tcMar>
              <w:top w:w="80" w:type="dxa"/>
              <w:left w:w="120" w:type="dxa"/>
              <w:bottom w:w="80" w:type="dxa"/>
              <w:right w:w="120" w:type="dxa"/>
            </w:tcMar>
            <w:vAlign w:val="center"/>
          </w:tcPr>
          <w:p w14:paraId="6F07683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满足 X 近似平行光的产品架构</w:t>
            </w:r>
          </w:p>
        </w:tc>
      </w:tr>
      <w:tr w14:paraId="629E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2EB00EF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型号状态</w:t>
            </w:r>
          </w:p>
        </w:tc>
        <w:tc>
          <w:tcPr>
            <w:tcW w:w="6258" w:type="dxa"/>
            <w:tcMar>
              <w:top w:w="80" w:type="dxa"/>
              <w:left w:w="120" w:type="dxa"/>
              <w:bottom w:w="80" w:type="dxa"/>
              <w:right w:w="120" w:type="dxa"/>
            </w:tcMar>
            <w:vAlign w:val="center"/>
          </w:tcPr>
          <w:p w14:paraId="22AB3D4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定制 RFQ；正式 PN 待厂商确认</w:t>
            </w:r>
          </w:p>
        </w:tc>
      </w:tr>
    </w:tbl>
    <w:p w14:paraId="3303243C">
      <w:pPr>
        <w:spacing w:after="0"/>
        <w:rPr>
          <w:rFonts w:hint="eastAsia" w:ascii="微软雅黑" w:hAnsi="微软雅黑" w:eastAsia="微软雅黑" w:cs="微软雅黑"/>
          <w:color w:val="000000" w:themeColor="text1"/>
          <w14:textFill>
            <w14:solidFill>
              <w14:schemeClr w14:val="tx1"/>
            </w14:solidFill>
          </w14:textFill>
        </w:rPr>
      </w:pPr>
    </w:p>
    <w:p w14:paraId="0F4CEE71">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 系统方案与元件表</w:t>
      </w:r>
    </w:p>
    <w:p w14:paraId="534E5AE6">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3.1 功能链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500"/>
        <w:gridCol w:w="5960"/>
      </w:tblGrid>
      <w:tr w14:paraId="7234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shd w:val="clear" w:color="auto" w:fill="F2F4F7"/>
            <w:tcMar>
              <w:top w:w="80" w:type="dxa"/>
              <w:left w:w="120" w:type="dxa"/>
              <w:bottom w:w="80" w:type="dxa"/>
              <w:right w:w="120" w:type="dxa"/>
            </w:tcMar>
            <w:vAlign w:val="center"/>
          </w:tcPr>
          <w:p w14:paraId="31AA534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阶段</w:t>
            </w:r>
          </w:p>
        </w:tc>
        <w:tc>
          <w:tcPr>
            <w:tcW w:w="1500" w:type="dxa"/>
            <w:shd w:val="clear" w:color="auto" w:fill="F2F4F7"/>
            <w:tcMar>
              <w:top w:w="80" w:type="dxa"/>
              <w:left w:w="120" w:type="dxa"/>
              <w:bottom w:w="80" w:type="dxa"/>
              <w:right w:w="120" w:type="dxa"/>
            </w:tcMar>
            <w:vAlign w:val="center"/>
          </w:tcPr>
          <w:p w14:paraId="2789AEE1">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作用轴</w:t>
            </w:r>
          </w:p>
        </w:tc>
        <w:tc>
          <w:tcPr>
            <w:tcW w:w="5960" w:type="dxa"/>
            <w:shd w:val="clear" w:color="auto" w:fill="F2F4F7"/>
            <w:tcMar>
              <w:top w:w="80" w:type="dxa"/>
              <w:left w:w="120" w:type="dxa"/>
              <w:bottom w:w="80" w:type="dxa"/>
              <w:right w:w="120" w:type="dxa"/>
            </w:tcMar>
            <w:vAlign w:val="center"/>
          </w:tcPr>
          <w:p w14:paraId="3C49C372">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功能</w:t>
            </w:r>
          </w:p>
        </w:tc>
      </w:tr>
      <w:tr w14:paraId="3291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41F3C30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SBE1/SBE2</w:t>
            </w:r>
          </w:p>
        </w:tc>
        <w:tc>
          <w:tcPr>
            <w:tcW w:w="1500" w:type="dxa"/>
            <w:tcMar>
              <w:top w:w="80" w:type="dxa"/>
              <w:left w:w="120" w:type="dxa"/>
              <w:bottom w:w="80" w:type="dxa"/>
              <w:right w:w="120" w:type="dxa"/>
            </w:tcMar>
            <w:vAlign w:val="center"/>
          </w:tcPr>
          <w:p w14:paraId="3ABACAD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 Y</w:t>
            </w:r>
          </w:p>
        </w:tc>
        <w:tc>
          <w:tcPr>
            <w:tcW w:w="5960" w:type="dxa"/>
            <w:tcMar>
              <w:top w:w="80" w:type="dxa"/>
              <w:left w:w="120" w:type="dxa"/>
              <w:bottom w:w="80" w:type="dxa"/>
              <w:right w:w="120" w:type="dxa"/>
            </w:tcMar>
            <w:vAlign w:val="center"/>
          </w:tcPr>
          <w:p w14:paraId="4813E0D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激光后的第一组圆对称 6× 扩束；输出约 6 mm 准直圆斑</w:t>
            </w:r>
          </w:p>
        </w:tc>
      </w:tr>
      <w:tr w14:paraId="3E7F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6C0503E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CBSM1/CBSM2</w:t>
            </w:r>
          </w:p>
        </w:tc>
        <w:tc>
          <w:tcPr>
            <w:tcW w:w="1500" w:type="dxa"/>
            <w:tcMar>
              <w:top w:w="80" w:type="dxa"/>
              <w:left w:w="120" w:type="dxa"/>
              <w:bottom w:w="80" w:type="dxa"/>
              <w:right w:w="120" w:type="dxa"/>
            </w:tcMar>
            <w:vAlign w:val="center"/>
          </w:tcPr>
          <w:p w14:paraId="2D4B67C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w:t>
            </w:r>
          </w:p>
        </w:tc>
        <w:tc>
          <w:tcPr>
            <w:tcW w:w="5960" w:type="dxa"/>
            <w:tcMar>
              <w:top w:w="80" w:type="dxa"/>
              <w:left w:w="120" w:type="dxa"/>
              <w:bottom w:w="80" w:type="dxa"/>
              <w:right w:w="120" w:type="dxa"/>
            </w:tcMar>
            <w:vAlign w:val="center"/>
          </w:tcPr>
          <w:p w14:paraId="2D4B06C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第一元件强度映射，第二元件相位展平；Y 不变</w:t>
            </w:r>
          </w:p>
        </w:tc>
      </w:tr>
      <w:tr w14:paraId="5B6E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53ACF67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YBE1/YBE2</w:t>
            </w:r>
          </w:p>
        </w:tc>
        <w:tc>
          <w:tcPr>
            <w:tcW w:w="1500" w:type="dxa"/>
            <w:tcMar>
              <w:top w:w="80" w:type="dxa"/>
              <w:left w:w="120" w:type="dxa"/>
              <w:bottom w:w="80" w:type="dxa"/>
              <w:right w:w="120" w:type="dxa"/>
            </w:tcMar>
            <w:vAlign w:val="center"/>
          </w:tcPr>
          <w:p w14:paraId="2FF0E0F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w:t>
            </w:r>
          </w:p>
        </w:tc>
        <w:tc>
          <w:tcPr>
            <w:tcW w:w="5960" w:type="dxa"/>
            <w:tcMar>
              <w:top w:w="80" w:type="dxa"/>
              <w:left w:w="120" w:type="dxa"/>
              <w:bottom w:w="80" w:type="dxa"/>
              <w:right w:w="120" w:type="dxa"/>
            </w:tcMar>
            <w:vAlign w:val="center"/>
          </w:tcPr>
          <w:p w14:paraId="6CC90B4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9.040× Y 向扩束，X 不变</w:t>
            </w:r>
          </w:p>
        </w:tc>
      </w:tr>
      <w:tr w14:paraId="4D41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64BD789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CXC1/CXC2</w:t>
            </w:r>
          </w:p>
        </w:tc>
        <w:tc>
          <w:tcPr>
            <w:tcW w:w="1500" w:type="dxa"/>
            <w:tcMar>
              <w:top w:w="80" w:type="dxa"/>
              <w:left w:w="120" w:type="dxa"/>
              <w:bottom w:w="80" w:type="dxa"/>
              <w:right w:w="120" w:type="dxa"/>
            </w:tcMar>
            <w:vAlign w:val="center"/>
          </w:tcPr>
          <w:p w14:paraId="60175CA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w:t>
            </w:r>
          </w:p>
        </w:tc>
        <w:tc>
          <w:tcPr>
            <w:tcW w:w="5960" w:type="dxa"/>
            <w:tcMar>
              <w:top w:w="80" w:type="dxa"/>
              <w:left w:w="120" w:type="dxa"/>
              <w:bottom w:w="80" w:type="dxa"/>
              <w:right w:w="120" w:type="dxa"/>
            </w:tcMar>
            <w:vAlign w:val="center"/>
          </w:tcPr>
          <w:p w14:paraId="43222E5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+160/-40 mm、间距 120 mm 的 4× 无焦缩束，6 mm→1.5 mm</w:t>
            </w:r>
          </w:p>
        </w:tc>
      </w:tr>
      <w:tr w14:paraId="5809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24FB6A4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YFL</w:t>
            </w:r>
          </w:p>
        </w:tc>
        <w:tc>
          <w:tcPr>
            <w:tcW w:w="1500" w:type="dxa"/>
            <w:tcMar>
              <w:top w:w="80" w:type="dxa"/>
              <w:left w:w="120" w:type="dxa"/>
              <w:bottom w:w="80" w:type="dxa"/>
              <w:right w:w="120" w:type="dxa"/>
            </w:tcMar>
            <w:vAlign w:val="center"/>
          </w:tcPr>
          <w:p w14:paraId="76D0271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w:t>
            </w:r>
          </w:p>
        </w:tc>
        <w:tc>
          <w:tcPr>
            <w:tcW w:w="5960" w:type="dxa"/>
            <w:tcMar>
              <w:top w:w="80" w:type="dxa"/>
              <w:left w:w="120" w:type="dxa"/>
              <w:bottom w:w="80" w:type="dxa"/>
              <w:right w:w="120" w:type="dxa"/>
            </w:tcMar>
            <w:vAlign w:val="center"/>
          </w:tcPr>
          <w:p w14:paraId="37A669B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fY=100 mm；X 光焦度=0</w:t>
            </w:r>
          </w:p>
        </w:tc>
      </w:tr>
      <w:tr w14:paraId="68AD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2C3E278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TARGET</w:t>
            </w:r>
          </w:p>
        </w:tc>
        <w:tc>
          <w:tcPr>
            <w:tcW w:w="1500" w:type="dxa"/>
            <w:tcMar>
              <w:top w:w="80" w:type="dxa"/>
              <w:left w:w="120" w:type="dxa"/>
              <w:bottom w:w="80" w:type="dxa"/>
              <w:right w:w="120" w:type="dxa"/>
            </w:tcMar>
            <w:vAlign w:val="center"/>
          </w:tcPr>
          <w:p w14:paraId="6E029E8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 Y</w:t>
            </w:r>
          </w:p>
        </w:tc>
        <w:tc>
          <w:tcPr>
            <w:tcW w:w="5960" w:type="dxa"/>
            <w:tcMar>
              <w:top w:w="80" w:type="dxa"/>
              <w:left w:w="120" w:type="dxa"/>
              <w:bottom w:w="80" w:type="dxa"/>
              <w:right w:w="120" w:type="dxa"/>
            </w:tcMar>
            <w:vAlign w:val="center"/>
          </w:tcPr>
          <w:p w14:paraId="5017FB0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为 1.5 mm 近似平行线光；Y 为 1.0 µm 焦斑</w:t>
            </w:r>
          </w:p>
        </w:tc>
      </w:tr>
    </w:tbl>
    <w:p w14:paraId="7784B0F9">
      <w:pPr>
        <w:spacing w:after="0"/>
        <w:rPr>
          <w:rFonts w:hint="eastAsia" w:ascii="微软雅黑" w:hAnsi="微软雅黑" w:eastAsia="微软雅黑" w:cs="微软雅黑"/>
          <w:color w:val="000000" w:themeColor="text1"/>
          <w14:textFill>
            <w14:solidFill>
              <w14:schemeClr w14:val="tx1"/>
            </w14:solidFill>
          </w14:textFill>
        </w:rPr>
      </w:pPr>
    </w:p>
    <w:p w14:paraId="113989B0">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3.2 元件位置与光焦度</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900"/>
        <w:gridCol w:w="1200"/>
        <w:gridCol w:w="2200"/>
        <w:gridCol w:w="4210"/>
      </w:tblGrid>
      <w:tr w14:paraId="6BEB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850" w:type="dxa"/>
            <w:shd w:val="clear" w:color="auto" w:fill="F2F4F7"/>
            <w:tcMar>
              <w:top w:w="80" w:type="dxa"/>
              <w:left w:w="120" w:type="dxa"/>
              <w:bottom w:w="80" w:type="dxa"/>
              <w:right w:w="120" w:type="dxa"/>
            </w:tcMar>
            <w:vAlign w:val="center"/>
          </w:tcPr>
          <w:p w14:paraId="144352D3">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ID</w:t>
            </w:r>
          </w:p>
        </w:tc>
        <w:tc>
          <w:tcPr>
            <w:tcW w:w="900" w:type="dxa"/>
            <w:shd w:val="clear" w:color="auto" w:fill="F2F4F7"/>
            <w:tcMar>
              <w:top w:w="80" w:type="dxa"/>
              <w:left w:w="120" w:type="dxa"/>
              <w:bottom w:w="80" w:type="dxa"/>
              <w:right w:w="120" w:type="dxa"/>
            </w:tcMar>
            <w:vAlign w:val="center"/>
          </w:tcPr>
          <w:p w14:paraId="73334BA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Z / mm</w:t>
            </w:r>
          </w:p>
        </w:tc>
        <w:tc>
          <w:tcPr>
            <w:tcW w:w="1200" w:type="dxa"/>
            <w:shd w:val="clear" w:color="auto" w:fill="F2F4F7"/>
            <w:tcMar>
              <w:top w:w="80" w:type="dxa"/>
              <w:left w:w="120" w:type="dxa"/>
              <w:bottom w:w="80" w:type="dxa"/>
              <w:right w:w="120" w:type="dxa"/>
            </w:tcMar>
            <w:vAlign w:val="center"/>
          </w:tcPr>
          <w:p w14:paraId="605680B4">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作用轴</w:t>
            </w:r>
          </w:p>
        </w:tc>
        <w:tc>
          <w:tcPr>
            <w:tcW w:w="2200" w:type="dxa"/>
            <w:shd w:val="clear" w:color="auto" w:fill="F2F4F7"/>
            <w:tcMar>
              <w:top w:w="80" w:type="dxa"/>
              <w:left w:w="120" w:type="dxa"/>
              <w:bottom w:w="80" w:type="dxa"/>
              <w:right w:w="120" w:type="dxa"/>
            </w:tcMar>
            <w:vAlign w:val="center"/>
          </w:tcPr>
          <w:p w14:paraId="122AAF3D">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焦距 / 功能</w:t>
            </w:r>
          </w:p>
        </w:tc>
        <w:tc>
          <w:tcPr>
            <w:tcW w:w="4210" w:type="dxa"/>
            <w:shd w:val="clear" w:color="auto" w:fill="F2F4F7"/>
            <w:tcMar>
              <w:top w:w="80" w:type="dxa"/>
              <w:left w:w="120" w:type="dxa"/>
              <w:bottom w:w="80" w:type="dxa"/>
              <w:right w:w="120" w:type="dxa"/>
            </w:tcMar>
            <w:vAlign w:val="center"/>
          </w:tcPr>
          <w:p w14:paraId="5618B885">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说明</w:t>
            </w:r>
          </w:p>
        </w:tc>
      </w:tr>
      <w:tr w14:paraId="3CE2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4E1DF6F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LASER</w:t>
            </w:r>
          </w:p>
        </w:tc>
        <w:tc>
          <w:tcPr>
            <w:tcW w:w="900" w:type="dxa"/>
            <w:tcMar>
              <w:top w:w="80" w:type="dxa"/>
              <w:left w:w="120" w:type="dxa"/>
              <w:bottom w:w="80" w:type="dxa"/>
              <w:right w:w="120" w:type="dxa"/>
            </w:tcMar>
            <w:vAlign w:val="center"/>
          </w:tcPr>
          <w:p w14:paraId="26B561B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0</w:t>
            </w:r>
          </w:p>
        </w:tc>
        <w:tc>
          <w:tcPr>
            <w:tcW w:w="1200" w:type="dxa"/>
            <w:tcMar>
              <w:top w:w="80" w:type="dxa"/>
              <w:left w:w="120" w:type="dxa"/>
              <w:bottom w:w="80" w:type="dxa"/>
              <w:right w:w="120" w:type="dxa"/>
            </w:tcMar>
            <w:vAlign w:val="center"/>
          </w:tcPr>
          <w:p w14:paraId="26AF240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w:t>
            </w:r>
          </w:p>
        </w:tc>
        <w:tc>
          <w:tcPr>
            <w:tcW w:w="2200" w:type="dxa"/>
            <w:tcMar>
              <w:top w:w="80" w:type="dxa"/>
              <w:left w:w="120" w:type="dxa"/>
              <w:bottom w:w="80" w:type="dxa"/>
              <w:right w:w="120" w:type="dxa"/>
            </w:tcMar>
            <w:vAlign w:val="center"/>
          </w:tcPr>
          <w:p w14:paraId="78E79A7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355 nm</w:t>
            </w:r>
          </w:p>
        </w:tc>
        <w:tc>
          <w:tcPr>
            <w:tcW w:w="4210" w:type="dxa"/>
            <w:tcMar>
              <w:top w:w="80" w:type="dxa"/>
              <w:left w:w="120" w:type="dxa"/>
              <w:bottom w:w="80" w:type="dxa"/>
              <w:right w:w="120" w:type="dxa"/>
            </w:tcMar>
            <w:vAlign w:val="center"/>
          </w:tcPr>
          <w:p w14:paraId="419CF5B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出口全 1/e² 直径约 1.0 mm</w:t>
            </w:r>
          </w:p>
        </w:tc>
      </w:tr>
      <w:tr w14:paraId="47AB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7D8813E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SBE1</w:t>
            </w:r>
          </w:p>
        </w:tc>
        <w:tc>
          <w:tcPr>
            <w:tcW w:w="900" w:type="dxa"/>
            <w:tcMar>
              <w:top w:w="80" w:type="dxa"/>
              <w:left w:w="120" w:type="dxa"/>
              <w:bottom w:w="80" w:type="dxa"/>
              <w:right w:w="120" w:type="dxa"/>
            </w:tcMar>
            <w:vAlign w:val="center"/>
          </w:tcPr>
          <w:p w14:paraId="0D805E1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30</w:t>
            </w:r>
          </w:p>
        </w:tc>
        <w:tc>
          <w:tcPr>
            <w:tcW w:w="1200" w:type="dxa"/>
            <w:tcMar>
              <w:top w:w="80" w:type="dxa"/>
              <w:left w:w="120" w:type="dxa"/>
              <w:bottom w:w="80" w:type="dxa"/>
              <w:right w:w="120" w:type="dxa"/>
            </w:tcMar>
            <w:vAlign w:val="center"/>
          </w:tcPr>
          <w:p w14:paraId="3D2A1F9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X=Y</w:t>
            </w:r>
          </w:p>
        </w:tc>
        <w:tc>
          <w:tcPr>
            <w:tcW w:w="2200" w:type="dxa"/>
            <w:tcMar>
              <w:top w:w="80" w:type="dxa"/>
              <w:left w:w="120" w:type="dxa"/>
              <w:bottom w:w="80" w:type="dxa"/>
              <w:right w:w="120" w:type="dxa"/>
            </w:tcMar>
            <w:vAlign w:val="center"/>
          </w:tcPr>
          <w:p w14:paraId="435FD16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f=-10 mm</w:t>
            </w:r>
          </w:p>
        </w:tc>
        <w:tc>
          <w:tcPr>
            <w:tcW w:w="4210" w:type="dxa"/>
            <w:tcMar>
              <w:top w:w="80" w:type="dxa"/>
              <w:left w:w="120" w:type="dxa"/>
              <w:bottom w:w="80" w:type="dxa"/>
              <w:right w:w="120" w:type="dxa"/>
            </w:tcMar>
            <w:vAlign w:val="center"/>
          </w:tcPr>
          <w:p w14:paraId="70B5BFB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第一光学元件；圆对称负透镜</w:t>
            </w:r>
          </w:p>
        </w:tc>
      </w:tr>
      <w:tr w14:paraId="5D48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5339E46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SBE2</w:t>
            </w:r>
          </w:p>
        </w:tc>
        <w:tc>
          <w:tcPr>
            <w:tcW w:w="900" w:type="dxa"/>
            <w:tcMar>
              <w:top w:w="80" w:type="dxa"/>
              <w:left w:w="120" w:type="dxa"/>
              <w:bottom w:w="80" w:type="dxa"/>
              <w:right w:w="120" w:type="dxa"/>
            </w:tcMar>
            <w:vAlign w:val="center"/>
          </w:tcPr>
          <w:p w14:paraId="320AC1E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80</w:t>
            </w:r>
          </w:p>
        </w:tc>
        <w:tc>
          <w:tcPr>
            <w:tcW w:w="1200" w:type="dxa"/>
            <w:tcMar>
              <w:top w:w="80" w:type="dxa"/>
              <w:left w:w="120" w:type="dxa"/>
              <w:bottom w:w="80" w:type="dxa"/>
              <w:right w:w="120" w:type="dxa"/>
            </w:tcMar>
            <w:vAlign w:val="center"/>
          </w:tcPr>
          <w:p w14:paraId="08E8579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X=Y</w:t>
            </w:r>
          </w:p>
        </w:tc>
        <w:tc>
          <w:tcPr>
            <w:tcW w:w="2200" w:type="dxa"/>
            <w:tcMar>
              <w:top w:w="80" w:type="dxa"/>
              <w:left w:w="120" w:type="dxa"/>
              <w:bottom w:w="80" w:type="dxa"/>
              <w:right w:w="120" w:type="dxa"/>
            </w:tcMar>
            <w:vAlign w:val="center"/>
          </w:tcPr>
          <w:p w14:paraId="5006522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f=+60 mm</w:t>
            </w:r>
          </w:p>
        </w:tc>
        <w:tc>
          <w:tcPr>
            <w:tcW w:w="4210" w:type="dxa"/>
            <w:tcMar>
              <w:top w:w="80" w:type="dxa"/>
              <w:left w:w="120" w:type="dxa"/>
              <w:bottom w:w="80" w:type="dxa"/>
              <w:right w:w="120" w:type="dxa"/>
            </w:tcMar>
            <w:vAlign w:val="center"/>
          </w:tcPr>
          <w:p w14:paraId="65168F0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与 SBE1 构成唯一圆对称 6× 扩束组</w:t>
            </w:r>
          </w:p>
        </w:tc>
      </w:tr>
      <w:tr w14:paraId="5E5D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77B0BD3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CBSM1</w:t>
            </w:r>
          </w:p>
        </w:tc>
        <w:tc>
          <w:tcPr>
            <w:tcW w:w="900" w:type="dxa"/>
            <w:tcMar>
              <w:top w:w="80" w:type="dxa"/>
              <w:left w:w="120" w:type="dxa"/>
              <w:bottom w:w="80" w:type="dxa"/>
              <w:right w:w="120" w:type="dxa"/>
            </w:tcMar>
            <w:vAlign w:val="center"/>
          </w:tcPr>
          <w:p w14:paraId="4C84400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150</w:t>
            </w:r>
          </w:p>
        </w:tc>
        <w:tc>
          <w:tcPr>
            <w:tcW w:w="1200" w:type="dxa"/>
            <w:tcMar>
              <w:top w:w="80" w:type="dxa"/>
              <w:left w:w="120" w:type="dxa"/>
              <w:bottom w:w="80" w:type="dxa"/>
              <w:right w:w="120" w:type="dxa"/>
            </w:tcMar>
            <w:vAlign w:val="center"/>
          </w:tcPr>
          <w:p w14:paraId="4DD394C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7606CEE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强度映射</w:t>
            </w:r>
          </w:p>
        </w:tc>
        <w:tc>
          <w:tcPr>
            <w:tcW w:w="4210" w:type="dxa"/>
            <w:tcMar>
              <w:top w:w="80" w:type="dxa"/>
              <w:left w:w="120" w:type="dxa"/>
              <w:bottom w:w="80" w:type="dxa"/>
              <w:right w:w="120" w:type="dxa"/>
            </w:tcMar>
            <w:vAlign w:val="center"/>
          </w:tcPr>
          <w:p w14:paraId="26B0E4A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HOLO/OR 定制模块第一元件</w:t>
            </w:r>
          </w:p>
        </w:tc>
      </w:tr>
      <w:tr w14:paraId="1188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F76FB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CBSM2</w:t>
            </w:r>
          </w:p>
        </w:tc>
        <w:tc>
          <w:tcPr>
            <w:tcW w:w="900" w:type="dxa"/>
            <w:tcMar>
              <w:top w:w="80" w:type="dxa"/>
              <w:left w:w="120" w:type="dxa"/>
              <w:bottom w:w="80" w:type="dxa"/>
              <w:right w:w="120" w:type="dxa"/>
            </w:tcMar>
            <w:vAlign w:val="center"/>
          </w:tcPr>
          <w:p w14:paraId="2A247D6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220</w:t>
            </w:r>
          </w:p>
        </w:tc>
        <w:tc>
          <w:tcPr>
            <w:tcW w:w="1200" w:type="dxa"/>
            <w:tcMar>
              <w:top w:w="80" w:type="dxa"/>
              <w:left w:w="120" w:type="dxa"/>
              <w:bottom w:w="80" w:type="dxa"/>
              <w:right w:w="120" w:type="dxa"/>
            </w:tcMar>
            <w:vAlign w:val="center"/>
          </w:tcPr>
          <w:p w14:paraId="07F322D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3E1512C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相位展平</w:t>
            </w:r>
          </w:p>
        </w:tc>
        <w:tc>
          <w:tcPr>
            <w:tcW w:w="4210" w:type="dxa"/>
            <w:tcMar>
              <w:top w:w="80" w:type="dxa"/>
              <w:left w:w="120" w:type="dxa"/>
              <w:bottom w:w="80" w:type="dxa"/>
              <w:right w:w="120" w:type="dxa"/>
            </w:tcMar>
            <w:vAlign w:val="center"/>
          </w:tcPr>
          <w:p w14:paraId="13D07BD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HOLO/OR 定制模块第二元件</w:t>
            </w:r>
          </w:p>
        </w:tc>
      </w:tr>
      <w:tr w14:paraId="6D65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497DD4B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YBE1</w:t>
            </w:r>
          </w:p>
        </w:tc>
        <w:tc>
          <w:tcPr>
            <w:tcW w:w="900" w:type="dxa"/>
            <w:tcMar>
              <w:top w:w="80" w:type="dxa"/>
              <w:left w:w="120" w:type="dxa"/>
              <w:bottom w:w="80" w:type="dxa"/>
              <w:right w:w="120" w:type="dxa"/>
            </w:tcMar>
            <w:vAlign w:val="center"/>
          </w:tcPr>
          <w:p w14:paraId="0B35722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250</w:t>
            </w:r>
          </w:p>
        </w:tc>
        <w:tc>
          <w:tcPr>
            <w:tcW w:w="1200" w:type="dxa"/>
            <w:tcMar>
              <w:top w:w="80" w:type="dxa"/>
              <w:left w:w="120" w:type="dxa"/>
              <w:bottom w:w="80" w:type="dxa"/>
              <w:right w:w="120" w:type="dxa"/>
            </w:tcMar>
            <w:vAlign w:val="center"/>
          </w:tcPr>
          <w:p w14:paraId="38A2BDD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w:t>
            </w:r>
          </w:p>
        </w:tc>
        <w:tc>
          <w:tcPr>
            <w:tcW w:w="2200" w:type="dxa"/>
            <w:tcMar>
              <w:top w:w="80" w:type="dxa"/>
              <w:left w:w="120" w:type="dxa"/>
              <w:bottom w:w="80" w:type="dxa"/>
              <w:right w:w="120" w:type="dxa"/>
            </w:tcMar>
            <w:vAlign w:val="center"/>
          </w:tcPr>
          <w:p w14:paraId="0865B0D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fY=-20 mm</w:t>
            </w:r>
          </w:p>
        </w:tc>
        <w:tc>
          <w:tcPr>
            <w:tcW w:w="4210" w:type="dxa"/>
            <w:tcMar>
              <w:top w:w="80" w:type="dxa"/>
              <w:left w:w="120" w:type="dxa"/>
              <w:bottom w:w="80" w:type="dxa"/>
              <w:right w:w="120" w:type="dxa"/>
            </w:tcMar>
            <w:vAlign w:val="center"/>
          </w:tcPr>
          <w:p w14:paraId="1AB93B6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向负柱面镜</w:t>
            </w:r>
          </w:p>
        </w:tc>
      </w:tr>
      <w:tr w14:paraId="26E4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6F6DD99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YBE2</w:t>
            </w:r>
          </w:p>
        </w:tc>
        <w:tc>
          <w:tcPr>
            <w:tcW w:w="900" w:type="dxa"/>
            <w:tcMar>
              <w:top w:w="80" w:type="dxa"/>
              <w:left w:w="120" w:type="dxa"/>
              <w:bottom w:w="80" w:type="dxa"/>
              <w:right w:w="120" w:type="dxa"/>
            </w:tcMar>
            <w:vAlign w:val="center"/>
          </w:tcPr>
          <w:p w14:paraId="654C512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410.8</w:t>
            </w:r>
          </w:p>
        </w:tc>
        <w:tc>
          <w:tcPr>
            <w:tcW w:w="1200" w:type="dxa"/>
            <w:tcMar>
              <w:top w:w="80" w:type="dxa"/>
              <w:left w:w="120" w:type="dxa"/>
              <w:bottom w:w="80" w:type="dxa"/>
              <w:right w:w="120" w:type="dxa"/>
            </w:tcMar>
            <w:vAlign w:val="center"/>
          </w:tcPr>
          <w:p w14:paraId="235F302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w:t>
            </w:r>
          </w:p>
        </w:tc>
        <w:tc>
          <w:tcPr>
            <w:tcW w:w="2200" w:type="dxa"/>
            <w:tcMar>
              <w:top w:w="80" w:type="dxa"/>
              <w:left w:w="120" w:type="dxa"/>
              <w:bottom w:w="80" w:type="dxa"/>
              <w:right w:w="120" w:type="dxa"/>
            </w:tcMar>
            <w:vAlign w:val="center"/>
          </w:tcPr>
          <w:p w14:paraId="150D0BF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fY=+180.8 mm</w:t>
            </w:r>
          </w:p>
        </w:tc>
        <w:tc>
          <w:tcPr>
            <w:tcW w:w="4210" w:type="dxa"/>
            <w:tcMar>
              <w:top w:w="80" w:type="dxa"/>
              <w:left w:w="120" w:type="dxa"/>
              <w:bottom w:w="80" w:type="dxa"/>
              <w:right w:w="120" w:type="dxa"/>
            </w:tcMar>
            <w:vAlign w:val="center"/>
          </w:tcPr>
          <w:p w14:paraId="128168E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向 9.040× 扩束</w:t>
            </w:r>
          </w:p>
        </w:tc>
      </w:tr>
      <w:tr w14:paraId="21B9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19E405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CXC1</w:t>
            </w:r>
          </w:p>
        </w:tc>
        <w:tc>
          <w:tcPr>
            <w:tcW w:w="900" w:type="dxa"/>
            <w:tcMar>
              <w:top w:w="80" w:type="dxa"/>
              <w:left w:w="120" w:type="dxa"/>
              <w:bottom w:w="80" w:type="dxa"/>
              <w:right w:w="120" w:type="dxa"/>
            </w:tcMar>
            <w:vAlign w:val="center"/>
          </w:tcPr>
          <w:p w14:paraId="592D9FB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430</w:t>
            </w:r>
          </w:p>
        </w:tc>
        <w:tc>
          <w:tcPr>
            <w:tcW w:w="1200" w:type="dxa"/>
            <w:tcMar>
              <w:top w:w="80" w:type="dxa"/>
              <w:left w:w="120" w:type="dxa"/>
              <w:bottom w:w="80" w:type="dxa"/>
              <w:right w:w="120" w:type="dxa"/>
            </w:tcMar>
            <w:vAlign w:val="center"/>
          </w:tcPr>
          <w:p w14:paraId="5C83D58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63AC6FB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fX=+160 mm</w:t>
            </w:r>
          </w:p>
        </w:tc>
        <w:tc>
          <w:tcPr>
            <w:tcW w:w="4210" w:type="dxa"/>
            <w:tcMar>
              <w:top w:w="80" w:type="dxa"/>
              <w:left w:w="120" w:type="dxa"/>
              <w:bottom w:w="80" w:type="dxa"/>
              <w:right w:w="120" w:type="dxa"/>
            </w:tcMar>
            <w:vAlign w:val="center"/>
          </w:tcPr>
          <w:p w14:paraId="67FD4C9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 无焦缩束第一片</w:t>
            </w:r>
          </w:p>
        </w:tc>
      </w:tr>
      <w:tr w14:paraId="2130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A7DA33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CXC2</w:t>
            </w:r>
          </w:p>
        </w:tc>
        <w:tc>
          <w:tcPr>
            <w:tcW w:w="900" w:type="dxa"/>
            <w:tcMar>
              <w:top w:w="80" w:type="dxa"/>
              <w:left w:w="120" w:type="dxa"/>
              <w:bottom w:w="80" w:type="dxa"/>
              <w:right w:w="120" w:type="dxa"/>
            </w:tcMar>
            <w:vAlign w:val="center"/>
          </w:tcPr>
          <w:p w14:paraId="40B319F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550</w:t>
            </w:r>
          </w:p>
        </w:tc>
        <w:tc>
          <w:tcPr>
            <w:tcW w:w="1200" w:type="dxa"/>
            <w:tcMar>
              <w:top w:w="80" w:type="dxa"/>
              <w:left w:w="120" w:type="dxa"/>
              <w:bottom w:w="80" w:type="dxa"/>
              <w:right w:w="120" w:type="dxa"/>
            </w:tcMar>
            <w:vAlign w:val="center"/>
          </w:tcPr>
          <w:p w14:paraId="5B2DC3F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5EF8F0A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fX=-40 mm</w:t>
            </w:r>
          </w:p>
        </w:tc>
        <w:tc>
          <w:tcPr>
            <w:tcW w:w="4210" w:type="dxa"/>
            <w:tcMar>
              <w:top w:w="80" w:type="dxa"/>
              <w:left w:w="120" w:type="dxa"/>
              <w:bottom w:w="80" w:type="dxa"/>
              <w:right w:w="120" w:type="dxa"/>
            </w:tcMar>
            <w:vAlign w:val="center"/>
          </w:tcPr>
          <w:p w14:paraId="1369CEA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与 CXC1 间距 120 mm</w:t>
            </w:r>
          </w:p>
        </w:tc>
      </w:tr>
      <w:tr w14:paraId="03DE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FFB852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YFL</w:t>
            </w:r>
          </w:p>
        </w:tc>
        <w:tc>
          <w:tcPr>
            <w:tcW w:w="900" w:type="dxa"/>
            <w:tcMar>
              <w:top w:w="80" w:type="dxa"/>
              <w:left w:w="120" w:type="dxa"/>
              <w:bottom w:w="80" w:type="dxa"/>
              <w:right w:w="120" w:type="dxa"/>
            </w:tcMar>
            <w:vAlign w:val="center"/>
          </w:tcPr>
          <w:p w14:paraId="02A4729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600</w:t>
            </w:r>
          </w:p>
        </w:tc>
        <w:tc>
          <w:tcPr>
            <w:tcW w:w="1200" w:type="dxa"/>
            <w:tcMar>
              <w:top w:w="80" w:type="dxa"/>
              <w:left w:w="120" w:type="dxa"/>
              <w:bottom w:w="80" w:type="dxa"/>
              <w:right w:w="120" w:type="dxa"/>
            </w:tcMar>
            <w:vAlign w:val="center"/>
          </w:tcPr>
          <w:p w14:paraId="28BF923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only</w:t>
            </w:r>
          </w:p>
        </w:tc>
        <w:tc>
          <w:tcPr>
            <w:tcW w:w="2200" w:type="dxa"/>
            <w:tcMar>
              <w:top w:w="80" w:type="dxa"/>
              <w:left w:w="120" w:type="dxa"/>
              <w:bottom w:w="80" w:type="dxa"/>
              <w:right w:w="120" w:type="dxa"/>
            </w:tcMar>
            <w:vAlign w:val="center"/>
          </w:tcPr>
          <w:p w14:paraId="6AB9B0D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fY=+100 mm；fX=∞</w:t>
            </w:r>
          </w:p>
        </w:tc>
        <w:tc>
          <w:tcPr>
            <w:tcW w:w="4210" w:type="dxa"/>
            <w:tcMar>
              <w:top w:w="80" w:type="dxa"/>
              <w:left w:w="120" w:type="dxa"/>
              <w:bottom w:w="80" w:type="dxa"/>
              <w:right w:w="120" w:type="dxa"/>
            </w:tcMar>
            <w:vAlign w:val="center"/>
          </w:tcPr>
          <w:p w14:paraId="6EE6B9D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最终镜只对 Y 聚焦；X 光焦度=0</w:t>
            </w:r>
          </w:p>
        </w:tc>
      </w:tr>
      <w:tr w14:paraId="1782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63D54D6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TARGET</w:t>
            </w:r>
          </w:p>
        </w:tc>
        <w:tc>
          <w:tcPr>
            <w:tcW w:w="900" w:type="dxa"/>
            <w:tcMar>
              <w:top w:w="80" w:type="dxa"/>
              <w:left w:w="120" w:type="dxa"/>
              <w:bottom w:w="80" w:type="dxa"/>
              <w:right w:w="120" w:type="dxa"/>
            </w:tcMar>
            <w:vAlign w:val="center"/>
          </w:tcPr>
          <w:p w14:paraId="0869A0A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700</w:t>
            </w:r>
          </w:p>
        </w:tc>
        <w:tc>
          <w:tcPr>
            <w:tcW w:w="1200" w:type="dxa"/>
            <w:tcMar>
              <w:top w:w="80" w:type="dxa"/>
              <w:left w:w="120" w:type="dxa"/>
              <w:bottom w:w="80" w:type="dxa"/>
              <w:right w:w="120" w:type="dxa"/>
            </w:tcMar>
            <w:vAlign w:val="center"/>
          </w:tcPr>
          <w:p w14:paraId="2A6EAB3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w:t>
            </w:r>
          </w:p>
        </w:tc>
        <w:tc>
          <w:tcPr>
            <w:tcW w:w="2200" w:type="dxa"/>
            <w:tcMar>
              <w:top w:w="80" w:type="dxa"/>
              <w:left w:w="120" w:type="dxa"/>
              <w:bottom w:w="80" w:type="dxa"/>
              <w:right w:w="120" w:type="dxa"/>
            </w:tcMar>
            <w:vAlign w:val="center"/>
          </w:tcPr>
          <w:p w14:paraId="7EAC7C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工作面</w:t>
            </w:r>
          </w:p>
        </w:tc>
        <w:tc>
          <w:tcPr>
            <w:tcW w:w="4210" w:type="dxa"/>
            <w:tcMar>
              <w:top w:w="80" w:type="dxa"/>
              <w:left w:w="120" w:type="dxa"/>
              <w:bottom w:w="80" w:type="dxa"/>
              <w:right w:w="120" w:type="dxa"/>
            </w:tcMar>
            <w:vAlign w:val="center"/>
          </w:tcPr>
          <w:p w14:paraId="60EC6C8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 1.5 mm 近似平行；Y 1.0 µm</w:t>
            </w:r>
          </w:p>
        </w:tc>
      </w:tr>
    </w:tbl>
    <w:p w14:paraId="6AA14823">
      <w:pPr>
        <w:spacing w:after="0"/>
        <w:rPr>
          <w:rFonts w:hint="eastAsia" w:ascii="微软雅黑" w:hAnsi="微软雅黑" w:eastAsia="微软雅黑" w:cs="微软雅黑"/>
          <w:color w:val="000000" w:themeColor="text1"/>
          <w14:textFill>
            <w14:solidFill>
              <w14:schemeClr w14:val="tx1"/>
            </w14:solidFill>
          </w14:textFill>
        </w:rPr>
      </w:pPr>
    </w:p>
    <w:p w14:paraId="460D66FF">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z=600 mm 的元件必须在采购图和装调图中标注为 YFL，而不是 XFL/YFL。其柱轴方向应使 X 平面看到平行平板或零功率通道；不允许在 X 方向引入 f=100 mm 的二次相位</w:t>
      </w:r>
    </w:p>
    <w:p w14:paraId="4E46C44C">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 XZ / YZ 光路图</w:t>
      </w:r>
    </w:p>
    <w:p w14:paraId="59C4370C">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4.1 XZ 平面：X 近似平行光</w:t>
      </w:r>
    </w:p>
    <w:p w14:paraId="6098BA9A">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897880" cy="2635885"/>
            <wp:effectExtent l="0" t="0" r="7620" b="5715"/>
            <wp:docPr id="1" name="Picture 1" descr="图 1  最终 HOLO/OR 准直线光方案 XZ 光路。YFL 为虚线，表示 X 光焦度为 0。" title="图 1  最终 HOLO/OR 准直线光方案 XZ 光路。YFL 为虚线，表示 X 光焦度为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最终 HOLO/OR 准直线光方案 XZ 光路。YFL 为虚线，表示 X 光焦度为 0。" title="图 1  最终 HOLO/OR 准直线光方案 XZ 光路。YFL 为虚线，表示 X 光焦度为 0。"/>
                    <pic:cNvPicPr>
                      <a:picLocks noChangeAspect="1"/>
                    </pic:cNvPicPr>
                  </pic:nvPicPr>
                  <pic:blipFill>
                    <a:blip r:embed="rId8"/>
                    <a:stretch>
                      <a:fillRect/>
                    </a:stretch>
                  </pic:blipFill>
                  <pic:spPr>
                    <a:xfrm>
                      <a:off x="0" y="0"/>
                      <a:ext cx="5897880" cy="2636286"/>
                    </a:xfrm>
                    <a:prstGeom prst="rect">
                      <a:avLst/>
                    </a:prstGeom>
                  </pic:spPr>
                </pic:pic>
              </a:graphicData>
            </a:graphic>
          </wp:inline>
        </w:drawing>
      </w:r>
    </w:p>
    <w:p w14:paraId="1FF754D2">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1  最终 HOLO/OR 准直线光方案 XZ 光路。YFL 为虚线，表示 X 光焦度为 0。</w:t>
      </w:r>
    </w:p>
    <w:p w14:paraId="06F7AE36">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SBE1/SBE2 将 X 从 1 mm 扩到 6 mm。CBSM1/CBSM2 后 X 保持准直；CXC1/CXC2 只做一次无焦缩束，z=550 mm 后到目标面保持约 1.5 mm。</w:t>
      </w:r>
      <w:r>
        <w:rPr>
          <w:rFonts w:hint="eastAsia" w:ascii="微软雅黑" w:hAnsi="微软雅黑" w:eastAsia="微软雅黑" w:cs="微软雅黑"/>
          <w:color w:val="000000" w:themeColor="text1"/>
          <w14:textFill>
            <w14:solidFill>
              <w14:schemeClr w14:val="tx1"/>
            </w14:solidFill>
          </w14:textFill>
        </w:rPr>
        <w:br w:type="page"/>
      </w:r>
    </w:p>
    <w:p w14:paraId="11BCAB2B">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4.2 YZ 平面：Y 向 100 mm 工作距离聚焦</w:t>
      </w:r>
    </w:p>
    <w:p w14:paraId="15D96240">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897880" cy="2635885"/>
            <wp:effectExtent l="0" t="0" r="7620" b="5715"/>
            <wp:docPr id="2" name="Picture 2" descr="图 2  最终方案 YZ 光路。YBE1/YBE2 扩束，YFL 在 100 mm 后把 Y 聚焦到 1.0 µm。" title="图 2  最终方案 YZ 光路。YBE1/YBE2 扩束，YFL 在 100 mm 后把 Y 聚焦到 1.0 µ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最终方案 YZ 光路。YBE1/YBE2 扩束，YFL 在 100 mm 后把 Y 聚焦到 1.0 µm。" title="图 2  最终方案 YZ 光路。YBE1/YBE2 扩束，YFL 在 100 mm 后把 Y 聚焦到 1.0 µm。"/>
                    <pic:cNvPicPr>
                      <a:picLocks noChangeAspect="1"/>
                    </pic:cNvPicPr>
                  </pic:nvPicPr>
                  <pic:blipFill>
                    <a:blip r:embed="rId9"/>
                    <a:stretch>
                      <a:fillRect/>
                    </a:stretch>
                  </pic:blipFill>
                  <pic:spPr>
                    <a:xfrm>
                      <a:off x="0" y="0"/>
                      <a:ext cx="5897880" cy="2636286"/>
                    </a:xfrm>
                    <a:prstGeom prst="rect">
                      <a:avLst/>
                    </a:prstGeom>
                  </pic:spPr>
                </pic:pic>
              </a:graphicData>
            </a:graphic>
          </wp:inline>
        </w:drawing>
      </w:r>
    </w:p>
    <w:p w14:paraId="5F0CD398">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2  最终方案 YZ 光路。YBE1/YBE2 扩束，YFL 在 100 mm 后把 Y 聚焦到 1.0 µm。</w:t>
      </w:r>
    </w:p>
    <w:p w14:paraId="2194C722">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由 dY=4M²λfY/(πDY) 得 DY=54.24 mm；留 10% 余量时 YFL 建议有效口径不小于 59.66 mm。该大口径只发生在 Y 方向，X 方向不跟随 Y 扩束，因此无需把所有元件做成约 60 mm 的圆口径。</w:t>
      </w:r>
    </w:p>
    <w:p w14:paraId="2F361D6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7DA71E87">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 模型原理与相位证据</w:t>
      </w:r>
    </w:p>
    <w:p w14:paraId="545EE496">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5.1 DOE 的相位调制机理</w:t>
      </w:r>
    </w:p>
    <w:p w14:paraId="347DCB9B">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的 DOE（Diffractive Optical Element）是透明基底上的微结构相位元件。它不是通过吸收刻出强度图案，而是利用表面浮雕高度产生空间变化的光程差，对入射高斯光束的复振幅相位进行编码；后续自由传播或透镜的傅里叶变换再把相位调制转换为目标强度分布。</w:t>
      </w:r>
    </w:p>
    <w:p w14:paraId="037A837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158490" cy="245110"/>
            <wp:effectExtent l="0" t="0" r="3810" b="0"/>
            <wp:docPr id="5" name="Picture 5" descr="LaTeX equation: U_0(x,y)=A_0(x,y)\exp\!\left[i\phi_0(x,y)\right]" title="Equatio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TeX equation: U_0(x,y)=A_0(x,y)\exp\!\left[i\phi_0(x,y)\right]" title="Equation 5-1"/>
                    <pic:cNvPicPr>
                      <a:picLocks noChangeAspect="1"/>
                    </pic:cNvPicPr>
                  </pic:nvPicPr>
                  <pic:blipFill>
                    <a:blip r:embed="rId10"/>
                    <a:stretch>
                      <a:fillRect/>
                    </a:stretch>
                  </pic:blipFill>
                  <pic:spPr>
                    <a:xfrm>
                      <a:off x="0" y="0"/>
                      <a:ext cx="3158836" cy="245225"/>
                    </a:xfrm>
                    <a:prstGeom prst="rect">
                      <a:avLst/>
                    </a:prstGeom>
                  </pic:spPr>
                </pic:pic>
              </a:graphicData>
            </a:graphic>
          </wp:inline>
        </w:drawing>
      </w:r>
    </w:p>
    <w:p w14:paraId="51FA64AD">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U_0(x,y)=A_0(x,y)\exp\!\left[i\phi_0(x,y)\right]</w:t>
      </w:r>
    </w:p>
    <w:p w14:paraId="5267A1D6">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59405" cy="245110"/>
            <wp:effectExtent l="0" t="0" r="10795" b="0"/>
            <wp:docPr id="6" name="Picture 6" descr="LaTeX equation: t_{\mathrm{DOE}}(x,y)=\exp\!\left[i\phi_{\mathrm{DOE}}(x,y)\right]" title="Equa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TeX equation: t_{\mathrm{DOE}}(x,y)=\exp\!\left[i\phi_{\mathrm{DOE}}(x,y)\right]" title="Equation 5-2"/>
                    <pic:cNvPicPr>
                      <a:picLocks noChangeAspect="1"/>
                    </pic:cNvPicPr>
                  </pic:nvPicPr>
                  <pic:blipFill>
                    <a:blip r:embed="rId11"/>
                    <a:stretch>
                      <a:fillRect/>
                    </a:stretch>
                  </pic:blipFill>
                  <pic:spPr>
                    <a:xfrm>
                      <a:off x="0" y="0"/>
                      <a:ext cx="2859578" cy="245225"/>
                    </a:xfrm>
                    <a:prstGeom prst="rect">
                      <a:avLst/>
                    </a:prstGeom>
                  </pic:spPr>
                </pic:pic>
              </a:graphicData>
            </a:graphic>
          </wp:inline>
        </w:drawing>
      </w:r>
    </w:p>
    <w:p w14:paraId="089737F2">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t_{\mathrm{DOE}}(x,y)=\exp\!\left[i\phi_{\mathrm{DOE}}(x,y)\right]</w:t>
      </w:r>
    </w:p>
    <w:p w14:paraId="5A381A86">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54960" cy="269875"/>
            <wp:effectExtent l="0" t="0" r="0" b="0"/>
            <wp:docPr id="7" name="Picture 7" descr="LaTeX equation: U_0^{+}(x,y)=U_0(x,y)t_{\mathrm{DOE}}(x,y)" title="Equatio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TeX equation: U_0^{+}(x,y)=U_0(x,y)t_{\mathrm{DOE}}(x,y)" title="Equation 5-3"/>
                    <pic:cNvPicPr>
                      <a:picLocks noChangeAspect="1"/>
                    </pic:cNvPicPr>
                  </pic:nvPicPr>
                  <pic:blipFill>
                    <a:blip r:embed="rId12"/>
                    <a:stretch>
                      <a:fillRect/>
                    </a:stretch>
                  </pic:blipFill>
                  <pic:spPr>
                    <a:xfrm>
                      <a:off x="0" y="0"/>
                      <a:ext cx="2855421" cy="270163"/>
                    </a:xfrm>
                    <a:prstGeom prst="rect">
                      <a:avLst/>
                    </a:prstGeom>
                  </pic:spPr>
                </pic:pic>
              </a:graphicData>
            </a:graphic>
          </wp:inline>
        </w:drawing>
      </w:r>
    </w:p>
    <w:p w14:paraId="7E24B3E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U_0^{+}(x,y)=U_0(x,y)t_{\mathrm{DOE}}(x,y)</w:t>
      </w:r>
    </w:p>
    <w:p w14:paraId="18E8DE7C">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若 DOE 浮雕高度为 h(x,y)，基底折射率为 n(λ)，空气折射率近似为 1，则薄元件近似下的相位延迟为：</w:t>
      </w:r>
    </w:p>
    <w:p w14:paraId="3795B1DE">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73805" cy="315595"/>
            <wp:effectExtent l="0" t="0" r="0" b="0"/>
            <wp:docPr id="8" name="Picture 8" descr="LaTeX equation: \phi_{\mathrm{DOE}}(x,y)=\frac{2\pi}{\lambda}\left[n(\lambda)-1\right]h(x,y)\pmod{2\pi}" title="Equatio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TeX equation: \phi_{\mathrm{DOE}}(x,y)=\frac{2\pi}{\lambda}\left[n(\lambda)-1\right]h(x,y)\pmod{2\pi}" title="Equation 5-4"/>
                    <pic:cNvPicPr>
                      <a:picLocks noChangeAspect="1"/>
                    </pic:cNvPicPr>
                  </pic:nvPicPr>
                  <pic:blipFill>
                    <a:blip r:embed="rId13"/>
                    <a:stretch>
                      <a:fillRect/>
                    </a:stretch>
                  </pic:blipFill>
                  <pic:spPr>
                    <a:xfrm>
                      <a:off x="0" y="0"/>
                      <a:ext cx="3773978" cy="315883"/>
                    </a:xfrm>
                    <a:prstGeom prst="rect">
                      <a:avLst/>
                    </a:prstGeom>
                  </pic:spPr>
                </pic:pic>
              </a:graphicData>
            </a:graphic>
          </wp:inline>
        </w:drawing>
      </w:r>
    </w:p>
    <w:p w14:paraId="02C8BF2C">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\phi_{\mathrm{DOE}}(x,y)=\frac{2\pi}{\lambda}\left[n(\lambda)-1\right]h(x,y)\pmod{2\pi}</w:t>
      </w:r>
    </w:p>
    <w:p w14:paraId="3C8B642C">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公开说明其 DOE 使用光刻和等离子刻蚀制造相位台阶。实际产品可采用连续或多级量化相位；量化、刻蚀深度误差、零级光和高阶衍射会影响效率和均匀度，但理想仿真首先按纯相位、近乎无吸收元件处理。</w:t>
      </w:r>
    </w:p>
    <w:p w14:paraId="78FC3055">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5.2 单元件焦面型与双元件准直型</w:t>
      </w:r>
    </w:p>
    <w:p w14:paraId="7E6D907A">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的标准单元件 Top-Hat Beam Shaper 通常不自带聚焦光焦度。它对入射光施加预设计相位，并配合外部聚焦镜在指定焦面或远场形成平顶强度；该平顶面上的相位一般不是平坦的。</w:t>
      </w:r>
    </w:p>
    <w:p w14:paraId="684A7603">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418715" cy="336550"/>
            <wp:effectExtent l="0" t="0" r="6985" b="0"/>
            <wp:docPr id="9" name="Picture 9" descr="LaTeX equation: U_f(x_f,y_f)=\frac{\exp(ikf)}{i\lambda f}\exp\!\left[\frac{ik}{2f}(x_f^2+y_f^2)\right]\mathcal{F}\!\left\{U_0^{+}(x,y)\right\}_{f_x=x_f/(\lambda f),\,f_y=y_f/(\lambda f)}" title="Equatio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aTeX equation: U_f(x_f,y_f)=\frac{\exp(ikf)}{i\lambda f}\exp\!\left[\frac{ik}{2f}(x_f^2+y_f^2)\right]\mathcal{F}\!\left\{U_0^{+}(x,y)\right\}_{f_x=x_f/(\lambda f),\,f_y=y_f/(\lambda f)}" title="Equation 5-5"/>
                    <pic:cNvPicPr>
                      <a:picLocks noChangeAspect="1"/>
                    </pic:cNvPicPr>
                  </pic:nvPicPr>
                  <pic:blipFill>
                    <a:blip r:embed="rId14"/>
                    <a:stretch>
                      <a:fillRect/>
                    </a:stretch>
                  </pic:blipFill>
                  <pic:spPr>
                    <a:xfrm>
                      <a:off x="0" y="0"/>
                      <a:ext cx="2419003" cy="336665"/>
                    </a:xfrm>
                    <a:prstGeom prst="rect">
                      <a:avLst/>
                    </a:prstGeom>
                  </pic:spPr>
                </pic:pic>
              </a:graphicData>
            </a:graphic>
          </wp:inline>
        </w:drawing>
      </w:r>
    </w:p>
    <w:p w14:paraId="2F9FF1A2">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U_f(x_f,y_f)=\frac{\exp(ikf)}{i\lambda f}\exp\!\left[\frac{ik}{2f}(x_f^2+y_f^2)\right]\mathcal{F}\!\left\{U_0^{+}(x,y)\right\}_{f_x=x_f/(\lambda f),\,f_y=y_f/(\lambda f)}</w:t>
      </w:r>
    </w:p>
    <w:p w14:paraId="31996048">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本方案需要 HOLO/OR Collimated Beam Shaper Module 的定制线形版本。依据厂商公开的双元件原理，第一元件把高斯能量重新映射为线形平顶振幅，并在第二元件所在平面形成所需强度；第二元件补偿该平面的残余相位，使模块出口同时满足平顶强度和近似平坦波前。</w:t>
      </w:r>
    </w:p>
    <w:p w14:paraId="5D29B235">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08630" cy="286385"/>
            <wp:effectExtent l="0" t="0" r="0" b="0"/>
            <wp:docPr id="10" name="Picture 10" descr="LaTeX equation: U_1^{+}=U_{\mathrm{in}}\exp(i\phi_1),\qquad U_2^{-}=\mathcal{P}_{L}\{U_1^{+}\}" title="Equatio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aTeX equation: U_1^{+}=U_{\mathrm{in}}\exp(i\phi_1),\qquad U_2^{-}=\mathcal{P}_{L}\{U_1^{+}\}" title="Equation 5-6"/>
                    <pic:cNvPicPr>
                      <a:picLocks noChangeAspect="1"/>
                    </pic:cNvPicPr>
                  </pic:nvPicPr>
                  <pic:blipFill>
                    <a:blip r:embed="rId15"/>
                    <a:stretch>
                      <a:fillRect/>
                    </a:stretch>
                  </pic:blipFill>
                  <pic:spPr>
                    <a:xfrm>
                      <a:off x="0" y="0"/>
                      <a:ext cx="3009207" cy="286789"/>
                    </a:xfrm>
                    <a:prstGeom prst="rect">
                      <a:avLst/>
                    </a:prstGeom>
                  </pic:spPr>
                </pic:pic>
              </a:graphicData>
            </a:graphic>
          </wp:inline>
        </w:drawing>
      </w:r>
    </w:p>
    <w:p w14:paraId="4BE3C655">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U_1^{+}=U_{\mathrm{in}}\exp(i\phi_1),\qquad U_2^{-}=\mathcal{P}_{L}\{U_1^{+}\}</w:t>
      </w:r>
    </w:p>
    <w:p w14:paraId="3C36D0F4">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11550" cy="257175"/>
            <wp:effectExtent l="0" t="0" r="6350" b="0"/>
            <wp:docPr id="11" name="Picture 11" descr="LaTeX equation: \phi_2(x,y)=-\arg\!\left[U_2^{-}(x,y)\right]+\phi_{\mathrm{ref}}(x,y)" title="Equatio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aTeX equation: \phi_2(x,y)=-\arg\!\left[U_2^{-}(x,y)\right]+\phi_{\mathrm{ref}}(x,y)" title="Equation 5-7"/>
                    <pic:cNvPicPr>
                      <a:picLocks noChangeAspect="1"/>
                    </pic:cNvPicPr>
                  </pic:nvPicPr>
                  <pic:blipFill>
                    <a:blip r:embed="rId16"/>
                    <a:stretch>
                      <a:fillRect/>
                    </a:stretch>
                  </pic:blipFill>
                  <pic:spPr>
                    <a:xfrm>
                      <a:off x="0" y="0"/>
                      <a:ext cx="3512127" cy="257694"/>
                    </a:xfrm>
                    <a:prstGeom prst="rect">
                      <a:avLst/>
                    </a:prstGeom>
                  </pic:spPr>
                </pic:pic>
              </a:graphicData>
            </a:graphic>
          </wp:inline>
        </w:drawing>
      </w:r>
    </w:p>
    <w:p w14:paraId="0A345223">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\phi_2(x,y)=-\arg\!\left[U_2^{-}(x,y)\right]+\phi_{\mathrm{ref}}(x,y)</w:t>
      </w:r>
    </w:p>
    <w:p w14:paraId="7A7AB34A">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214880" cy="245110"/>
            <wp:effectExtent l="0" t="0" r="7620" b="0"/>
            <wp:docPr id="12" name="Picture 12" descr="LaTeX equation: U_{\mathrm{out}}(x,y)=U_2^{-}(x,y)\exp[i\phi_2(x,y)]\approx A_{\mathrm{TH}}(x,y)\exp[i\phi_{\mathrm{ref}}(x,y)]" title="Equatio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aTeX equation: U_{\mathrm{out}}(x,y)=U_2^{-}(x,y)\exp[i\phi_2(x,y)]\approx A_{\mathrm{TH}}(x,y)\exp[i\phi_{\mathrm{ref}}(x,y)]" title="Equation 5-8"/>
                    <pic:cNvPicPr>
                      <a:picLocks noChangeAspect="1"/>
                    </pic:cNvPicPr>
                  </pic:nvPicPr>
                  <pic:blipFill>
                    <a:blip r:embed="rId17"/>
                    <a:stretch>
                      <a:fillRect/>
                    </a:stretch>
                  </pic:blipFill>
                  <pic:spPr>
                    <a:xfrm>
                      <a:off x="0" y="0"/>
                      <a:ext cx="2215341" cy="245225"/>
                    </a:xfrm>
                    <a:prstGeom prst="rect">
                      <a:avLst/>
                    </a:prstGeom>
                  </pic:spPr>
                </pic:pic>
              </a:graphicData>
            </a:graphic>
          </wp:inline>
        </w:drawing>
      </w:r>
    </w:p>
    <w:p w14:paraId="2EED5093">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U_{\mathrm{out}}(x,y)=U_2^{-}(x,y)\exp[i\phi_2(x,y)]\approx A_{\mathrm{TH}}(x,y)\exp[i\phi_{\mathrm{ref}}(x,y)]</w:t>
      </w:r>
    </w:p>
    <w:p w14:paraId="077D0371">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对理想准直输出，参考相位 φref 可取常数或仅含允许的整体倾角；若存在明显二次相位，则对应有限波前曲率，说明光束仍在会聚或发散。</w:t>
      </w:r>
    </w:p>
    <w:p w14:paraId="4D3367F2">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5.3 本方案中 HOLO/OR DOE 的作用范围</w:t>
      </w:r>
    </w:p>
    <w:p w14:paraId="0C726F67">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模块只负责 X 向线形平顶强度及出口 X 波前，Y 方向保持原输入特性。模块输入为约 6 mm 的圆形准直光，输出设为约 6 mm 宽的准直线光。后级 CXC1/CXC2 是 X 向无焦缩束组，把 6 mm 缩为 1.5 mm；YBE1/YBE2 和 YFL 只作用于 Y。末片 YFL 在 X 平面必须等效为单位矩阵，不得给 X 增加二次聚焦相位。</w:t>
      </w:r>
    </w:p>
    <w:p w14:paraId="56B5057B">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厂商标准 TopHatSim.p 只输出焦面归一化强度，可用于验证标准 ST-426-I-Y-A 的强度曲线和 MATLAB 调用链，但不能输出最终定制准直模块的专有相位。本项目采用：HOLO/OR 强度模型、独立双元件复场对比、最终 HOLO/OR 复振幅/相位文件或样机波前实测。</w:t>
      </w:r>
    </w:p>
    <w:p w14:paraId="02A8D145">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 数学模型</w:t>
      </w:r>
    </w:p>
    <w:p w14:paraId="314BD86C">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6.1 入射光束模型</w:t>
      </w:r>
    </w:p>
    <w:p w14:paraId="527CD844">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仿真在 X、Y 可分离的标量旁轴近似下进行。模块输入采用准直高斯光束；D=2w 为强度下降到峰值 exp(-2) 处的全直径。</w:t>
      </w:r>
    </w:p>
    <w:p w14:paraId="1C63BE52">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894455" cy="274320"/>
            <wp:effectExtent l="0" t="0" r="0" b="0"/>
            <wp:docPr id="13" name="Picture 13" descr="LaTeX equation: U_{\mathrm{in}}(x,y)=U_0\exp\!\left[-\frac{x^2+y^2}{w^2}\right],\qquad I_{\mathrm{in}}=|U_{\mathrm{in}}|^2=I_0\exp\!\left[-\frac{2(x^2+y^2)}{w^2}\right]" title="Equatio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aTeX equation: U_{\mathrm{in}}(x,y)=U_0\exp\!\left[-\frac{x^2+y^2}{w^2}\right],\qquad I_{\mathrm{in}}=|U_{\mathrm{in}}|^2=I_0\exp\!\left[-\frac{2(x^2+y^2)}{w^2}\right]" title="Equation 6-1"/>
                    <pic:cNvPicPr>
                      <a:picLocks noChangeAspect="1"/>
                    </pic:cNvPicPr>
                  </pic:nvPicPr>
                  <pic:blipFill>
                    <a:blip r:embed="rId18"/>
                    <a:stretch>
                      <a:fillRect/>
                    </a:stretch>
                  </pic:blipFill>
                  <pic:spPr>
                    <a:xfrm>
                      <a:off x="0" y="0"/>
                      <a:ext cx="3894512" cy="274320"/>
                    </a:xfrm>
                    <a:prstGeom prst="rect">
                      <a:avLst/>
                    </a:prstGeom>
                  </pic:spPr>
                </pic:pic>
              </a:graphicData>
            </a:graphic>
          </wp:inline>
        </w:drawing>
      </w:r>
    </w:p>
    <w:p w14:paraId="5F347CCC">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U_{\mathrm{in}}(x,y)=U_0\exp\!\left[-\frac{x^2+y^2}{w^2}\right],\qquad I_{\mathrm{in}}=|U_{\mathrm{in}}|^2=I_0\exp\!\left[-\frac{2(x^2+y^2)}{w^2}\right]</w:t>
      </w:r>
    </w:p>
    <w:p w14:paraId="34700BE8">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6.2 一维高斯到平顶的能量映射</w:t>
      </w:r>
    </w:p>
    <w:p w14:paraId="7B95F039">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的实际优化相位属于厂商知识产权</w:t>
      </w:r>
      <w:r>
        <w:rPr>
          <w:rFonts w:hint="eastAsia"/>
          <w:b w:val="0"/>
          <w:i w:val="0"/>
          <w:color w:val="000000" w:themeColor="text1"/>
          <w:sz w:val="21"/>
          <w:lang w:val="en-US" w:eastAsia="zh-CN"/>
          <w14:textFill>
            <w14:solidFill>
              <w14:schemeClr w14:val="tx1"/>
            </w14:solidFill>
          </w14:textFill>
        </w:rPr>
        <w:t>目前未提供</w:t>
      </w:r>
      <w:r>
        <w:rPr>
          <w:rFonts w:ascii="微软雅黑" w:hAnsi="微软雅黑" w:eastAsia="微软雅黑"/>
          <w:b w:val="0"/>
          <w:i w:val="0"/>
          <w:color w:val="000000" w:themeColor="text1"/>
          <w:sz w:val="21"/>
          <w14:textFill>
            <w14:solidFill>
              <w14:schemeClr w14:val="tx1"/>
            </w14:solidFill>
          </w14:textFill>
        </w:rPr>
        <w:t>；令输入坐标为 ξ、输出坐标为 x，要求两侧累计功率相等：</w:t>
      </w:r>
    </w:p>
    <w:p w14:paraId="27B625D8">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10765" cy="602615"/>
            <wp:effectExtent l="0" t="0" r="635" b="0"/>
            <wp:docPr id="14" name="Picture 14" descr="LaTeX equation: \frac{\int_{-\infty}^{\xi} I_{\mathrm{in}}(s)\,ds}{\int_{-\infty}^{+\infty} I_{\mathrm{in}}(s)\,ds}=\frac{\int_{-D_{\mathrm{TH}}/2}^{T(\xi)} I_{\mathrm{TH}}(u)\,du}{\int_{-D_{\mathrm{TH}}/2}^{+D_{\mathrm{TH}}/2} I_{\mathrm{TH}}(u)\,du}" title="Equatio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aTeX equation: \frac{\int_{-\infty}^{\xi} I_{\mathrm{in}}(s)\,ds}{\int_{-\infty}^{+\infty} I_{\mathrm{in}}(s)\,ds}=\frac{\int_{-D_{\mathrm{TH}}/2}^{T(\xi)} I_{\mathrm{TH}}(u)\,du}{\int_{-D_{\mathrm{TH}}/2}^{+D_{\mathrm{TH}}/2} I_{\mathrm{TH}}(u)\,du}" title="Equation 6-2"/>
                    <pic:cNvPicPr>
                      <a:picLocks noChangeAspect="1"/>
                    </pic:cNvPicPr>
                  </pic:nvPicPr>
                  <pic:blipFill>
                    <a:blip r:embed="rId19"/>
                    <a:stretch>
                      <a:fillRect/>
                    </a:stretch>
                  </pic:blipFill>
                  <pic:spPr>
                    <a:xfrm>
                      <a:off x="0" y="0"/>
                      <a:ext cx="2310938" cy="602672"/>
                    </a:xfrm>
                    <a:prstGeom prst="rect">
                      <a:avLst/>
                    </a:prstGeom>
                  </pic:spPr>
                </pic:pic>
              </a:graphicData>
            </a:graphic>
          </wp:inline>
        </w:drawing>
      </w:r>
    </w:p>
    <w:p w14:paraId="3E8B51B9">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\frac{\int_{-\infty}^{\xi} I_{\mathrm{in}}(s)\,ds}{\int_{-\infty}^{+\infty} I_{\mathrm{in}}(s)\,ds}=\frac{\int_{-D_{\mathrm{TH}}/2}^{T(\xi)} I_{\mathrm{TH}}(u)\,du}{\int_{-D_{\mathrm{TH}}/2}^{+D_{\mathrm{TH}}/2} I_{\mathrm{TH}}(u)\,du}</w:t>
      </w:r>
    </w:p>
    <w:p w14:paraId="23D4D444">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为避免理想硬边导致的高频振铃，数值对比采用 m=8 的超高斯目标振幅：</w:t>
      </w:r>
    </w:p>
    <w:p w14:paraId="2644688F">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462020" cy="315595"/>
            <wp:effectExtent l="0" t="0" r="0" b="0"/>
            <wp:docPr id="15" name="Picture 15" descr="LaTeX equation: A_{\mathrm{TH}}(x)=A_0\exp\!\left[-\left|\frac{x}{D_{\mathrm{TH}}/2}\right|^m\right],\qquad m=8" title="Equatio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aTeX equation: A_{\mathrm{TH}}(x)=A_0\exp\!\left[-\left|\frac{x}{D_{\mathrm{TH}}/2}\right|^m\right],\qquad m=8" title="Equation 6-3"/>
                    <pic:cNvPicPr>
                      <a:picLocks noChangeAspect="1"/>
                    </pic:cNvPicPr>
                  </pic:nvPicPr>
                  <pic:blipFill>
                    <a:blip r:embed="rId20"/>
                    <a:stretch>
                      <a:fillRect/>
                    </a:stretch>
                  </pic:blipFill>
                  <pic:spPr>
                    <a:xfrm>
                      <a:off x="0" y="0"/>
                      <a:ext cx="3462250" cy="315883"/>
                    </a:xfrm>
                    <a:prstGeom prst="rect">
                      <a:avLst/>
                    </a:prstGeom>
                  </pic:spPr>
                </pic:pic>
              </a:graphicData>
            </a:graphic>
          </wp:inline>
        </w:drawing>
      </w:r>
    </w:p>
    <w:p w14:paraId="64D1A0B4">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A_{\mathrm{TH}}(x)=A_0\exp\!\left[-\left|\frac{x}{D_{\mathrm{TH}}/2}\right|^m\right],\qquad m=8</w:t>
      </w:r>
    </w:p>
    <w:p w14:paraId="1DAE4086">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若两相位元件间距为 L，在小角度几何近似下，第一相位的局部梯度使光线从 ξ 偏转到 T(ξ)：</w:t>
      </w:r>
    </w:p>
    <w:p w14:paraId="6408399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8410" cy="374015"/>
            <wp:effectExtent l="0" t="0" r="8890" b="0"/>
            <wp:docPr id="16" name="Picture 16" descr="LaTeX equation: \frac{d\phi_1}{d\xi}\approx k\,\frac{T(\xi)-\xi}{L},\qquad k=\frac{2\pi}{\lambda}" title="Equatio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aTeX equation: \frac{d\phi_1}{d\xi}\approx k\,\frac{T(\xi)-\xi}{L},\qquad k=\frac{2\pi}{\lambda}" title="Equation 6-4"/>
                    <pic:cNvPicPr>
                      <a:picLocks noChangeAspect="1"/>
                    </pic:cNvPicPr>
                  </pic:nvPicPr>
                  <pic:blipFill>
                    <a:blip r:embed="rId21"/>
                    <a:stretch>
                      <a:fillRect/>
                    </a:stretch>
                  </pic:blipFill>
                  <pic:spPr>
                    <a:xfrm>
                      <a:off x="0" y="0"/>
                      <a:ext cx="2518756" cy="374072"/>
                    </a:xfrm>
                    <a:prstGeom prst="rect">
                      <a:avLst/>
                    </a:prstGeom>
                  </pic:spPr>
                </pic:pic>
              </a:graphicData>
            </a:graphic>
          </wp:inline>
        </w:drawing>
      </w:r>
    </w:p>
    <w:p w14:paraId="47140712">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\frac{d\phi_1}{d\xi}\approx k\,\frac{T(\xi)-\xi}{L},\qquad k=\frac{2\pi}{\lambda}</w:t>
      </w:r>
    </w:p>
    <w:p w14:paraId="54A7BCE3">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6.3 角谱传播与第二相位面</w:t>
      </w:r>
    </w:p>
    <w:p w14:paraId="7283D680">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复场传播采用角谱法。它同时保留振幅和相位，因而能评价模块后的透镜是否破坏相位展平。</w:t>
      </w:r>
    </w:p>
    <w:p w14:paraId="59183FA3">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28085" cy="290830"/>
            <wp:effectExtent l="0" t="0" r="5715" b="0"/>
            <wp:docPr id="17" name="Picture 17" descr="LaTeX equation: U(x,y;z)=\mathcal{F}^{-1}\!\left\{\mathcal{F}[U(x,y;0)]H(f_x,f_y;z)\right\}" title="Equatio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aTeX equation: U(x,y;z)=\mathcal{F}^{-1}\!\left\{\mathcal{F}[U(x,y;0)]H(f_x,f_y;z)\right\}" title="Equation 6-5"/>
                    <pic:cNvPicPr>
                      <a:picLocks noChangeAspect="1"/>
                    </pic:cNvPicPr>
                  </pic:nvPicPr>
                  <pic:blipFill>
                    <a:blip r:embed="rId22"/>
                    <a:stretch>
                      <a:fillRect/>
                    </a:stretch>
                  </pic:blipFill>
                  <pic:spPr>
                    <a:xfrm>
                      <a:off x="0" y="0"/>
                      <a:ext cx="3728258" cy="290945"/>
                    </a:xfrm>
                    <a:prstGeom prst="rect">
                      <a:avLst/>
                    </a:prstGeom>
                  </pic:spPr>
                </pic:pic>
              </a:graphicData>
            </a:graphic>
          </wp:inline>
        </w:drawing>
      </w:r>
    </w:p>
    <w:p w14:paraId="69D2E5C0">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U(x,y;z)=\mathcal{F}^{-1}\!\left\{\mathcal{F}[U(x,y;0)]H(f_x,f_y;z)\right\}</w:t>
      </w:r>
    </w:p>
    <w:p w14:paraId="1F721E3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42285" cy="369570"/>
            <wp:effectExtent l="0" t="0" r="5715" b="0"/>
            <wp:docPr id="18" name="Picture 18" descr="LaTeX equation: H(f_x,f_y;z)=\exp\!\left[ikz\sqrt{1-\lambda^2f_x^2-\lambda^2f_y^2}\right]" title="Equatio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aTeX equation: H(f_x,f_y;z)=\exp\!\left[ikz\sqrt{1-\lambda^2f_x^2-\lambda^2f_y^2}\right]" title="Equation 6-6"/>
                    <pic:cNvPicPr>
                      <a:picLocks noChangeAspect="1"/>
                    </pic:cNvPicPr>
                  </pic:nvPicPr>
                  <pic:blipFill>
                    <a:blip r:embed="rId23"/>
                    <a:stretch>
                      <a:fillRect/>
                    </a:stretch>
                  </pic:blipFill>
                  <pic:spPr>
                    <a:xfrm>
                      <a:off x="0" y="0"/>
                      <a:ext cx="3042458" cy="369916"/>
                    </a:xfrm>
                    <a:prstGeom prst="rect">
                      <a:avLst/>
                    </a:prstGeom>
                  </pic:spPr>
                </pic:pic>
              </a:graphicData>
            </a:graphic>
          </wp:inline>
        </w:drawing>
      </w:r>
    </w:p>
    <w:p w14:paraId="4A320C6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H(f_x,f_y;z)=\exp\!\left[ikz\sqrt{1-\lambda^2f_x^2-\lambda^2f_y^2}\right]</w:t>
      </w:r>
    </w:p>
    <w:p w14:paraId="4388B5F7">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第二元件相位取为传播到该面的相位共轭，再叠加允许的参考平面相位，从而令出口平均倾角和曲率接近零。之后同一复场继续传播通过 CXC1/CXC2；YFL 在 X 方向不乘任何薄透镜相位。</w:t>
      </w:r>
    </w:p>
    <w:p w14:paraId="1848357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6.4 薄透镜与 X 向无焦缩束</w:t>
      </w:r>
    </w:p>
    <w:p w14:paraId="42386433">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103120" cy="348615"/>
            <wp:effectExtent l="0" t="0" r="0" b="0"/>
            <wp:docPr id="19" name="Picture 19" descr="LaTeX equation: t_L(x)=\exp\!\left(-i\frac{kx^2}{2f_x}\right)" title="Equatio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aTeX equation: t_L(x)=\exp\!\left(-i\frac{kx^2}{2f_x}\right)" title="Equation 6-7"/>
                    <pic:cNvPicPr>
                      <a:picLocks noChangeAspect="1"/>
                    </pic:cNvPicPr>
                  </pic:nvPicPr>
                  <pic:blipFill>
                    <a:blip r:embed="rId24"/>
                    <a:stretch>
                      <a:fillRect/>
                    </a:stretch>
                  </pic:blipFill>
                  <pic:spPr>
                    <a:xfrm>
                      <a:off x="0" y="0"/>
                      <a:ext cx="2103120" cy="349134"/>
                    </a:xfrm>
                    <a:prstGeom prst="rect">
                      <a:avLst/>
                    </a:prstGeom>
                  </pic:spPr>
                </pic:pic>
              </a:graphicData>
            </a:graphic>
          </wp:inline>
        </w:drawing>
      </w:r>
    </w:p>
    <w:p w14:paraId="6B97D8A7">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t_L(x)=\exp\!\left(-i\frac{kx^2}{2f_x}\right)</w:t>
      </w:r>
    </w:p>
    <w:p w14:paraId="67779872">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22750" cy="232410"/>
            <wp:effectExtent l="0" t="0" r="0" b="0"/>
            <wp:docPr id="20" name="Picture 20" descr="LaTeX equation: P(d)=\begin{bmatrix}1&amp;d\\0&amp;1\end{bmatrix},\qquad L(f)=\begin{bmatrix}1&amp;0\\-1/f&amp;1\end{bmatrix}" title="Equatio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aTeX equation: P(d)=\begin{bmatrix}1&amp;d\\0&amp;1\end{bmatrix},\qquad L(f)=\begin{bmatrix}1&amp;0\\-1/f&amp;1\end{bmatrix}" title="Equation 6-8"/>
                    <pic:cNvPicPr>
                      <a:picLocks noChangeAspect="1"/>
                    </pic:cNvPicPr>
                  </pic:nvPicPr>
                  <pic:blipFill>
                    <a:blip r:embed="rId25"/>
                    <a:stretch>
                      <a:fillRect/>
                    </a:stretch>
                  </pic:blipFill>
                  <pic:spPr>
                    <a:xfrm>
                      <a:off x="0" y="0"/>
                      <a:ext cx="4222865" cy="232756"/>
                    </a:xfrm>
                    <a:prstGeom prst="rect">
                      <a:avLst/>
                    </a:prstGeom>
                  </pic:spPr>
                </pic:pic>
              </a:graphicData>
            </a:graphic>
          </wp:inline>
        </w:drawing>
      </w:r>
    </w:p>
    <w:p w14:paraId="5B7BB800">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P(d)=\begin{bmatrix}1&amp;d\\0&amp;1\end{bmatrix},\qquad L(f)=\begin{bmatrix}1&amp;0\\-1/f&amp;1\end{bmatrix}</w:t>
      </w:r>
    </w:p>
    <w:p w14:paraId="14D8C298">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1670" cy="236855"/>
            <wp:effectExtent l="0" t="0" r="11430" b="0"/>
            <wp:docPr id="21" name="Picture 21" descr="LaTeX equation: M_{\mathrm{CXC}}=L(-40)P(120)L(160)=\begin{bmatrix}0.25&amp;120\\0&amp;4\end{bmatrix}" title="Equatio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aTeX equation: M_{\mathrm{CXC}}=L(-40)P(120)L(160)=\begin{bmatrix}0.25&amp;120\\0&amp;4\end{bmatrix}" title="Equation 6-9"/>
                    <pic:cNvPicPr>
                      <a:picLocks noChangeAspect="1"/>
                    </pic:cNvPicPr>
                  </pic:nvPicPr>
                  <pic:blipFill>
                    <a:blip r:embed="rId26"/>
                    <a:stretch>
                      <a:fillRect/>
                    </a:stretch>
                  </pic:blipFill>
                  <pic:spPr>
                    <a:xfrm>
                      <a:off x="0" y="0"/>
                      <a:ext cx="4472247" cy="236912"/>
                    </a:xfrm>
                    <a:prstGeom prst="rect">
                      <a:avLst/>
                    </a:prstGeom>
                  </pic:spPr>
                </pic:pic>
              </a:graphicData>
            </a:graphic>
          </wp:inline>
        </w:drawing>
      </w:r>
    </w:p>
    <w:p w14:paraId="7F236BF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M_{\mathrm{CXC}}=L(-40)P(120)L(160)=\begin{bmatrix}0.25&amp;120\\0&amp;4\end{bmatrix}</w:t>
      </w:r>
    </w:p>
    <w:p w14:paraId="25AE4AE5">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矩阵 C=0，说明平行输入的中心/边缘光线输出仍无几何会聚；A=0.25，把 6 mm 缩为 1.5 mm。末级 YFL 在 X 平面为单位矩阵 I，因此：</w:t>
      </w:r>
    </w:p>
    <w:p w14:paraId="51E57397">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906520" cy="248920"/>
            <wp:effectExtent l="0" t="0" r="5080" b="0"/>
            <wp:docPr id="22" name="Picture 22" descr="LaTeX equation: M_{X,\mathrm{total}}=P(150)I_{\mathrm{YFL},X}M_{\mathrm{CXC}},\qquad I_{\mathrm{YFL},X}=\begin{bmatrix}1&amp;0\\0&amp;1\end{bmatrix}" title="Equation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aTeX equation: M_{X,\mathrm{total}}=P(150)I_{\mathrm{YFL},X}M_{\mathrm{CXC}},\qquad I_{\mathrm{YFL},X}=\begin{bmatrix}1&amp;0\\0&amp;1\end{bmatrix}" title="Equation 6-10"/>
                    <pic:cNvPicPr>
                      <a:picLocks noChangeAspect="1"/>
                    </pic:cNvPicPr>
                  </pic:nvPicPr>
                  <pic:blipFill>
                    <a:blip r:embed="rId27"/>
                    <a:stretch>
                      <a:fillRect/>
                    </a:stretch>
                  </pic:blipFill>
                  <pic:spPr>
                    <a:xfrm>
                      <a:off x="0" y="0"/>
                      <a:ext cx="3906981" cy="249381"/>
                    </a:xfrm>
                    <a:prstGeom prst="rect">
                      <a:avLst/>
                    </a:prstGeom>
                  </pic:spPr>
                </pic:pic>
              </a:graphicData>
            </a:graphic>
          </wp:inline>
        </w:drawing>
      </w:r>
    </w:p>
    <w:p w14:paraId="2561BD8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M_{X,\mathrm{total}}=P(150)I_{\mathrm{YFL},X}M_{\mathrm{CXC}},\qquad I_{\mathrm{YFL},X}=\begin{bmatrix}1&amp;0\\0&amp;1\end{bmatrix}</w:t>
      </w:r>
    </w:p>
    <w:p w14:paraId="3C577AE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6.5 Y 向聚焦模型</w:t>
      </w:r>
    </w:p>
    <w:p w14:paraId="5B55C2F0">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Y 向采用 M² 修正的高斯束腰关系。目标全 1/e² 宽度 dY=1.0 µm、fY=100 mm、λ=355 nm、M²=1.2 时：</w:t>
      </w:r>
    </w:p>
    <w:p w14:paraId="15BA96C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333115" cy="365760"/>
            <wp:effectExtent l="0" t="0" r="6985" b="0"/>
            <wp:docPr id="23" name="Picture 23" descr="LaTeX equation: d_Y=\frac{4M^2\lambda f_Y}{\pi D_Y},\qquad D_Y=\frac{4M^2\lambda f_Y}{\pi d_Y}=54.240\ \mathrm{mm}" title="Equation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aTeX equation: d_Y=\frac{4M^2\lambda f_Y}{\pi D_Y},\qquad D_Y=\frac{4M^2\lambda f_Y}{\pi d_Y}=54.240\ \mathrm{mm}" title="Equation 6-11"/>
                    <pic:cNvPicPr>
                      <a:picLocks noChangeAspect="1"/>
                    </pic:cNvPicPr>
                  </pic:nvPicPr>
                  <pic:blipFill>
                    <a:blip r:embed="rId28"/>
                    <a:stretch>
                      <a:fillRect/>
                    </a:stretch>
                  </pic:blipFill>
                  <pic:spPr>
                    <a:xfrm>
                      <a:off x="0" y="0"/>
                      <a:ext cx="3333403" cy="365760"/>
                    </a:xfrm>
                    <a:prstGeom prst="rect">
                      <a:avLst/>
                    </a:prstGeom>
                  </pic:spPr>
                </pic:pic>
              </a:graphicData>
            </a:graphic>
          </wp:inline>
        </w:drawing>
      </w:r>
    </w:p>
    <w:p w14:paraId="5AE59474">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d_Y=\frac{4M^2\lambda f_Y}{\pi D_Y},\qquad D_Y=\frac{4M^2\lambda f_Y}{\pi d_Y}=54.240\ \mathrm{mm}</w:t>
      </w:r>
    </w:p>
    <w:p w14:paraId="7B4D1E7C">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6.6 相位、准直与验收指标</w:t>
      </w:r>
    </w:p>
    <w:p w14:paraId="28CCD163">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在有效 X 光斑内对展开相位作二次拟合。平均倾角来自一次项，曲率来自二次项；相位 RMS 仅去除 piston 和平均倾角，保留二次曲率，以免把会聚或发散误判为准直。</w:t>
      </w:r>
    </w:p>
    <w:p w14:paraId="37F1BB74">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61715" cy="320040"/>
            <wp:effectExtent l="0" t="0" r="0" b="0"/>
            <wp:docPr id="24" name="Picture 24" descr="LaTeX equation: \phi_{\mathrm{fit}}(x)=a_2x^2+a_1x+a_0,\qquad \bar{\theta}_x=\frac{\lambda}{2\pi}a_1" title="Equation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aTeX equation: \phi_{\mathrm{fit}}(x)=a_2x^2+a_1x+a_0,\qquad \bar{\theta}_x=\frac{\lambda}{2\pi}a_1" title="Equation 6-12"/>
                    <pic:cNvPicPr>
                      <a:picLocks noChangeAspect="1"/>
                    </pic:cNvPicPr>
                  </pic:nvPicPr>
                  <pic:blipFill>
                    <a:blip r:embed="rId29"/>
                    <a:stretch>
                      <a:fillRect/>
                    </a:stretch>
                  </pic:blipFill>
                  <pic:spPr>
                    <a:xfrm>
                      <a:off x="0" y="0"/>
                      <a:ext cx="3562003" cy="320040"/>
                    </a:xfrm>
                    <a:prstGeom prst="rect">
                      <a:avLst/>
                    </a:prstGeom>
                  </pic:spPr>
                </pic:pic>
              </a:graphicData>
            </a:graphic>
          </wp:inline>
        </w:drawing>
      </w:r>
    </w:p>
    <w:p w14:paraId="7EF02EE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\phi_{\mathrm{fit}}(x)=a_2x^2+a_1x+a_0,\qquad \bar{\theta}_x=\frac{\lambda}{2\pi}a_1</w:t>
      </w:r>
    </w:p>
    <w:p w14:paraId="4FCCBB7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84370" cy="594360"/>
            <wp:effectExtent l="0" t="0" r="0" b="0"/>
            <wp:docPr id="25" name="Picture 25" descr="LaTeX equation: R_x=\frac{\pi}{\lambda a_2},\qquad \sigma_\phi=\sqrt{\frac{1}{N}\sum_{n=1}^{N}\left[\phi(x_n)-(b_1x_n+b_0)\right]^2}" title="Equation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aTeX equation: R_x=\frac{\pi}{\lambda a_2},\qquad \sigma_\phi=\sqrt{\frac{1}{N}\sum_{n=1}^{N}\left[\phi(x_n)-(b_1x_n+b_0)\right]^2}" title="Equation 6-13"/>
                    <pic:cNvPicPr>
                      <a:picLocks noChangeAspect="1"/>
                    </pic:cNvPicPr>
                  </pic:nvPicPr>
                  <pic:blipFill>
                    <a:blip r:embed="rId30"/>
                    <a:stretch>
                      <a:fillRect/>
                    </a:stretch>
                  </pic:blipFill>
                  <pic:spPr>
                    <a:xfrm>
                      <a:off x="0" y="0"/>
                      <a:ext cx="4484716" cy="594360"/>
                    </a:xfrm>
                    <a:prstGeom prst="rect">
                      <a:avLst/>
                    </a:prstGeom>
                  </pic:spPr>
                </pic:pic>
              </a:graphicData>
            </a:graphic>
          </wp:inline>
        </w:drawing>
      </w:r>
    </w:p>
    <w:p w14:paraId="0C719B5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R_x=\frac{\pi}{\lambda a_2},\qquad \sigma_\phi=\sqrt{\frac{1}{N}\sum_{n=1}^{N}\left[\phi(x_n)-(b_1x_n+b_0)\right]^2}</w:t>
      </w:r>
    </w:p>
    <w:p w14:paraId="59E6F3F7">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649730" cy="356870"/>
            <wp:effectExtent l="0" t="0" r="0" b="0"/>
            <wp:docPr id="26" name="Picture 26" descr="LaTeX equation: \theta_{\mathrm{edge}}=\frac{D_X/2}{|R_x|}" title="Equation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aTeX equation: \theta_{\mathrm{edge}}=\frac{D_X/2}{|R_x|}" title="Equation 6-14"/>
                    <pic:cNvPicPr>
                      <a:picLocks noChangeAspect="1"/>
                    </pic:cNvPicPr>
                  </pic:nvPicPr>
                  <pic:blipFill>
                    <a:blip r:embed="rId31"/>
                    <a:stretch>
                      <a:fillRect/>
                    </a:stretch>
                  </pic:blipFill>
                  <pic:spPr>
                    <a:xfrm>
                      <a:off x="0" y="0"/>
                      <a:ext cx="1650076" cy="357447"/>
                    </a:xfrm>
                    <a:prstGeom prst="rect">
                      <a:avLst/>
                    </a:prstGeom>
                  </pic:spPr>
                </pic:pic>
              </a:graphicData>
            </a:graphic>
          </wp:inline>
        </w:drawing>
      </w:r>
    </w:p>
    <w:p w14:paraId="09AA221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\theta_{\mathrm{edge}}=\frac{D_X/2}{|R_x|}</w:t>
      </w:r>
    </w:p>
    <w:p w14:paraId="21C0E566">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本项目暂定判据为 |θ̄x|≤10 µrad、σφ≤0.10 rad、θedge≤50 µrad。</w:t>
      </w:r>
      <w:bookmarkStart w:id="0" w:name="_GoBack"/>
      <w:bookmarkEnd w:id="0"/>
    </w:p>
    <w:p w14:paraId="019486A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6.7 数值流程与模型假设</w:t>
      </w:r>
    </w:p>
    <w:p w14:paraId="1F42A05E">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输入 355 nm、6 mm 准直高斯复场，并乘以第一相位面。</w:t>
      </w:r>
    </w:p>
    <w:p w14:paraId="427F0D1E">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采用角谱法传播到第二元件，建立目标平顶振幅并抵消残余相位。</w:t>
      </w:r>
    </w:p>
    <w:p w14:paraId="1690FC01">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将模块出口复场传播至 CXC1，依次施加 +160 mm 薄透镜、120 mm 传播、-40 mm 薄透镜及到目标面的传播。</w:t>
      </w:r>
    </w:p>
    <w:p w14:paraId="705B1261">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X 传播中不施加 YFL 相位；Y 方向独立用高斯束腰模型验证 1.0 µm 焦斑和 54.24 mm 入射直径。</w:t>
      </w:r>
    </w:p>
    <w:p w14:paraId="3CD17C96">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输出线宽、平均倾角、相位 RMS、曲率和 ABCD 状态；取得 HOLO/OR 官方复场后用相同指标复核。</w:t>
      </w:r>
    </w:p>
    <w:p w14:paraId="11C82C38">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 MATLAB R2019b 实现</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14:paraId="5828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4F7"/>
            <w:tcMar>
              <w:top w:w="80" w:type="dxa"/>
              <w:left w:w="120" w:type="dxa"/>
              <w:bottom w:w="80" w:type="dxa"/>
              <w:right w:w="120" w:type="dxa"/>
            </w:tcMar>
            <w:vAlign w:val="center"/>
          </w:tcPr>
          <w:p w14:paraId="3AE2513B">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项目</w:t>
            </w:r>
          </w:p>
        </w:tc>
        <w:tc>
          <w:tcPr>
            <w:tcW w:w="6560" w:type="dxa"/>
            <w:shd w:val="clear" w:color="auto" w:fill="F2F4F7"/>
            <w:tcMar>
              <w:top w:w="80" w:type="dxa"/>
              <w:left w:w="120" w:type="dxa"/>
              <w:bottom w:w="80" w:type="dxa"/>
              <w:right w:w="120" w:type="dxa"/>
            </w:tcMar>
            <w:vAlign w:val="center"/>
          </w:tcPr>
          <w:p w14:paraId="27F6C00D">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记录</w:t>
            </w:r>
          </w:p>
        </w:tc>
      </w:tr>
      <w:tr w14:paraId="434E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5FD0C90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MATLAB</w:t>
            </w:r>
          </w:p>
        </w:tc>
        <w:tc>
          <w:tcPr>
            <w:tcW w:w="6560" w:type="dxa"/>
            <w:tcMar>
              <w:top w:w="80" w:type="dxa"/>
              <w:left w:w="120" w:type="dxa"/>
              <w:bottom w:w="80" w:type="dxa"/>
              <w:right w:w="120" w:type="dxa"/>
            </w:tcMar>
            <w:vAlign w:val="center"/>
          </w:tcPr>
          <w:p w14:paraId="461D768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D:\Program Files\Polyspace\R2019b\bin\matlab.exe</w:t>
            </w:r>
          </w:p>
        </w:tc>
      </w:tr>
      <w:tr w14:paraId="2001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00" w:type="dxa"/>
            <w:tcMar>
              <w:top w:w="80" w:type="dxa"/>
              <w:left w:w="120" w:type="dxa"/>
              <w:bottom w:w="80" w:type="dxa"/>
              <w:right w:w="120" w:type="dxa"/>
            </w:tcMar>
            <w:vAlign w:val="center"/>
          </w:tcPr>
          <w:p w14:paraId="66041D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主程序</w:t>
            </w:r>
          </w:p>
        </w:tc>
        <w:tc>
          <w:tcPr>
            <w:tcW w:w="6560" w:type="dxa"/>
            <w:tcMar>
              <w:top w:w="80" w:type="dxa"/>
              <w:left w:w="120" w:type="dxa"/>
              <w:bottom w:w="80" w:type="dxa"/>
              <w:right w:w="120" w:type="dxa"/>
            </w:tcMar>
            <w:vAlign w:val="center"/>
          </w:tcPr>
          <w:p w14:paraId="61BD6F0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02_matlab_code/run_HOLOOR_collimated_line_R2019b.m</w:t>
            </w:r>
          </w:p>
        </w:tc>
      </w:tr>
      <w:tr w14:paraId="0FA4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1F6CF64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统一配置</w:t>
            </w:r>
          </w:p>
        </w:tc>
        <w:tc>
          <w:tcPr>
            <w:tcW w:w="6560" w:type="dxa"/>
            <w:tcMar>
              <w:top w:w="80" w:type="dxa"/>
              <w:left w:w="120" w:type="dxa"/>
              <w:bottom w:w="80" w:type="dxa"/>
              <w:right w:w="120" w:type="dxa"/>
            </w:tcMar>
            <w:vAlign w:val="center"/>
          </w:tcPr>
          <w:p w14:paraId="20C8B66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02_matlab_code/common_holoor_collimated_config.m</w:t>
            </w:r>
          </w:p>
        </w:tc>
      </w:tr>
      <w:tr w14:paraId="445B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74B2515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HOLO/OR 相位检查</w:t>
            </w:r>
          </w:p>
        </w:tc>
        <w:tc>
          <w:tcPr>
            <w:tcW w:w="6560" w:type="dxa"/>
            <w:tcMar>
              <w:top w:w="80" w:type="dxa"/>
              <w:left w:w="120" w:type="dxa"/>
              <w:bottom w:w="80" w:type="dxa"/>
              <w:right w:w="120" w:type="dxa"/>
            </w:tcMar>
            <w:vAlign w:val="center"/>
          </w:tcPr>
          <w:p w14:paraId="3BADC49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02_matlab_code/run_holoor_collimated_solution.m</w:t>
            </w:r>
          </w:p>
        </w:tc>
      </w:tr>
      <w:tr w14:paraId="17AE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34B4C44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独立相位对比</w:t>
            </w:r>
          </w:p>
        </w:tc>
        <w:tc>
          <w:tcPr>
            <w:tcW w:w="6560" w:type="dxa"/>
            <w:tcMar>
              <w:top w:w="80" w:type="dxa"/>
              <w:left w:w="120" w:type="dxa"/>
              <w:bottom w:w="80" w:type="dxa"/>
              <w:right w:w="120" w:type="dxa"/>
            </w:tcMar>
            <w:vAlign w:val="center"/>
          </w:tcPr>
          <w:p w14:paraId="513FB8F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02_matlab_code/simulate_holoor_phase_surrogate.m</w:t>
            </w:r>
          </w:p>
        </w:tc>
      </w:tr>
      <w:tr w14:paraId="0321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20A2B4D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光路图</w:t>
            </w:r>
          </w:p>
        </w:tc>
        <w:tc>
          <w:tcPr>
            <w:tcW w:w="6560" w:type="dxa"/>
            <w:tcMar>
              <w:top w:w="80" w:type="dxa"/>
              <w:left w:w="120" w:type="dxa"/>
              <w:bottom w:w="80" w:type="dxa"/>
              <w:right w:w="120" w:type="dxa"/>
            </w:tcMar>
            <w:vAlign w:val="center"/>
          </w:tcPr>
          <w:p w14:paraId="46DED01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02_matlab_code/plot_holoor_collimated_paths.m</w:t>
            </w:r>
          </w:p>
        </w:tc>
      </w:tr>
      <w:tr w14:paraId="1783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559D95A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结果目录</w:t>
            </w:r>
          </w:p>
        </w:tc>
        <w:tc>
          <w:tcPr>
            <w:tcW w:w="6560" w:type="dxa"/>
            <w:tcMar>
              <w:top w:w="80" w:type="dxa"/>
              <w:left w:w="120" w:type="dxa"/>
              <w:bottom w:w="80" w:type="dxa"/>
              <w:right w:w="120" w:type="dxa"/>
            </w:tcMar>
            <w:vAlign w:val="center"/>
          </w:tcPr>
          <w:p w14:paraId="125F596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03_simulation_results/collimated_line_R2019b</w:t>
            </w:r>
          </w:p>
        </w:tc>
      </w:tr>
    </w:tbl>
    <w:p w14:paraId="2191D5E9">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0F027974">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 仿真结果与判定</w:t>
      </w:r>
    </w:p>
    <w:p w14:paraId="56FDCB82">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14:textFill>
            <w14:solidFill>
              <w14:schemeClr w14:val="tx1"/>
            </w14:solidFill>
          </w14:textFill>
        </w:rPr>
        <w:t xml:space="preserve"> 独立双元件复场对比</w:t>
      </w:r>
    </w:p>
    <w:p w14:paraId="608A4E66">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715000" cy="3636010"/>
            <wp:effectExtent l="0" t="0" r="0" b="8890"/>
            <wp:docPr id="3" name="Picture 3" descr="图 3  独立双元件复场模型经实际 CXC 后级传播的强度与局部相位角。该图不是 HOLO/OR 专有相位数据。" title="图 3  独立双元件复场模型经实际 CXC 后级传播的强度与局部相位角。该图不是 HOLO/OR 专有相位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独立双元件复场模型经实际 CXC 后级传播的强度与局部相位角。该图不是 HOLO/OR 专有相位数据。" title="图 3  独立双元件复场模型经实际 CXC 后级传播的强度与局部相位角。该图不是 HOLO/OR 专有相位数据。"/>
                    <pic:cNvPicPr>
                      <a:picLocks noChangeAspect="1"/>
                    </pic:cNvPicPr>
                  </pic:nvPicPr>
                  <pic:blipFill>
                    <a:blip r:embed="rId32"/>
                    <a:stretch>
                      <a:fillRect/>
                    </a:stretch>
                  </pic:blipFill>
                  <pic:spPr>
                    <a:xfrm>
                      <a:off x="0" y="0"/>
                      <a:ext cx="5715000" cy="3636314"/>
                    </a:xfrm>
                    <a:prstGeom prst="rect">
                      <a:avLst/>
                    </a:prstGeom>
                  </pic:spPr>
                </pic:pic>
              </a:graphicData>
            </a:graphic>
          </wp:inline>
        </w:drawing>
      </w:r>
    </w:p>
    <w:p w14:paraId="4666D053">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3  独立双元件复场模型经实际 CXC 后级传播的强度与局部相位角。</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2600"/>
        <w:gridCol w:w="3160"/>
      </w:tblGrid>
      <w:tr w14:paraId="6B18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00" w:type="dxa"/>
            <w:shd w:val="clear" w:color="auto" w:fill="F2F4F7"/>
            <w:tcMar>
              <w:top w:w="80" w:type="dxa"/>
              <w:left w:w="120" w:type="dxa"/>
              <w:bottom w:w="80" w:type="dxa"/>
              <w:right w:w="120" w:type="dxa"/>
            </w:tcMar>
            <w:vAlign w:val="center"/>
          </w:tcPr>
          <w:p w14:paraId="7C0E2B54">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指标</w:t>
            </w:r>
          </w:p>
        </w:tc>
        <w:tc>
          <w:tcPr>
            <w:tcW w:w="2600" w:type="dxa"/>
            <w:shd w:val="clear" w:color="auto" w:fill="F2F4F7"/>
            <w:tcMar>
              <w:top w:w="80" w:type="dxa"/>
              <w:left w:w="120" w:type="dxa"/>
              <w:bottom w:w="80" w:type="dxa"/>
              <w:right w:w="120" w:type="dxa"/>
            </w:tcMar>
            <w:vAlign w:val="center"/>
          </w:tcPr>
          <w:p w14:paraId="57C15695">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计算值</w:t>
            </w:r>
          </w:p>
        </w:tc>
        <w:tc>
          <w:tcPr>
            <w:tcW w:w="3160" w:type="dxa"/>
            <w:shd w:val="clear" w:color="auto" w:fill="F2F4F7"/>
            <w:tcMar>
              <w:top w:w="80" w:type="dxa"/>
              <w:left w:w="120" w:type="dxa"/>
              <w:bottom w:w="80" w:type="dxa"/>
              <w:right w:w="120" w:type="dxa"/>
            </w:tcMar>
            <w:vAlign w:val="center"/>
          </w:tcPr>
          <w:p w14:paraId="291C364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设计判据</w:t>
            </w:r>
          </w:p>
        </w:tc>
      </w:tr>
      <w:tr w14:paraId="7CFF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40C4CC2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 X 全 1/e² 宽度</w:t>
            </w:r>
          </w:p>
        </w:tc>
        <w:tc>
          <w:tcPr>
            <w:tcW w:w="2600" w:type="dxa"/>
            <w:tcMar>
              <w:top w:w="80" w:type="dxa"/>
              <w:left w:w="120" w:type="dxa"/>
              <w:bottom w:w="80" w:type="dxa"/>
              <w:right w:w="120" w:type="dxa"/>
            </w:tcMar>
            <w:vAlign w:val="center"/>
          </w:tcPr>
          <w:p w14:paraId="4F3822A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1.503906 mm</w:t>
            </w:r>
          </w:p>
        </w:tc>
        <w:tc>
          <w:tcPr>
            <w:tcW w:w="3160" w:type="dxa"/>
            <w:tcMar>
              <w:top w:w="80" w:type="dxa"/>
              <w:left w:w="120" w:type="dxa"/>
              <w:bottom w:w="80" w:type="dxa"/>
              <w:right w:w="120" w:type="dxa"/>
            </w:tcMar>
            <w:vAlign w:val="center"/>
          </w:tcPr>
          <w:p w14:paraId="1C1AF76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与 1.5 mm 偏差 0.260%</w:t>
            </w:r>
          </w:p>
        </w:tc>
      </w:tr>
      <w:tr w14:paraId="04C1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1FD6188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目标平均波前倾角</w:t>
            </w:r>
          </w:p>
        </w:tc>
        <w:tc>
          <w:tcPr>
            <w:tcW w:w="2600" w:type="dxa"/>
            <w:tcMar>
              <w:top w:w="80" w:type="dxa"/>
              <w:left w:w="120" w:type="dxa"/>
              <w:bottom w:w="80" w:type="dxa"/>
              <w:right w:w="120" w:type="dxa"/>
            </w:tcMar>
            <w:vAlign w:val="center"/>
          </w:tcPr>
          <w:p w14:paraId="32A0629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约 0 µrad</w:t>
            </w:r>
          </w:p>
        </w:tc>
        <w:tc>
          <w:tcPr>
            <w:tcW w:w="3160" w:type="dxa"/>
            <w:tcMar>
              <w:top w:w="80" w:type="dxa"/>
              <w:left w:w="120" w:type="dxa"/>
              <w:bottom w:w="80" w:type="dxa"/>
              <w:right w:w="120" w:type="dxa"/>
            </w:tcMar>
            <w:vAlign w:val="center"/>
          </w:tcPr>
          <w:p w14:paraId="289408E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≤10 µrad</w:t>
            </w:r>
          </w:p>
        </w:tc>
      </w:tr>
      <w:tr w14:paraId="5764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000F4A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目标相位 RMS</w:t>
            </w:r>
          </w:p>
        </w:tc>
        <w:tc>
          <w:tcPr>
            <w:tcW w:w="2600" w:type="dxa"/>
            <w:tcMar>
              <w:top w:w="80" w:type="dxa"/>
              <w:left w:w="120" w:type="dxa"/>
              <w:bottom w:w="80" w:type="dxa"/>
              <w:right w:w="120" w:type="dxa"/>
            </w:tcMar>
            <w:vAlign w:val="center"/>
          </w:tcPr>
          <w:p w14:paraId="246FBC7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0.03785 rad</w:t>
            </w:r>
          </w:p>
        </w:tc>
        <w:tc>
          <w:tcPr>
            <w:tcW w:w="3160" w:type="dxa"/>
            <w:tcMar>
              <w:top w:w="80" w:type="dxa"/>
              <w:left w:w="120" w:type="dxa"/>
              <w:bottom w:w="80" w:type="dxa"/>
              <w:right w:w="120" w:type="dxa"/>
            </w:tcMar>
            <w:vAlign w:val="center"/>
          </w:tcPr>
          <w:p w14:paraId="6609CF4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≤0.10 rad</w:t>
            </w:r>
          </w:p>
        </w:tc>
      </w:tr>
      <w:tr w14:paraId="6F2E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BB9585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目标拟合曲率半径</w:t>
            </w:r>
          </w:p>
        </w:tc>
        <w:tc>
          <w:tcPr>
            <w:tcW w:w="2600" w:type="dxa"/>
            <w:tcMar>
              <w:top w:w="80" w:type="dxa"/>
              <w:left w:w="120" w:type="dxa"/>
              <w:bottom w:w="80" w:type="dxa"/>
              <w:right w:w="120" w:type="dxa"/>
            </w:tcMar>
            <w:vAlign w:val="center"/>
          </w:tcPr>
          <w:p w14:paraId="5053363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约 -27.43 m</w:t>
            </w:r>
          </w:p>
        </w:tc>
        <w:tc>
          <w:tcPr>
            <w:tcW w:w="3160" w:type="dxa"/>
            <w:tcMar>
              <w:top w:w="80" w:type="dxa"/>
              <w:left w:w="120" w:type="dxa"/>
              <w:bottom w:w="80" w:type="dxa"/>
              <w:right w:w="120" w:type="dxa"/>
            </w:tcMar>
            <w:vAlign w:val="center"/>
          </w:tcPr>
          <w:p w14:paraId="0329B1A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记录项</w:t>
            </w:r>
          </w:p>
        </w:tc>
      </w:tr>
      <w:tr w14:paraId="3DFB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F596E4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目标曲率边缘斜率</w:t>
            </w:r>
          </w:p>
        </w:tc>
        <w:tc>
          <w:tcPr>
            <w:tcW w:w="2600" w:type="dxa"/>
            <w:tcMar>
              <w:top w:w="80" w:type="dxa"/>
              <w:left w:w="120" w:type="dxa"/>
              <w:bottom w:w="80" w:type="dxa"/>
              <w:right w:w="120" w:type="dxa"/>
            </w:tcMar>
            <w:vAlign w:val="center"/>
          </w:tcPr>
          <w:p w14:paraId="3ADFBE2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27.34 µrad</w:t>
            </w:r>
          </w:p>
        </w:tc>
        <w:tc>
          <w:tcPr>
            <w:tcW w:w="3160" w:type="dxa"/>
            <w:tcMar>
              <w:top w:w="80" w:type="dxa"/>
              <w:left w:w="120" w:type="dxa"/>
              <w:bottom w:w="80" w:type="dxa"/>
              <w:right w:w="120" w:type="dxa"/>
            </w:tcMar>
            <w:vAlign w:val="center"/>
          </w:tcPr>
          <w:p w14:paraId="6A4998C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≤50 µrad</w:t>
            </w:r>
          </w:p>
        </w:tc>
      </w:tr>
      <w:tr w14:paraId="445B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789F5DD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设计复核</w:t>
            </w:r>
          </w:p>
        </w:tc>
        <w:tc>
          <w:tcPr>
            <w:tcW w:w="2600" w:type="dxa"/>
            <w:tcMar>
              <w:top w:w="80" w:type="dxa"/>
              <w:left w:w="120" w:type="dxa"/>
              <w:bottom w:w="80" w:type="dxa"/>
              <w:right w:w="120" w:type="dxa"/>
            </w:tcMar>
            <w:vAlign w:val="center"/>
          </w:tcPr>
          <w:p w14:paraId="5D6D961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通过</w:t>
            </w:r>
          </w:p>
        </w:tc>
        <w:tc>
          <w:tcPr>
            <w:tcW w:w="3160" w:type="dxa"/>
            <w:tcMar>
              <w:top w:w="80" w:type="dxa"/>
              <w:left w:w="120" w:type="dxa"/>
              <w:bottom w:w="80" w:type="dxa"/>
              <w:right w:w="120" w:type="dxa"/>
            </w:tcMar>
            <w:vAlign w:val="center"/>
          </w:tcPr>
          <w:p w14:paraId="4FEA771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独立模型 + 几何共同通过</w:t>
            </w:r>
          </w:p>
        </w:tc>
      </w:tr>
    </w:tbl>
    <w:p w14:paraId="4C91555A">
      <w:pPr>
        <w:spacing w:after="0"/>
        <w:rPr>
          <w:rFonts w:hint="eastAsia" w:ascii="微软雅黑" w:hAnsi="微软雅黑" w:eastAsia="微软雅黑" w:cs="微软雅黑"/>
          <w:color w:val="000000" w:themeColor="text1"/>
          <w14:textFill>
            <w14:solidFill>
              <w14:schemeClr w14:val="tx1"/>
            </w14:solidFill>
          </w14:textFill>
        </w:rPr>
      </w:pPr>
    </w:p>
    <w:p w14:paraId="746277C9">
      <w:pPr>
        <w:spacing w:after="0"/>
        <w:rPr>
          <w:rFonts w:hint="eastAsia" w:ascii="微软雅黑" w:hAnsi="微软雅黑" w:eastAsia="微软雅黑" w:cs="微软雅黑"/>
          <w:color w:val="000000" w:themeColor="text1"/>
          <w14:textFill>
            <w14:solidFill>
              <w14:schemeClr w14:val="tx1"/>
            </w14:solidFill>
          </w14:textFill>
        </w:rPr>
      </w:pPr>
    </w:p>
    <w:p w14:paraId="3FFD15C9">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732857A5">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8.4 ST-426-I-Y-A 强度参考</w:t>
      </w:r>
    </w:p>
    <w:p w14:paraId="20C6DD6D">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4892040" cy="3670935"/>
            <wp:effectExtent l="0" t="0" r="10160" b="12065"/>
            <wp:docPr id="4" name="Picture 4" descr="图 4  本地 HOLO/OR TopHatSim.p 的 ST-426-I-Y-A 焦面线形强度参考。它不代表最终准直模块的相位。" title="图 4  本地 HOLO/OR TopHatSim.p 的 ST-426-I-Y-A 焦面线形强度参考。它不代表最终准直模块的相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本地 HOLO/OR TopHatSim.p 的 ST-426-I-Y-A 焦面线形强度参考。它不代表最终准直模块的相位。" title="图 4  本地 HOLO/OR TopHatSim.p 的 ST-426-I-Y-A 焦面线形强度参考。它不代表最终准直模块的相位。"/>
                    <pic:cNvPicPr>
                      <a:picLocks noChangeAspect="1"/>
                    </pic:cNvPicPr>
                  </pic:nvPicPr>
                  <pic:blipFill>
                    <a:blip r:embed="rId33"/>
                    <a:stretch>
                      <a:fillRect/>
                    </a:stretch>
                  </pic:blipFill>
                  <pic:spPr>
                    <a:xfrm>
                      <a:off x="0" y="0"/>
                      <a:ext cx="4892040" cy="3671360"/>
                    </a:xfrm>
                    <a:prstGeom prst="rect">
                      <a:avLst/>
                    </a:prstGeom>
                  </pic:spPr>
                </pic:pic>
              </a:graphicData>
            </a:graphic>
          </wp:inline>
        </w:drawing>
      </w:r>
    </w:p>
    <w:p w14:paraId="3D659EDF">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4  本地 HOLO/OR TopHatSim.p 的 ST-426-I-Y-A 焦面线形强度参考。它不代表最终准直模块的相位。</w:t>
      </w:r>
    </w:p>
    <w:p w14:paraId="4529504A">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该参考运行使用 355 nm、6 mm 输入光斑、15 mm CA、f=100 mm，在 R2019b 中得到约 0.452935 mm 的原生全 1/e² 线宽。它用于证明厂商黑箱的 MATLAB 调用和强度提取链路，不再用于证明终端 X 准直。</w:t>
      </w:r>
    </w:p>
    <w:p w14:paraId="4B957833">
      <w:pPr>
        <w:spacing w:after="0"/>
        <w:rPr>
          <w:rFonts w:hint="eastAsia" w:ascii="微软雅黑" w:hAnsi="微软雅黑" w:eastAsia="微软雅黑" w:cs="微软雅黑"/>
          <w:color w:val="000000" w:themeColor="text1"/>
          <w14:textFill>
            <w14:solidFill>
              <w14:schemeClr w14:val="tx1"/>
            </w14:solidFill>
          </w14:textFill>
        </w:rPr>
      </w:pPr>
    </w:p>
    <w:p w14:paraId="2FF0542A">
      <w:pPr>
        <w:rPr>
          <w:rFonts w:hint="eastAsia" w:ascii="微软雅黑" w:hAnsi="微软雅黑" w:eastAsia="微软雅黑" w:cs="微软雅黑"/>
          <w:color w:val="000000" w:themeColor="text1"/>
          <w14:textFill>
            <w14:solidFill>
              <w14:schemeClr w14:val="tx1"/>
            </w14:solidFill>
          </w14:textFill>
        </w:rPr>
      </w:pPr>
    </w:p>
    <w:p w14:paraId="67C5C5EC">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附录 B：官方资料</w:t>
      </w:r>
    </w:p>
    <w:p w14:paraId="784F7D6A">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[1] HOLO/OR, Collimated Beam Shaper Module, https://www.holoor.co.il/collimated-beam-shaper/（访问：2026-08-13）。</w:t>
      </w:r>
    </w:p>
    <w:p w14:paraId="213E53A4">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[2] HOLO/OR, Beam Shaper product page, https://www.holoor.co.il/product/beam-shaper/（访问：2026-08-13）。</w:t>
      </w:r>
    </w:p>
    <w:p w14:paraId="34998161">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[3] HOLO/OR, FAQ, https://www.holoor.co.il/faq/（访问：2026-08-13）。</w:t>
      </w:r>
    </w:p>
    <w:p w14:paraId="29F4B3FA">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[4] HOLO/OR, Beam Shaper Advantages / Single vs Multi Element, https://www.holoor.co.il/beam-shaper-advantages/（访问：2026-08-13）。</w:t>
      </w:r>
    </w:p>
    <w:p w14:paraId="71A37379">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[5] HOLO/OR, Top Hat Beam case study, https://www.holoor.co.il/top-hat-beam/（访问：2026-08-13）。</w:t>
      </w:r>
    </w:p>
    <w:p w14:paraId="7F2188F0">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[6] HOLO/OR, TH MATLAB Tutorial，本资料包 04_official_references/TH_MATLAB_Tutorial.pdf。</w:t>
      </w:r>
    </w:p>
    <w:p w14:paraId="38208896">
      <w:pPr>
        <w:spacing w:after="0"/>
        <w:rPr>
          <w:rFonts w:hint="eastAsia" w:ascii="微软雅黑" w:hAnsi="微软雅黑" w:eastAsia="微软雅黑" w:cs="微软雅黑"/>
          <w:color w:val="000000" w:themeColor="text1"/>
          <w14:textFill>
            <w14:solidFill>
              <w14:schemeClr w14:val="tx1"/>
            </w14:solidFill>
          </w14:textFill>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6019F">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391B8">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92531D"/>
    <w:rsid w:val="148C3C1A"/>
    <w:rsid w:val="2C6308E2"/>
    <w:rsid w:val="61F15812"/>
    <w:rsid w:val="6C5172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64" w:lineRule="auto"/>
    </w:pPr>
    <w:rPr>
      <w:rFonts w:ascii="微软雅黑" w:hAnsi="微软雅黑" w:eastAsia="微软雅黑" w:cs="微软雅黑"/>
      <w:color w:val="000000" w:themeColor="text1"/>
      <w:sz w:val="22"/>
      <w:szCs w:val="22"/>
      <w:lang w:val="en-US" w:eastAsia="en-US" w:bidi="ar-SA"/>
      <w14:textFill>
        <w14:solidFill>
          <w14:schemeClr w14:val="tx1"/>
        </w14:solidFill>
      </w14:textFill>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160" w:line="280" w:lineRule="auto"/>
      <w:contextualSpacing/>
    </w:pPr>
    <w:rPr>
      <w:rFonts w:ascii="Calibri" w:hAnsi="Calibri" w:eastAsia="等线"/>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160" w:line="280" w:lineRule="auto"/>
      <w:contextualSpacing/>
    </w:pPr>
    <w:rPr>
      <w:rFonts w:ascii="Calibri" w:hAnsi="Calibri" w:eastAsia="等线"/>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320"/>
    </w:pPr>
    <w:rPr>
      <w:rFonts w:asciiTheme="majorHAnsi" w:hAnsiTheme="majorHAnsi" w:eastAsiaTheme="majorEastAsia" w:cstheme="majorBidi"/>
      <w:i/>
      <w:iCs/>
      <w:color w:val="667085"/>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40" w:line="240" w:lineRule="auto"/>
      <w:contextualSpacing/>
    </w:pPr>
    <w:rPr>
      <w:rFonts w:asciiTheme="majorHAnsi" w:hAnsiTheme="majorHAnsi" w:eastAsiaTheme="majorEastAsia" w:cstheme="majorBidi"/>
      <w:color w:val="1F4E79"/>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3417</Words>
  <Characters>7426</Characters>
  <Lines>0</Lines>
  <Paragraphs>0</Paragraphs>
  <TotalTime>158</TotalTime>
  <ScaleCrop>false</ScaleCrop>
  <LinksUpToDate>false</LinksUpToDate>
  <CharactersWithSpaces>8033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Laser Simulation Project</dc:creator>
  <dc:description>generated by python-docx</dc:description>
  <cp:lastModifiedBy>吴凡</cp:lastModifiedBy>
  <dcterms:modified xsi:type="dcterms:W3CDTF">2026-08-13T06:36:59Z</dcterms:modified>
  <dc:subject>X向1.5 mm近似平行光，Y向1.0 µm聚焦，含厂商相位验收接口与自研双元件对比仿真；补充 HOLO/OR DOE 原理与 LaTeX 数学模型</dc:subject>
  <dc:title>355 nm HOLO/OR 准直线光整形与Y向聚焦技术方案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eyJoZGlkIjoiNDljOTcyNjAxM2NhYzAxMTY0ZjE1OGEwNzg3NWJlMDIiLCJ1c2VySWQiOiI1NzYyNjUwOTcifQ==</vt:lpwstr>
  </property>
  <property fmtid="{D5CDD505-2E9C-101B-9397-08002B2CF9AE}" pid="3" name="KSOProductBuildVer">
    <vt:lpwstr>2052-12.1.0.28043</vt:lpwstr>
  </property>
  <property fmtid="{D5CDD505-2E9C-101B-9397-08002B2CF9AE}" pid="4" name="ICV">
    <vt:lpwstr>3BAC05073827457DAD956661180CEA05_12</vt:lpwstr>
  </property>
</Properties>
</file>