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88F21">
      <w:pPr>
        <w:pStyle w:val="31"/>
        <w:pBdr>
          <w:top w:val="none" w:color="auto" w:sz="0" w:space="0"/>
          <w:left w:val="none" w:color="auto" w:sz="0" w:space="0"/>
          <w:bottom w:val="none" w:color="4F81BD" w:themeColor="accent1" w:sz="0" w:space="4"/>
          <w:right w:val="none" w:color="auto" w:sz="0" w:space="0"/>
          <w:between w:val="none" w:color="auto" w:sz="0" w:space="0"/>
        </w:pBdr>
        <w:jc w:val="center"/>
        <w:rPr>
          <w:rFonts w:hint="eastAsia" w:ascii="微软雅黑" w:hAnsi="微软雅黑" w:eastAsia="微软雅黑" w:cs="微软雅黑"/>
          <w:color w:val="000000" w:themeColor="text1"/>
          <w14:textFill>
            <w14:solidFill>
              <w14:schemeClr w14:val="tx1"/>
            </w14:solidFill>
          </w14:textFill>
        </w:rPr>
      </w:pPr>
      <w:r>
        <w:rPr>
          <w:rFonts w:ascii="Microsoft YaHei" w:hAnsi="Microsoft YaHei" w:eastAsia="Microsoft YaHei"/>
          <w:b/>
          <w:sz w:val="48"/>
        </w:rPr>
        <w:t>355 nm HOLO/OR 准直线光技术说明</w:t>
      </w:r>
    </w:p>
    <w:p w14:paraId="24470A0C">
      <w:pPr>
        <w:pStyle w:val="26"/>
        <w:rPr>
          <w:rFonts w:hint="eastAsia" w:ascii="微软雅黑" w:hAnsi="微软雅黑" w:eastAsia="微软雅黑" w:cs="微软雅黑"/>
          <w:i w:val="0"/>
          <w:iCs w:val="0"/>
          <w:color w:val="000000" w:themeColor="text1"/>
          <w:lang w:val="en-US" w:eastAsia="zh-CN"/>
          <w14:textFill>
            <w14:solidFill>
              <w14:schemeClr w14:val="tx1"/>
            </w14:solidFill>
          </w14:textFill>
        </w:rPr>
      </w:pPr>
      <w:r>
        <w:rPr>
          <w:rFonts w:hint="eastAsia" w:ascii="微软雅黑" w:hAnsi="微软雅黑" w:eastAsia="微软雅黑" w:cs="微软雅黑"/>
          <w:i w:val="0"/>
          <w:iCs w:val="0"/>
          <w:color w:val="000000" w:themeColor="text1"/>
          <w:lang w:val="en-US" w:eastAsia="zh-CN"/>
          <w14:textFill>
            <w14:solidFill>
              <w14:schemeClr w14:val="tx1"/>
            </w14:solidFill>
          </w14:textFill>
        </w:rPr>
        <w:t>设计要求</w:t>
      </w:r>
      <w:r>
        <w:rPr>
          <w:rFonts w:hint="eastAsia" w:ascii="微软雅黑" w:hAnsi="微软雅黑" w:eastAsia="微软雅黑" w:cs="微软雅黑"/>
          <w:i w:val="0"/>
          <w:iCs w:val="0"/>
          <w:color w:val="000000" w:themeColor="text1"/>
          <w14:textFill>
            <w14:solidFill>
              <w14:schemeClr w14:val="tx1"/>
            </w14:solidFill>
          </w14:textFill>
        </w:rPr>
        <w:t xml:space="preserve">X：1.5 mm 近似平行 Top-Hat · Y：1.0 µm 聚焦 </w:t>
      </w:r>
      <w:r>
        <w:rPr>
          <w:rFonts w:hint="eastAsia" w:ascii="微软雅黑" w:hAnsi="微软雅黑" w:eastAsia="微软雅黑" w:cs="微软雅黑"/>
          <w:i w:val="0"/>
          <w:iCs w:val="0"/>
          <w:color w:val="000000" w:themeColor="text1"/>
          <w:lang w:val="en-US" w:eastAsia="zh-CN"/>
          <w14:textFill>
            <w14:solidFill>
              <w14:schemeClr w14:val="tx1"/>
            </w14:solidFill>
          </w14:textFill>
        </w:rPr>
        <w:t xml:space="preserve"> 总长1米，最后一片镜子聚焦距离100mm</w:t>
      </w:r>
    </w:p>
    <w:p w14:paraId="717D54A9">
      <w:pPr>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b/>
          <w:color w:val="000000" w:themeColor="text1"/>
          <w14:textFill>
            <w14:solidFill>
              <w14:schemeClr w14:val="tx1"/>
            </w14:solidFill>
          </w14:textFill>
        </w:rPr>
        <w:t xml:space="preserve">设计  </w:t>
      </w:r>
      <w:r>
        <w:rPr>
          <w:rFonts w:hint="eastAsia" w:ascii="微软雅黑" w:hAnsi="微软雅黑" w:eastAsia="微软雅黑" w:cs="微软雅黑"/>
          <w:color w:val="000000" w:themeColor="text1"/>
          <w14:textFill>
            <w14:solidFill>
              <w14:schemeClr w14:val="tx1"/>
            </w14:solidFill>
          </w14:textFill>
        </w:rPr>
        <w:t>X 向采用 +160/-40 mm、间距 120 mm 的 4× 无焦缩束组，把 6 mm 准直线光缩为 1.5 mm； YFL 在 X 平面为</w:t>
      </w:r>
      <w:r>
        <w:rPr>
          <w:rFonts w:hint="eastAsia" w:ascii="微软雅黑" w:hAnsi="微软雅黑" w:eastAsia="微软雅黑" w:cs="微软雅黑"/>
          <w:color w:val="000000" w:themeColor="text1"/>
          <w:lang w:val="en-US" w:eastAsia="zh-CN"/>
          <w14:textFill>
            <w14:solidFill>
              <w14:schemeClr w14:val="tx1"/>
            </w14:solidFill>
          </w14:textFill>
        </w:rPr>
        <w:t>无光焦度</w:t>
      </w:r>
      <w:r>
        <w:rPr>
          <w:rFonts w:hint="eastAsia" w:ascii="微软雅黑" w:hAnsi="微软雅黑" w:eastAsia="微软雅黑" w:cs="微软雅黑"/>
          <w:color w:val="000000" w:themeColor="text1"/>
          <w14:textFill>
            <w14:solidFill>
              <w14:schemeClr w14:val="tx1"/>
            </w14:solidFill>
          </w14:textFill>
        </w:rPr>
        <w:t>，所以不会把 X 聚焦。Y 向独立扩束至 54.24 mm 后由 fY=100 mm 柱面镜聚焦至 1.0 µm</w:t>
      </w:r>
      <w:r>
        <w:rPr>
          <w:rFonts w:hint="eastAsia" w:cs="微软雅黑"/>
          <w:color w:val="000000" w:themeColor="text1"/>
          <w:lang w:eastAsia="zh-CN"/>
          <w14:textFill>
            <w14:solidFill>
              <w14:schemeClr w14:val="tx1"/>
            </w14:solidFill>
          </w14:textFill>
        </w:rPr>
        <w:t>。</w:t>
      </w:r>
    </w:p>
    <w:p w14:paraId="632ECBFB">
      <w:pPr>
        <w:pStyle w:val="3"/>
        <w:keepNext/>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val="en-US" w:eastAsia="zh-CN"/>
          <w14:textFill>
            <w14:solidFill>
              <w14:schemeClr w14:val="tx1"/>
            </w14:solidFill>
          </w14:textFill>
        </w:rPr>
        <w:t>方案介绍</w:t>
      </w:r>
    </w:p>
    <w:p w14:paraId="35CC021E">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本版修正了此前将 z=600 mm 元件写成 XFL/YFL 的错误。正确结构是 YFL：只对 Y 聚焦，X 方向没有光焦度；XZ 图中该元件以虚线表示，X 光束在其前后保持约 1.5 mm 宽。</w:t>
      </w:r>
    </w:p>
    <w:p w14:paraId="13CF174E">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由于最终 X 指标是“1.5 mm 近似平行光”，所选 HOLO/OR 产品为定制 Collimated Beam Shaper Module。HOLO/OR 官方资料把准直输出定义为双元件模块：第一元件完成强度重分配，第二元件展平相位。</w:t>
      </w:r>
    </w:p>
    <w:p w14:paraId="07FE2BA9">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1. 需求与设计输入</w:t>
      </w:r>
    </w:p>
    <w:tbl>
      <w:tblPr>
        <w:tblStyle w:val="33"/>
        <w:tblW w:w="9360" w:type="dxa"/>
        <w:tblInd w:w="12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60"/>
        <w:gridCol w:w="1660"/>
        <w:gridCol w:w="2236"/>
        <w:gridCol w:w="3804"/>
      </w:tblGrid>
      <w:tr w14:paraId="4A0FD2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trPr>
        <w:tc>
          <w:tcPr>
            <w:tcW w:w="1660" w:type="dxa"/>
            <w:tcBorders>
              <w:top w:val="single" w:color="auto" w:sz="12" w:space="0"/>
              <w:left w:val="single" w:color="auto" w:sz="12" w:space="0"/>
              <w:bottom w:val="nil"/>
              <w:right w:val="nil"/>
            </w:tcBorders>
            <w:shd w:val="clear" w:color="auto" w:fill="F2F4F7"/>
            <w:noWrap w:val="0"/>
            <w:tcMar>
              <w:top w:w="80" w:type="dxa"/>
              <w:left w:w="120" w:type="dxa"/>
              <w:bottom w:w="80" w:type="dxa"/>
              <w:right w:w="120" w:type="dxa"/>
            </w:tcMar>
            <w:vAlign w:val="center"/>
          </w:tcPr>
          <w:p w14:paraId="0D967362">
            <w:pPr>
              <w:snapToGrid w:val="0"/>
              <w:spacing w:line="240" w:lineRule="auto"/>
              <w:ind w:left="0" w:leftChars="0" w:right="0" w:rightChars="0" w:firstLine="0" w:firstLineChars="0"/>
              <w:jc w:val="center"/>
              <w:rPr>
                <w:rFonts w:hint="eastAsia" w:ascii="微软雅黑" w:hAnsi="微软雅黑" w:eastAsia="微软雅黑" w:cs="微软雅黑"/>
                <w:b/>
                <w:color w:val="000000" w:themeColor="text1"/>
                <w:sz w:val="16"/>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类别</w:t>
            </w:r>
          </w:p>
        </w:tc>
        <w:tc>
          <w:tcPr>
            <w:tcW w:w="1660" w:type="dxa"/>
            <w:tcBorders>
              <w:top w:val="single" w:color="auto" w:sz="12" w:space="0"/>
              <w:left w:val="single" w:color="auto" w:sz="4" w:space="0"/>
              <w:bottom w:val="nil"/>
              <w:right w:val="nil"/>
            </w:tcBorders>
            <w:shd w:val="clear" w:color="auto" w:fill="F2F4F7"/>
            <w:noWrap w:val="0"/>
            <w:tcMar>
              <w:top w:w="80" w:type="dxa"/>
              <w:left w:w="120" w:type="dxa"/>
              <w:bottom w:w="80" w:type="dxa"/>
              <w:right w:w="120" w:type="dxa"/>
            </w:tcMar>
            <w:vAlign w:val="center"/>
          </w:tcPr>
          <w:p w14:paraId="0CE7FED3">
            <w:pPr>
              <w:snapToGrid w:val="0"/>
              <w:spacing w:line="240" w:lineRule="auto"/>
              <w:ind w:left="0" w:leftChars="0" w:right="0" w:rightChars="0" w:firstLine="0" w:firstLineChars="0"/>
              <w:jc w:val="center"/>
              <w:rPr>
                <w:rFonts w:hint="eastAsia" w:ascii="微软雅黑" w:hAnsi="微软雅黑" w:eastAsia="微软雅黑" w:cs="微软雅黑"/>
                <w:b/>
                <w:color w:val="000000" w:themeColor="text1"/>
                <w:sz w:val="16"/>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参数</w:t>
            </w:r>
          </w:p>
        </w:tc>
        <w:tc>
          <w:tcPr>
            <w:tcW w:w="2236" w:type="dxa"/>
            <w:tcBorders>
              <w:top w:val="single" w:color="auto" w:sz="12" w:space="0"/>
              <w:left w:val="single" w:color="auto" w:sz="4" w:space="0"/>
              <w:bottom w:val="nil"/>
              <w:right w:val="nil"/>
            </w:tcBorders>
            <w:shd w:val="clear" w:color="auto" w:fill="F2F4F7"/>
            <w:noWrap w:val="0"/>
            <w:tcMar>
              <w:top w:w="80" w:type="dxa"/>
              <w:left w:w="120" w:type="dxa"/>
              <w:bottom w:w="80" w:type="dxa"/>
              <w:right w:w="120" w:type="dxa"/>
            </w:tcMar>
            <w:vAlign w:val="center"/>
          </w:tcPr>
          <w:p w14:paraId="61CCA5C9">
            <w:pPr>
              <w:snapToGrid w:val="0"/>
              <w:spacing w:line="240" w:lineRule="auto"/>
              <w:ind w:left="0" w:leftChars="0" w:right="0" w:rightChars="0" w:firstLine="0" w:firstLineChars="0"/>
              <w:jc w:val="center"/>
              <w:rPr>
                <w:rFonts w:hint="eastAsia" w:ascii="微软雅黑" w:hAnsi="微软雅黑" w:eastAsia="微软雅黑" w:cs="微软雅黑"/>
                <w:b/>
                <w:color w:val="000000" w:themeColor="text1"/>
                <w:sz w:val="16"/>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设计值/约束</w:t>
            </w:r>
          </w:p>
        </w:tc>
        <w:tc>
          <w:tcPr>
            <w:tcW w:w="3804" w:type="dxa"/>
            <w:tcBorders>
              <w:top w:val="single" w:color="auto" w:sz="12" w:space="0"/>
              <w:left w:val="single" w:color="auto" w:sz="4" w:space="0"/>
              <w:bottom w:val="nil"/>
              <w:right w:val="single" w:color="auto" w:sz="12" w:space="0"/>
            </w:tcBorders>
            <w:shd w:val="clear" w:color="auto" w:fill="F2F4F7"/>
            <w:noWrap w:val="0"/>
            <w:tcMar>
              <w:top w:w="80" w:type="dxa"/>
              <w:left w:w="120" w:type="dxa"/>
              <w:bottom w:w="80" w:type="dxa"/>
              <w:right w:w="120" w:type="dxa"/>
            </w:tcMar>
            <w:vAlign w:val="center"/>
          </w:tcPr>
          <w:p w14:paraId="5AA4587A">
            <w:pPr>
              <w:snapToGrid w:val="0"/>
              <w:spacing w:line="240" w:lineRule="auto"/>
              <w:ind w:left="0" w:leftChars="0" w:right="0" w:rightChars="0" w:firstLine="0" w:firstLineChars="0"/>
              <w:jc w:val="center"/>
              <w:rPr>
                <w:rFonts w:hint="eastAsia" w:ascii="微软雅黑" w:hAnsi="微软雅黑" w:eastAsia="微软雅黑" w:cs="微软雅黑"/>
                <w:b/>
                <w:color w:val="000000" w:themeColor="text1"/>
                <w:sz w:val="16"/>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定义</w:t>
            </w:r>
          </w:p>
        </w:tc>
      </w:tr>
      <w:tr w14:paraId="538AB3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14895CEF">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光源</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50062848">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波长</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2D4791D2">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355 nm</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37454DF0">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全部 DOE、透镜与镀膜按 355 nm</w:t>
            </w:r>
          </w:p>
        </w:tc>
      </w:tr>
      <w:tr w14:paraId="16236A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2BB84A23">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光源</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410A5DFC">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M²</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4E149B43">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1.2</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20E75CE5">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用于 Y 向衍射极限计算</w:t>
            </w:r>
          </w:p>
        </w:tc>
      </w:tr>
      <w:tr w14:paraId="082F8B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26C10532">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光源</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14485A46">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出口直径</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381C58E9">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1.0 mm</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2DF18A1E">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全 1/e² 直径</w:t>
            </w:r>
          </w:p>
        </w:tc>
      </w:tr>
      <w:tr w14:paraId="003602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7E490D5F">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整形模块输入</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110358A5">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圆形准直光斑</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0628907B">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6.0 mm</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326325CC">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SBE1/SBE2 扩束后；X/Y 相同</w:t>
            </w:r>
          </w:p>
        </w:tc>
      </w:tr>
      <w:tr w14:paraId="644DD3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428962A1">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终端 X</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57C100D6">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线宽</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50DFF451">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1.5 mm</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397D4E8F">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全 1/e² 宽度，近似平行光</w:t>
            </w:r>
          </w:p>
        </w:tc>
      </w:tr>
      <w:tr w14:paraId="3EF156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7558B523">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终端 X</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74EE8477">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平均残余倾角</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0A33D597">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≤10 µrad（暂定）</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78A534DC">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去除 piston 后的一阶相位斜率</w:t>
            </w:r>
          </w:p>
        </w:tc>
      </w:tr>
      <w:tr w14:paraId="368EDE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422F619F">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终端 X</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4096539F">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相位 RMS</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02CDD1B0">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≤0.10 rad（暂定）</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759184C7">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去除 piston/平均倾角后，保留曲率</w:t>
            </w:r>
          </w:p>
        </w:tc>
      </w:tr>
      <w:tr w14:paraId="0139B9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580EBDCD">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终端 X</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06C01C6D">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曲率边缘斜率</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02BCDF62">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≤50 µrad（暂定）</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2B0CD0B7">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半宽除以拟合波前曲率半径</w:t>
            </w:r>
          </w:p>
        </w:tc>
      </w:tr>
      <w:tr w14:paraId="1B6369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742ED263">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终端 Y</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619965E8">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聚焦宽度</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2F91F324">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1.0 µm</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694A8339">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全 1/e² 宽度</w:t>
            </w:r>
          </w:p>
        </w:tc>
      </w:tr>
      <w:tr w14:paraId="3216B4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rPr>
        <w:tc>
          <w:tcPr>
            <w:tcW w:w="1660" w:type="dxa"/>
            <w:tcBorders>
              <w:top w:val="single" w:color="auto" w:sz="4" w:space="0"/>
              <w:left w:val="single" w:color="auto" w:sz="12" w:space="0"/>
              <w:bottom w:val="nil"/>
              <w:right w:val="nil"/>
            </w:tcBorders>
            <w:noWrap w:val="0"/>
            <w:tcMar>
              <w:top w:w="80" w:type="dxa"/>
              <w:left w:w="120" w:type="dxa"/>
              <w:bottom w:w="80" w:type="dxa"/>
              <w:right w:w="120" w:type="dxa"/>
            </w:tcMar>
            <w:vAlign w:val="center"/>
          </w:tcPr>
          <w:p w14:paraId="2D161623">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结构</w:t>
            </w:r>
          </w:p>
        </w:tc>
        <w:tc>
          <w:tcPr>
            <w:tcW w:w="1660"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612FF96D">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 工作距离</w:t>
            </w:r>
          </w:p>
        </w:tc>
        <w:tc>
          <w:tcPr>
            <w:tcW w:w="2236" w:type="dxa"/>
            <w:tcBorders>
              <w:top w:val="single" w:color="auto" w:sz="4" w:space="0"/>
              <w:left w:val="single" w:color="auto" w:sz="4" w:space="0"/>
              <w:bottom w:val="nil"/>
              <w:right w:val="nil"/>
            </w:tcBorders>
            <w:noWrap w:val="0"/>
            <w:tcMar>
              <w:top w:w="80" w:type="dxa"/>
              <w:left w:w="120" w:type="dxa"/>
              <w:bottom w:w="80" w:type="dxa"/>
              <w:right w:w="120" w:type="dxa"/>
            </w:tcMar>
            <w:vAlign w:val="center"/>
          </w:tcPr>
          <w:p w14:paraId="5655616E">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100 mm</w:t>
            </w:r>
          </w:p>
        </w:tc>
        <w:tc>
          <w:tcPr>
            <w:tcW w:w="3804" w:type="dxa"/>
            <w:tcBorders>
              <w:top w:val="single" w:color="auto" w:sz="4" w:space="0"/>
              <w:left w:val="single" w:color="auto" w:sz="4" w:space="0"/>
              <w:bottom w:val="nil"/>
              <w:right w:val="single" w:color="auto" w:sz="12" w:space="0"/>
            </w:tcBorders>
            <w:noWrap w:val="0"/>
            <w:tcMar>
              <w:top w:w="80" w:type="dxa"/>
              <w:left w:w="120" w:type="dxa"/>
              <w:bottom w:w="80" w:type="dxa"/>
              <w:right w:w="120" w:type="dxa"/>
            </w:tcMar>
            <w:vAlign w:val="center"/>
          </w:tcPr>
          <w:p w14:paraId="370DBD8F">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6"/>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YFL 至目标面</w:t>
            </w:r>
          </w:p>
        </w:tc>
      </w:tr>
    </w:tbl>
    <w:p w14:paraId="472233C9">
      <w:pPr>
        <w:spacing w:after="0"/>
        <w:rPr>
          <w:rFonts w:hint="eastAsia" w:ascii="微软雅黑" w:hAnsi="微软雅黑" w:eastAsia="微软雅黑" w:cs="微软雅黑"/>
          <w:color w:val="000000" w:themeColor="text1"/>
          <w14:textFill>
            <w14:solidFill>
              <w14:schemeClr w14:val="tx1"/>
            </w14:solidFill>
          </w14:textFill>
        </w:rPr>
      </w:pPr>
    </w:p>
    <w:p w14:paraId="4279B893">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2. HOLO/OR 产品选择</w:t>
      </w:r>
    </w:p>
    <w:p w14:paraId="30579CDD">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最终选择：HOLO/OR Collimated Beam Shaper Module，定制 355 nm、6 mm 输入、X 向线形平顶输出。官方页面给出该系列可定制 lines 等形状，并说明输出形状可在较长传播范围保持准直；正式尺寸、效率、口径和料号必须由 HOLO/OR 报价确认。</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2"/>
        <w:gridCol w:w="6258"/>
      </w:tblGrid>
      <w:tr w14:paraId="6C059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3102" w:type="dxa"/>
            <w:shd w:val="clear" w:color="auto" w:fill="F2F4F7"/>
            <w:tcMar>
              <w:top w:w="80" w:type="dxa"/>
              <w:left w:w="120" w:type="dxa"/>
              <w:bottom w:w="80" w:type="dxa"/>
              <w:right w:w="120" w:type="dxa"/>
            </w:tcMar>
            <w:vAlign w:val="center"/>
          </w:tcPr>
          <w:p w14:paraId="51ECCF8E">
            <w:pPr>
              <w:snapToGrid w:val="0"/>
              <w:spacing w:line="240" w:lineRule="auto"/>
              <w:ind w:left="0" w:leftChars="0" w:right="0" w:rightChars="0" w:firstLine="0" w:firstLineChars="0"/>
              <w:jc w:val="center"/>
              <w:rPr>
                <w:rFonts w:hint="eastAsia" w:ascii="微软雅黑" w:hAnsi="微软雅黑" w:eastAsia="微软雅黑" w:cs="微软雅黑"/>
                <w:b/>
                <w:color w:val="000000" w:themeColor="text1"/>
                <w:sz w:val="17"/>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项目</w:t>
            </w:r>
          </w:p>
        </w:tc>
        <w:tc>
          <w:tcPr>
            <w:tcW w:w="6258" w:type="dxa"/>
            <w:shd w:val="clear" w:color="auto" w:fill="F2F4F7"/>
            <w:tcMar>
              <w:top w:w="80" w:type="dxa"/>
              <w:left w:w="120" w:type="dxa"/>
              <w:bottom w:w="80" w:type="dxa"/>
              <w:right w:w="120" w:type="dxa"/>
            </w:tcMar>
            <w:vAlign w:val="center"/>
          </w:tcPr>
          <w:p w14:paraId="2F6E2F76">
            <w:pPr>
              <w:snapToGrid w:val="0"/>
              <w:spacing w:line="240" w:lineRule="auto"/>
              <w:ind w:left="0" w:leftChars="0" w:right="0" w:rightChars="0" w:firstLine="0" w:firstLineChars="0"/>
              <w:jc w:val="center"/>
              <w:rPr>
                <w:rFonts w:hint="eastAsia" w:ascii="微软雅黑" w:hAnsi="微软雅黑" w:eastAsia="微软雅黑" w:cs="微软雅黑"/>
                <w:b/>
                <w:color w:val="000000" w:themeColor="text1"/>
                <w:sz w:val="17"/>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最终路线</w:t>
            </w:r>
          </w:p>
        </w:tc>
      </w:tr>
      <w:tr w14:paraId="2F76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02" w:type="dxa"/>
            <w:tcMar>
              <w:top w:w="80" w:type="dxa"/>
              <w:left w:w="120" w:type="dxa"/>
              <w:bottom w:w="80" w:type="dxa"/>
              <w:right w:w="120" w:type="dxa"/>
            </w:tcMar>
            <w:vAlign w:val="center"/>
          </w:tcPr>
          <w:p w14:paraId="078ED6E5">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HOLO/OR 系列</w:t>
            </w:r>
          </w:p>
        </w:tc>
        <w:tc>
          <w:tcPr>
            <w:tcW w:w="6258" w:type="dxa"/>
            <w:tcMar>
              <w:top w:w="80" w:type="dxa"/>
              <w:left w:w="120" w:type="dxa"/>
              <w:bottom w:w="80" w:type="dxa"/>
              <w:right w:w="120" w:type="dxa"/>
            </w:tcMar>
            <w:vAlign w:val="center"/>
          </w:tcPr>
          <w:p w14:paraId="00A00B65">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Collimated Beam Shaper Module</w:t>
            </w:r>
          </w:p>
        </w:tc>
      </w:tr>
      <w:tr w14:paraId="35B3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02" w:type="dxa"/>
            <w:tcMar>
              <w:top w:w="80" w:type="dxa"/>
              <w:left w:w="120" w:type="dxa"/>
              <w:bottom w:w="80" w:type="dxa"/>
              <w:right w:w="120" w:type="dxa"/>
            </w:tcMar>
            <w:vAlign w:val="center"/>
          </w:tcPr>
          <w:p w14:paraId="675DC051">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输出物理量</w:t>
            </w:r>
          </w:p>
        </w:tc>
        <w:tc>
          <w:tcPr>
            <w:tcW w:w="6258" w:type="dxa"/>
            <w:tcMar>
              <w:top w:w="80" w:type="dxa"/>
              <w:left w:w="120" w:type="dxa"/>
              <w:bottom w:w="80" w:type="dxa"/>
              <w:right w:w="120" w:type="dxa"/>
            </w:tcMar>
            <w:vAlign w:val="center"/>
          </w:tcPr>
          <w:p w14:paraId="3FC9C5AA">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准直线形强度 + 展平波前</w:t>
            </w:r>
          </w:p>
        </w:tc>
      </w:tr>
      <w:tr w14:paraId="5594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02" w:type="dxa"/>
            <w:tcMar>
              <w:top w:w="80" w:type="dxa"/>
              <w:left w:w="120" w:type="dxa"/>
              <w:bottom w:w="80" w:type="dxa"/>
              <w:right w:w="120" w:type="dxa"/>
            </w:tcMar>
            <w:vAlign w:val="center"/>
          </w:tcPr>
          <w:p w14:paraId="7FCA47C5">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元件数</w:t>
            </w:r>
          </w:p>
        </w:tc>
        <w:tc>
          <w:tcPr>
            <w:tcW w:w="6258" w:type="dxa"/>
            <w:tcMar>
              <w:top w:w="80" w:type="dxa"/>
              <w:left w:w="120" w:type="dxa"/>
              <w:bottom w:w="80" w:type="dxa"/>
              <w:right w:w="120" w:type="dxa"/>
            </w:tcMar>
            <w:vAlign w:val="center"/>
          </w:tcPr>
          <w:p w14:paraId="5FDA51CD">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厂商说明为双元件模块</w:t>
            </w:r>
          </w:p>
        </w:tc>
      </w:tr>
      <w:tr w14:paraId="62EEF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02" w:type="dxa"/>
            <w:tcMar>
              <w:top w:w="80" w:type="dxa"/>
              <w:left w:w="120" w:type="dxa"/>
              <w:bottom w:w="80" w:type="dxa"/>
              <w:right w:w="120" w:type="dxa"/>
            </w:tcMar>
            <w:vAlign w:val="center"/>
          </w:tcPr>
          <w:p w14:paraId="4CA8CCCF">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对本项目作用</w:t>
            </w:r>
          </w:p>
        </w:tc>
        <w:tc>
          <w:tcPr>
            <w:tcW w:w="6258" w:type="dxa"/>
            <w:tcMar>
              <w:top w:w="80" w:type="dxa"/>
              <w:left w:w="120" w:type="dxa"/>
              <w:bottom w:w="80" w:type="dxa"/>
              <w:right w:w="120" w:type="dxa"/>
            </w:tcMar>
            <w:vAlign w:val="center"/>
          </w:tcPr>
          <w:p w14:paraId="6F076833">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满足 X 近似平行光的产品架构</w:t>
            </w:r>
          </w:p>
        </w:tc>
      </w:tr>
      <w:tr w14:paraId="629E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3102" w:type="dxa"/>
            <w:tcMar>
              <w:top w:w="80" w:type="dxa"/>
              <w:left w:w="120" w:type="dxa"/>
              <w:bottom w:w="80" w:type="dxa"/>
              <w:right w:w="120" w:type="dxa"/>
            </w:tcMar>
            <w:vAlign w:val="center"/>
          </w:tcPr>
          <w:p w14:paraId="2EB00EFE">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型号状态</w:t>
            </w:r>
          </w:p>
        </w:tc>
        <w:tc>
          <w:tcPr>
            <w:tcW w:w="6258" w:type="dxa"/>
            <w:tcMar>
              <w:top w:w="80" w:type="dxa"/>
              <w:left w:w="120" w:type="dxa"/>
              <w:bottom w:w="80" w:type="dxa"/>
              <w:right w:w="120" w:type="dxa"/>
            </w:tcMar>
            <w:vAlign w:val="center"/>
          </w:tcPr>
          <w:p w14:paraId="22AB3D4E">
            <w:pPr>
              <w:snapToGrid w:val="0"/>
              <w:spacing w:after="0" w:line="240" w:lineRule="auto"/>
              <w:ind w:left="0" w:leftChars="0" w:right="0" w:rightChars="0" w:firstLine="0" w:firstLineChars="0"/>
              <w:jc w:val="left"/>
              <w:rPr>
                <w:rFonts w:hint="eastAsia" w:ascii="微软雅黑" w:hAnsi="微软雅黑" w:eastAsia="微软雅黑" w:cs="微软雅黑"/>
                <w:color w:val="000000" w:themeColor="text1"/>
                <w:sz w:val="17"/>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定制 RFQ；正式 PN 待厂商确认</w:t>
            </w:r>
          </w:p>
        </w:tc>
      </w:tr>
    </w:tbl>
    <w:p w14:paraId="3303243C">
      <w:pPr>
        <w:spacing w:after="0"/>
        <w:rPr>
          <w:rFonts w:hint="eastAsia" w:ascii="微软雅黑" w:hAnsi="微软雅黑" w:eastAsia="微软雅黑" w:cs="微软雅黑"/>
          <w:color w:val="000000" w:themeColor="text1"/>
          <w14:textFill>
            <w14:solidFill>
              <w14:schemeClr w14:val="tx1"/>
            </w14:solidFill>
          </w14:textFill>
        </w:rPr>
      </w:pPr>
    </w:p>
    <w:p w14:paraId="0F4CEE71">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3. 系统方案与元件表</w:t>
      </w:r>
    </w:p>
    <w:p w14:paraId="534E5AE6">
      <w:pPr>
        <w:pStyle w:val="4"/>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3.1 功能链</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500"/>
        <w:gridCol w:w="5960"/>
      </w:tblGrid>
      <w:tr w14:paraId="7234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900" w:type="dxa"/>
            <w:shd w:val="clear" w:color="auto" w:fill="F2F4F7"/>
            <w:tcMar>
              <w:top w:w="80" w:type="dxa"/>
              <w:left w:w="120" w:type="dxa"/>
              <w:bottom w:w="80" w:type="dxa"/>
              <w:right w:w="120" w:type="dxa"/>
            </w:tcMar>
            <w:vAlign w:val="center"/>
          </w:tcPr>
          <w:p w14:paraId="31AA5340">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阶段</w:t>
            </w:r>
          </w:p>
        </w:tc>
        <w:tc>
          <w:tcPr>
            <w:tcW w:w="1500" w:type="dxa"/>
            <w:shd w:val="clear" w:color="auto" w:fill="F2F4F7"/>
            <w:tcMar>
              <w:top w:w="80" w:type="dxa"/>
              <w:left w:w="120" w:type="dxa"/>
              <w:bottom w:w="80" w:type="dxa"/>
              <w:right w:w="120" w:type="dxa"/>
            </w:tcMar>
            <w:vAlign w:val="center"/>
          </w:tcPr>
          <w:p w14:paraId="2789AEE1">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作用轴</w:t>
            </w:r>
          </w:p>
        </w:tc>
        <w:tc>
          <w:tcPr>
            <w:tcW w:w="5960" w:type="dxa"/>
            <w:shd w:val="clear" w:color="auto" w:fill="F2F4F7"/>
            <w:tcMar>
              <w:top w:w="80" w:type="dxa"/>
              <w:left w:w="120" w:type="dxa"/>
              <w:bottom w:w="80" w:type="dxa"/>
              <w:right w:w="120" w:type="dxa"/>
            </w:tcMar>
            <w:vAlign w:val="center"/>
          </w:tcPr>
          <w:p w14:paraId="3C49C372">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功能</w:t>
            </w:r>
          </w:p>
        </w:tc>
      </w:tr>
      <w:tr w14:paraId="3291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Mar>
              <w:top w:w="80" w:type="dxa"/>
              <w:left w:w="120" w:type="dxa"/>
              <w:bottom w:w="80" w:type="dxa"/>
              <w:right w:w="120" w:type="dxa"/>
            </w:tcMar>
            <w:vAlign w:val="center"/>
          </w:tcPr>
          <w:p w14:paraId="41F3C301">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SBE1/SBE2</w:t>
            </w:r>
          </w:p>
        </w:tc>
        <w:tc>
          <w:tcPr>
            <w:tcW w:w="1500" w:type="dxa"/>
            <w:tcMar>
              <w:top w:w="80" w:type="dxa"/>
              <w:left w:w="120" w:type="dxa"/>
              <w:bottom w:w="80" w:type="dxa"/>
              <w:right w:w="120" w:type="dxa"/>
            </w:tcMar>
            <w:vAlign w:val="center"/>
          </w:tcPr>
          <w:p w14:paraId="3ABACAD0">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X + Y</w:t>
            </w:r>
          </w:p>
        </w:tc>
        <w:tc>
          <w:tcPr>
            <w:tcW w:w="5960" w:type="dxa"/>
            <w:tcMar>
              <w:top w:w="80" w:type="dxa"/>
              <w:left w:w="120" w:type="dxa"/>
              <w:bottom w:w="80" w:type="dxa"/>
              <w:right w:w="120" w:type="dxa"/>
            </w:tcMar>
            <w:vAlign w:val="center"/>
          </w:tcPr>
          <w:p w14:paraId="4813E0D4">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激光后的第一组圆对称 6× 扩束；输出约 6 mm 准直圆斑</w:t>
            </w:r>
          </w:p>
        </w:tc>
      </w:tr>
      <w:tr w14:paraId="3E7F7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Mar>
              <w:top w:w="80" w:type="dxa"/>
              <w:left w:w="120" w:type="dxa"/>
              <w:bottom w:w="80" w:type="dxa"/>
              <w:right w:w="120" w:type="dxa"/>
            </w:tcMar>
            <w:vAlign w:val="center"/>
          </w:tcPr>
          <w:p w14:paraId="6C0503E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CBSM1/CBSM2</w:t>
            </w:r>
          </w:p>
        </w:tc>
        <w:tc>
          <w:tcPr>
            <w:tcW w:w="1500" w:type="dxa"/>
            <w:tcMar>
              <w:top w:w="80" w:type="dxa"/>
              <w:left w:w="120" w:type="dxa"/>
              <w:bottom w:w="80" w:type="dxa"/>
              <w:right w:w="120" w:type="dxa"/>
            </w:tcMar>
            <w:vAlign w:val="center"/>
          </w:tcPr>
          <w:p w14:paraId="2D4B67CE">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X</w:t>
            </w:r>
          </w:p>
        </w:tc>
        <w:tc>
          <w:tcPr>
            <w:tcW w:w="5960" w:type="dxa"/>
            <w:tcMar>
              <w:top w:w="80" w:type="dxa"/>
              <w:left w:w="120" w:type="dxa"/>
              <w:bottom w:w="80" w:type="dxa"/>
              <w:right w:w="120" w:type="dxa"/>
            </w:tcMar>
            <w:vAlign w:val="center"/>
          </w:tcPr>
          <w:p w14:paraId="2D4B06CC">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第一元件强度映射，第二元件相位展平；Y 不变</w:t>
            </w:r>
          </w:p>
        </w:tc>
      </w:tr>
      <w:tr w14:paraId="5B6E8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Mar>
              <w:top w:w="80" w:type="dxa"/>
              <w:left w:w="120" w:type="dxa"/>
              <w:bottom w:w="80" w:type="dxa"/>
              <w:right w:w="120" w:type="dxa"/>
            </w:tcMar>
            <w:vAlign w:val="center"/>
          </w:tcPr>
          <w:p w14:paraId="53ACF67A">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YBE1/YBE2</w:t>
            </w:r>
          </w:p>
        </w:tc>
        <w:tc>
          <w:tcPr>
            <w:tcW w:w="1500" w:type="dxa"/>
            <w:tcMar>
              <w:top w:w="80" w:type="dxa"/>
              <w:left w:w="120" w:type="dxa"/>
              <w:bottom w:w="80" w:type="dxa"/>
              <w:right w:w="120" w:type="dxa"/>
            </w:tcMar>
            <w:vAlign w:val="center"/>
          </w:tcPr>
          <w:p w14:paraId="2FF0E0F2">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Y</w:t>
            </w:r>
          </w:p>
        </w:tc>
        <w:tc>
          <w:tcPr>
            <w:tcW w:w="5960" w:type="dxa"/>
            <w:tcMar>
              <w:top w:w="80" w:type="dxa"/>
              <w:left w:w="120" w:type="dxa"/>
              <w:bottom w:w="80" w:type="dxa"/>
              <w:right w:w="120" w:type="dxa"/>
            </w:tcMar>
            <w:vAlign w:val="center"/>
          </w:tcPr>
          <w:p w14:paraId="6CC90B40">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9.040× Y 向扩束，X 不变</w:t>
            </w:r>
          </w:p>
        </w:tc>
      </w:tr>
      <w:tr w14:paraId="4D41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Mar>
              <w:top w:w="80" w:type="dxa"/>
              <w:left w:w="120" w:type="dxa"/>
              <w:bottom w:w="80" w:type="dxa"/>
              <w:right w:w="120" w:type="dxa"/>
            </w:tcMar>
            <w:vAlign w:val="center"/>
          </w:tcPr>
          <w:p w14:paraId="64BD7890">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CXC1/CXC2</w:t>
            </w:r>
          </w:p>
        </w:tc>
        <w:tc>
          <w:tcPr>
            <w:tcW w:w="1500" w:type="dxa"/>
            <w:tcMar>
              <w:top w:w="80" w:type="dxa"/>
              <w:left w:w="120" w:type="dxa"/>
              <w:bottom w:w="80" w:type="dxa"/>
              <w:right w:w="120" w:type="dxa"/>
            </w:tcMar>
            <w:vAlign w:val="center"/>
          </w:tcPr>
          <w:p w14:paraId="60175CA4">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X</w:t>
            </w:r>
          </w:p>
        </w:tc>
        <w:tc>
          <w:tcPr>
            <w:tcW w:w="5960" w:type="dxa"/>
            <w:tcMar>
              <w:top w:w="80" w:type="dxa"/>
              <w:left w:w="120" w:type="dxa"/>
              <w:bottom w:w="80" w:type="dxa"/>
              <w:right w:w="120" w:type="dxa"/>
            </w:tcMar>
            <w:vAlign w:val="center"/>
          </w:tcPr>
          <w:p w14:paraId="43222E5C">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+160/-40 mm、间距 120 mm 的 4× 无焦缩束，6 mm→1.5 mm</w:t>
            </w:r>
          </w:p>
        </w:tc>
      </w:tr>
      <w:tr w14:paraId="58090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Mar>
              <w:top w:w="80" w:type="dxa"/>
              <w:left w:w="120" w:type="dxa"/>
              <w:bottom w:w="80" w:type="dxa"/>
              <w:right w:w="120" w:type="dxa"/>
            </w:tcMar>
            <w:vAlign w:val="center"/>
          </w:tcPr>
          <w:p w14:paraId="24FB6A4E">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YFL</w:t>
            </w:r>
          </w:p>
        </w:tc>
        <w:tc>
          <w:tcPr>
            <w:tcW w:w="1500" w:type="dxa"/>
            <w:tcMar>
              <w:top w:w="80" w:type="dxa"/>
              <w:left w:w="120" w:type="dxa"/>
              <w:bottom w:w="80" w:type="dxa"/>
              <w:right w:w="120" w:type="dxa"/>
            </w:tcMar>
            <w:vAlign w:val="center"/>
          </w:tcPr>
          <w:p w14:paraId="76D02719">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Y</w:t>
            </w:r>
          </w:p>
        </w:tc>
        <w:tc>
          <w:tcPr>
            <w:tcW w:w="5960" w:type="dxa"/>
            <w:tcMar>
              <w:top w:w="80" w:type="dxa"/>
              <w:left w:w="120" w:type="dxa"/>
              <w:bottom w:w="80" w:type="dxa"/>
              <w:right w:w="120" w:type="dxa"/>
            </w:tcMar>
            <w:vAlign w:val="center"/>
          </w:tcPr>
          <w:p w14:paraId="37A669B4">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fY=100 mm；X 光焦度=0</w:t>
            </w:r>
          </w:p>
        </w:tc>
      </w:tr>
      <w:tr w14:paraId="68AD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Mar>
              <w:top w:w="80" w:type="dxa"/>
              <w:left w:w="120" w:type="dxa"/>
              <w:bottom w:w="80" w:type="dxa"/>
              <w:right w:w="120" w:type="dxa"/>
            </w:tcMar>
            <w:vAlign w:val="center"/>
          </w:tcPr>
          <w:p w14:paraId="2C3E2783">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TARGET</w:t>
            </w:r>
          </w:p>
        </w:tc>
        <w:tc>
          <w:tcPr>
            <w:tcW w:w="1500" w:type="dxa"/>
            <w:tcMar>
              <w:top w:w="80" w:type="dxa"/>
              <w:left w:w="120" w:type="dxa"/>
              <w:bottom w:w="80" w:type="dxa"/>
              <w:right w:w="120" w:type="dxa"/>
            </w:tcMar>
            <w:vAlign w:val="center"/>
          </w:tcPr>
          <w:p w14:paraId="6E029E8E">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X + Y</w:t>
            </w:r>
          </w:p>
        </w:tc>
        <w:tc>
          <w:tcPr>
            <w:tcW w:w="5960" w:type="dxa"/>
            <w:tcMar>
              <w:top w:w="80" w:type="dxa"/>
              <w:left w:w="120" w:type="dxa"/>
              <w:bottom w:w="80" w:type="dxa"/>
              <w:right w:w="120" w:type="dxa"/>
            </w:tcMar>
            <w:vAlign w:val="center"/>
          </w:tcPr>
          <w:p w14:paraId="5017FB02">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X 为 1.5 mm 近似平行线光；Y 为 1.0 µm 焦斑</w:t>
            </w:r>
          </w:p>
        </w:tc>
      </w:tr>
    </w:tbl>
    <w:p w14:paraId="7784B0F9">
      <w:pPr>
        <w:spacing w:after="0"/>
        <w:rPr>
          <w:rFonts w:hint="eastAsia" w:ascii="微软雅黑" w:hAnsi="微软雅黑" w:eastAsia="微软雅黑" w:cs="微软雅黑"/>
          <w:color w:val="000000" w:themeColor="text1"/>
          <w14:textFill>
            <w14:solidFill>
              <w14:schemeClr w14:val="tx1"/>
            </w14:solidFill>
          </w14:textFill>
        </w:rPr>
      </w:pPr>
    </w:p>
    <w:p w14:paraId="113989B0">
      <w:pPr>
        <w:pStyle w:val="4"/>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3.2 元件位置与光焦度</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900"/>
        <w:gridCol w:w="1200"/>
        <w:gridCol w:w="2200"/>
        <w:gridCol w:w="4210"/>
      </w:tblGrid>
      <w:tr w14:paraId="6BEB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850" w:type="dxa"/>
            <w:shd w:val="clear" w:color="auto" w:fill="F2F4F7"/>
            <w:tcMar>
              <w:top w:w="80" w:type="dxa"/>
              <w:left w:w="120" w:type="dxa"/>
              <w:bottom w:w="80" w:type="dxa"/>
              <w:right w:w="120" w:type="dxa"/>
            </w:tcMar>
            <w:vAlign w:val="center"/>
          </w:tcPr>
          <w:p w14:paraId="144352D3">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ID</w:t>
            </w:r>
          </w:p>
        </w:tc>
        <w:tc>
          <w:tcPr>
            <w:tcW w:w="900" w:type="dxa"/>
            <w:shd w:val="clear" w:color="auto" w:fill="F2F4F7"/>
            <w:tcMar>
              <w:top w:w="80" w:type="dxa"/>
              <w:left w:w="120" w:type="dxa"/>
              <w:bottom w:w="80" w:type="dxa"/>
              <w:right w:w="120" w:type="dxa"/>
            </w:tcMar>
            <w:vAlign w:val="center"/>
          </w:tcPr>
          <w:p w14:paraId="73334BA0">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Z / mm</w:t>
            </w:r>
          </w:p>
        </w:tc>
        <w:tc>
          <w:tcPr>
            <w:tcW w:w="1200" w:type="dxa"/>
            <w:shd w:val="clear" w:color="auto" w:fill="F2F4F7"/>
            <w:tcMar>
              <w:top w:w="80" w:type="dxa"/>
              <w:left w:w="120" w:type="dxa"/>
              <w:bottom w:w="80" w:type="dxa"/>
              <w:right w:w="120" w:type="dxa"/>
            </w:tcMar>
            <w:vAlign w:val="center"/>
          </w:tcPr>
          <w:p w14:paraId="605680B4">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作用轴</w:t>
            </w:r>
          </w:p>
        </w:tc>
        <w:tc>
          <w:tcPr>
            <w:tcW w:w="2200" w:type="dxa"/>
            <w:shd w:val="clear" w:color="auto" w:fill="F2F4F7"/>
            <w:tcMar>
              <w:top w:w="80" w:type="dxa"/>
              <w:left w:w="120" w:type="dxa"/>
              <w:bottom w:w="80" w:type="dxa"/>
              <w:right w:w="120" w:type="dxa"/>
            </w:tcMar>
            <w:vAlign w:val="center"/>
          </w:tcPr>
          <w:p w14:paraId="122AAF3D">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焦距 / 功能</w:t>
            </w:r>
          </w:p>
        </w:tc>
        <w:tc>
          <w:tcPr>
            <w:tcW w:w="4210" w:type="dxa"/>
            <w:shd w:val="clear" w:color="auto" w:fill="F2F4F7"/>
            <w:tcMar>
              <w:top w:w="80" w:type="dxa"/>
              <w:left w:w="120" w:type="dxa"/>
              <w:bottom w:w="80" w:type="dxa"/>
              <w:right w:w="120" w:type="dxa"/>
            </w:tcMar>
            <w:vAlign w:val="center"/>
          </w:tcPr>
          <w:p w14:paraId="5618B885">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6"/>
                <w14:textFill>
                  <w14:solidFill>
                    <w14:schemeClr w14:val="tx1"/>
                  </w14:solidFill>
                </w14:textFill>
              </w:rPr>
              <w:t>说明</w:t>
            </w:r>
          </w:p>
        </w:tc>
      </w:tr>
      <w:tr w14:paraId="3CE2E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4E1DF6FF">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LASER</w:t>
            </w:r>
          </w:p>
        </w:tc>
        <w:tc>
          <w:tcPr>
            <w:tcW w:w="900" w:type="dxa"/>
            <w:tcMar>
              <w:top w:w="80" w:type="dxa"/>
              <w:left w:w="120" w:type="dxa"/>
              <w:bottom w:w="80" w:type="dxa"/>
              <w:right w:w="120" w:type="dxa"/>
            </w:tcMar>
            <w:vAlign w:val="center"/>
          </w:tcPr>
          <w:p w14:paraId="26B561B7">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0</w:t>
            </w:r>
          </w:p>
        </w:tc>
        <w:tc>
          <w:tcPr>
            <w:tcW w:w="1200" w:type="dxa"/>
            <w:tcMar>
              <w:top w:w="80" w:type="dxa"/>
              <w:left w:w="120" w:type="dxa"/>
              <w:bottom w:w="80" w:type="dxa"/>
              <w:right w:w="120" w:type="dxa"/>
            </w:tcMar>
            <w:vAlign w:val="center"/>
          </w:tcPr>
          <w:p w14:paraId="26AF2404">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w:t>
            </w:r>
          </w:p>
        </w:tc>
        <w:tc>
          <w:tcPr>
            <w:tcW w:w="2200" w:type="dxa"/>
            <w:tcMar>
              <w:top w:w="80" w:type="dxa"/>
              <w:left w:w="120" w:type="dxa"/>
              <w:bottom w:w="80" w:type="dxa"/>
              <w:right w:w="120" w:type="dxa"/>
            </w:tcMar>
            <w:vAlign w:val="center"/>
          </w:tcPr>
          <w:p w14:paraId="78E79A71">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355 nm</w:t>
            </w:r>
          </w:p>
        </w:tc>
        <w:tc>
          <w:tcPr>
            <w:tcW w:w="4210" w:type="dxa"/>
            <w:tcMar>
              <w:top w:w="80" w:type="dxa"/>
              <w:left w:w="120" w:type="dxa"/>
              <w:bottom w:w="80" w:type="dxa"/>
              <w:right w:w="120" w:type="dxa"/>
            </w:tcMar>
            <w:vAlign w:val="center"/>
          </w:tcPr>
          <w:p w14:paraId="419CF5BC">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出口全 1/e² 直径约 1.0 mm</w:t>
            </w:r>
          </w:p>
        </w:tc>
      </w:tr>
      <w:tr w14:paraId="47AB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7D8813E9">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SBE1</w:t>
            </w:r>
          </w:p>
        </w:tc>
        <w:tc>
          <w:tcPr>
            <w:tcW w:w="900" w:type="dxa"/>
            <w:tcMar>
              <w:top w:w="80" w:type="dxa"/>
              <w:left w:w="120" w:type="dxa"/>
              <w:bottom w:w="80" w:type="dxa"/>
              <w:right w:w="120" w:type="dxa"/>
            </w:tcMar>
            <w:vAlign w:val="center"/>
          </w:tcPr>
          <w:p w14:paraId="0D805E19">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30</w:t>
            </w:r>
          </w:p>
        </w:tc>
        <w:tc>
          <w:tcPr>
            <w:tcW w:w="1200" w:type="dxa"/>
            <w:tcMar>
              <w:top w:w="80" w:type="dxa"/>
              <w:left w:w="120" w:type="dxa"/>
              <w:bottom w:w="80" w:type="dxa"/>
              <w:right w:w="120" w:type="dxa"/>
            </w:tcMar>
            <w:vAlign w:val="center"/>
          </w:tcPr>
          <w:p w14:paraId="3D2A1F92">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X=Y</w:t>
            </w:r>
          </w:p>
        </w:tc>
        <w:tc>
          <w:tcPr>
            <w:tcW w:w="2200" w:type="dxa"/>
            <w:tcMar>
              <w:top w:w="80" w:type="dxa"/>
              <w:left w:w="120" w:type="dxa"/>
              <w:bottom w:w="80" w:type="dxa"/>
              <w:right w:w="120" w:type="dxa"/>
            </w:tcMar>
            <w:vAlign w:val="center"/>
          </w:tcPr>
          <w:p w14:paraId="435FD167">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f=-10 mm</w:t>
            </w:r>
          </w:p>
        </w:tc>
        <w:tc>
          <w:tcPr>
            <w:tcW w:w="4210" w:type="dxa"/>
            <w:tcMar>
              <w:top w:w="80" w:type="dxa"/>
              <w:left w:w="120" w:type="dxa"/>
              <w:bottom w:w="80" w:type="dxa"/>
              <w:right w:w="120" w:type="dxa"/>
            </w:tcMar>
            <w:vAlign w:val="center"/>
          </w:tcPr>
          <w:p w14:paraId="70B5BFB7">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第一光学元件；圆对称负透镜</w:t>
            </w:r>
          </w:p>
        </w:tc>
      </w:tr>
      <w:tr w14:paraId="5D483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5339E467">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SBE2</w:t>
            </w:r>
          </w:p>
        </w:tc>
        <w:tc>
          <w:tcPr>
            <w:tcW w:w="900" w:type="dxa"/>
            <w:tcMar>
              <w:top w:w="80" w:type="dxa"/>
              <w:left w:w="120" w:type="dxa"/>
              <w:bottom w:w="80" w:type="dxa"/>
              <w:right w:w="120" w:type="dxa"/>
            </w:tcMar>
            <w:vAlign w:val="center"/>
          </w:tcPr>
          <w:p w14:paraId="320AC1E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80</w:t>
            </w:r>
          </w:p>
        </w:tc>
        <w:tc>
          <w:tcPr>
            <w:tcW w:w="1200" w:type="dxa"/>
            <w:tcMar>
              <w:top w:w="80" w:type="dxa"/>
              <w:left w:w="120" w:type="dxa"/>
              <w:bottom w:w="80" w:type="dxa"/>
              <w:right w:w="120" w:type="dxa"/>
            </w:tcMar>
            <w:vAlign w:val="center"/>
          </w:tcPr>
          <w:p w14:paraId="08E8579C">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X=Y</w:t>
            </w:r>
          </w:p>
        </w:tc>
        <w:tc>
          <w:tcPr>
            <w:tcW w:w="2200" w:type="dxa"/>
            <w:tcMar>
              <w:top w:w="80" w:type="dxa"/>
              <w:left w:w="120" w:type="dxa"/>
              <w:bottom w:w="80" w:type="dxa"/>
              <w:right w:w="120" w:type="dxa"/>
            </w:tcMar>
            <w:vAlign w:val="center"/>
          </w:tcPr>
          <w:p w14:paraId="50065221">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f=+60 mm</w:t>
            </w:r>
          </w:p>
        </w:tc>
        <w:tc>
          <w:tcPr>
            <w:tcW w:w="4210" w:type="dxa"/>
            <w:tcMar>
              <w:top w:w="80" w:type="dxa"/>
              <w:left w:w="120" w:type="dxa"/>
              <w:bottom w:w="80" w:type="dxa"/>
              <w:right w:w="120" w:type="dxa"/>
            </w:tcMar>
            <w:vAlign w:val="center"/>
          </w:tcPr>
          <w:p w14:paraId="65168F07">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与 SBE1 构成唯一圆对称 6× 扩束组</w:t>
            </w:r>
          </w:p>
        </w:tc>
      </w:tr>
      <w:tr w14:paraId="5E5D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77B0BD3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CBSM1</w:t>
            </w:r>
          </w:p>
        </w:tc>
        <w:tc>
          <w:tcPr>
            <w:tcW w:w="900" w:type="dxa"/>
            <w:tcMar>
              <w:top w:w="80" w:type="dxa"/>
              <w:left w:w="120" w:type="dxa"/>
              <w:bottom w:w="80" w:type="dxa"/>
              <w:right w:w="120" w:type="dxa"/>
            </w:tcMar>
            <w:vAlign w:val="center"/>
          </w:tcPr>
          <w:p w14:paraId="4C84400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150</w:t>
            </w:r>
          </w:p>
        </w:tc>
        <w:tc>
          <w:tcPr>
            <w:tcW w:w="1200" w:type="dxa"/>
            <w:tcMar>
              <w:top w:w="80" w:type="dxa"/>
              <w:left w:w="120" w:type="dxa"/>
              <w:bottom w:w="80" w:type="dxa"/>
              <w:right w:w="120" w:type="dxa"/>
            </w:tcMar>
            <w:vAlign w:val="center"/>
          </w:tcPr>
          <w:p w14:paraId="4DD394C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X</w:t>
            </w:r>
          </w:p>
        </w:tc>
        <w:tc>
          <w:tcPr>
            <w:tcW w:w="2200" w:type="dxa"/>
            <w:tcMar>
              <w:top w:w="80" w:type="dxa"/>
              <w:left w:w="120" w:type="dxa"/>
              <w:bottom w:w="80" w:type="dxa"/>
              <w:right w:w="120" w:type="dxa"/>
            </w:tcMar>
            <w:vAlign w:val="center"/>
          </w:tcPr>
          <w:p w14:paraId="7606CEE0">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强度映射</w:t>
            </w:r>
          </w:p>
        </w:tc>
        <w:tc>
          <w:tcPr>
            <w:tcW w:w="4210" w:type="dxa"/>
            <w:tcMar>
              <w:top w:w="80" w:type="dxa"/>
              <w:left w:w="120" w:type="dxa"/>
              <w:bottom w:w="80" w:type="dxa"/>
              <w:right w:w="120" w:type="dxa"/>
            </w:tcMar>
            <w:vAlign w:val="center"/>
          </w:tcPr>
          <w:p w14:paraId="26B0E4AA">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HOLO/OR 定制模块第一元件</w:t>
            </w:r>
          </w:p>
        </w:tc>
      </w:tr>
      <w:tr w14:paraId="11886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3F76FBA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CBSM2</w:t>
            </w:r>
          </w:p>
        </w:tc>
        <w:tc>
          <w:tcPr>
            <w:tcW w:w="900" w:type="dxa"/>
            <w:tcMar>
              <w:top w:w="80" w:type="dxa"/>
              <w:left w:w="120" w:type="dxa"/>
              <w:bottom w:w="80" w:type="dxa"/>
              <w:right w:w="120" w:type="dxa"/>
            </w:tcMar>
            <w:vAlign w:val="center"/>
          </w:tcPr>
          <w:p w14:paraId="2A247D6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220</w:t>
            </w:r>
          </w:p>
        </w:tc>
        <w:tc>
          <w:tcPr>
            <w:tcW w:w="1200" w:type="dxa"/>
            <w:tcMar>
              <w:top w:w="80" w:type="dxa"/>
              <w:left w:w="120" w:type="dxa"/>
              <w:bottom w:w="80" w:type="dxa"/>
              <w:right w:w="120" w:type="dxa"/>
            </w:tcMar>
            <w:vAlign w:val="center"/>
          </w:tcPr>
          <w:p w14:paraId="07F322DA">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X</w:t>
            </w:r>
          </w:p>
        </w:tc>
        <w:tc>
          <w:tcPr>
            <w:tcW w:w="2200" w:type="dxa"/>
            <w:tcMar>
              <w:top w:w="80" w:type="dxa"/>
              <w:left w:w="120" w:type="dxa"/>
              <w:bottom w:w="80" w:type="dxa"/>
              <w:right w:w="120" w:type="dxa"/>
            </w:tcMar>
            <w:vAlign w:val="center"/>
          </w:tcPr>
          <w:p w14:paraId="3E1512C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相位展平</w:t>
            </w:r>
          </w:p>
        </w:tc>
        <w:tc>
          <w:tcPr>
            <w:tcW w:w="4210" w:type="dxa"/>
            <w:tcMar>
              <w:top w:w="80" w:type="dxa"/>
              <w:left w:w="120" w:type="dxa"/>
              <w:bottom w:w="80" w:type="dxa"/>
              <w:right w:w="120" w:type="dxa"/>
            </w:tcMar>
            <w:vAlign w:val="center"/>
          </w:tcPr>
          <w:p w14:paraId="13D07BD1">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HOLO/OR 定制模块第二元件</w:t>
            </w:r>
          </w:p>
        </w:tc>
      </w:tr>
      <w:tr w14:paraId="6D65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497DD4B9">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YBE1</w:t>
            </w:r>
          </w:p>
        </w:tc>
        <w:tc>
          <w:tcPr>
            <w:tcW w:w="900" w:type="dxa"/>
            <w:tcMar>
              <w:top w:w="80" w:type="dxa"/>
              <w:left w:w="120" w:type="dxa"/>
              <w:bottom w:w="80" w:type="dxa"/>
              <w:right w:w="120" w:type="dxa"/>
            </w:tcMar>
            <w:vAlign w:val="center"/>
          </w:tcPr>
          <w:p w14:paraId="0B357227">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250</w:t>
            </w:r>
          </w:p>
        </w:tc>
        <w:tc>
          <w:tcPr>
            <w:tcW w:w="1200" w:type="dxa"/>
            <w:tcMar>
              <w:top w:w="80" w:type="dxa"/>
              <w:left w:w="120" w:type="dxa"/>
              <w:bottom w:w="80" w:type="dxa"/>
              <w:right w:w="120" w:type="dxa"/>
            </w:tcMar>
            <w:vAlign w:val="center"/>
          </w:tcPr>
          <w:p w14:paraId="38A2BDD3">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w:t>
            </w:r>
          </w:p>
        </w:tc>
        <w:tc>
          <w:tcPr>
            <w:tcW w:w="2200" w:type="dxa"/>
            <w:tcMar>
              <w:top w:w="80" w:type="dxa"/>
              <w:left w:w="120" w:type="dxa"/>
              <w:bottom w:w="80" w:type="dxa"/>
              <w:right w:w="120" w:type="dxa"/>
            </w:tcMar>
            <w:vAlign w:val="center"/>
          </w:tcPr>
          <w:p w14:paraId="0865B0D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fY=-20 mm</w:t>
            </w:r>
          </w:p>
        </w:tc>
        <w:tc>
          <w:tcPr>
            <w:tcW w:w="4210" w:type="dxa"/>
            <w:tcMar>
              <w:top w:w="80" w:type="dxa"/>
              <w:left w:w="120" w:type="dxa"/>
              <w:bottom w:w="80" w:type="dxa"/>
              <w:right w:w="120" w:type="dxa"/>
            </w:tcMar>
            <w:vAlign w:val="center"/>
          </w:tcPr>
          <w:p w14:paraId="1AB93B69">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 向负柱面镜</w:t>
            </w:r>
          </w:p>
        </w:tc>
      </w:tr>
      <w:tr w14:paraId="26E4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6F6DD997">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YBE2</w:t>
            </w:r>
          </w:p>
        </w:tc>
        <w:tc>
          <w:tcPr>
            <w:tcW w:w="900" w:type="dxa"/>
            <w:tcMar>
              <w:top w:w="80" w:type="dxa"/>
              <w:left w:w="120" w:type="dxa"/>
              <w:bottom w:w="80" w:type="dxa"/>
              <w:right w:w="120" w:type="dxa"/>
            </w:tcMar>
            <w:vAlign w:val="center"/>
          </w:tcPr>
          <w:p w14:paraId="654C5121">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410.8</w:t>
            </w:r>
          </w:p>
        </w:tc>
        <w:tc>
          <w:tcPr>
            <w:tcW w:w="1200" w:type="dxa"/>
            <w:tcMar>
              <w:top w:w="80" w:type="dxa"/>
              <w:left w:w="120" w:type="dxa"/>
              <w:bottom w:w="80" w:type="dxa"/>
              <w:right w:w="120" w:type="dxa"/>
            </w:tcMar>
            <w:vAlign w:val="center"/>
          </w:tcPr>
          <w:p w14:paraId="235F302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w:t>
            </w:r>
          </w:p>
        </w:tc>
        <w:tc>
          <w:tcPr>
            <w:tcW w:w="2200" w:type="dxa"/>
            <w:tcMar>
              <w:top w:w="80" w:type="dxa"/>
              <w:left w:w="120" w:type="dxa"/>
              <w:bottom w:w="80" w:type="dxa"/>
              <w:right w:w="120" w:type="dxa"/>
            </w:tcMar>
            <w:vAlign w:val="center"/>
          </w:tcPr>
          <w:p w14:paraId="150D0BFA">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fY=+180.8 mm</w:t>
            </w:r>
          </w:p>
        </w:tc>
        <w:tc>
          <w:tcPr>
            <w:tcW w:w="4210" w:type="dxa"/>
            <w:tcMar>
              <w:top w:w="80" w:type="dxa"/>
              <w:left w:w="120" w:type="dxa"/>
              <w:bottom w:w="80" w:type="dxa"/>
              <w:right w:w="120" w:type="dxa"/>
            </w:tcMar>
            <w:vAlign w:val="center"/>
          </w:tcPr>
          <w:p w14:paraId="128168ED">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 向 9.040× 扩束</w:t>
            </w:r>
          </w:p>
        </w:tc>
      </w:tr>
      <w:tr w14:paraId="21B97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19E405A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CXC1</w:t>
            </w:r>
          </w:p>
        </w:tc>
        <w:tc>
          <w:tcPr>
            <w:tcW w:w="900" w:type="dxa"/>
            <w:tcMar>
              <w:top w:w="80" w:type="dxa"/>
              <w:left w:w="120" w:type="dxa"/>
              <w:bottom w:w="80" w:type="dxa"/>
              <w:right w:w="120" w:type="dxa"/>
            </w:tcMar>
            <w:vAlign w:val="center"/>
          </w:tcPr>
          <w:p w14:paraId="592D9FB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430</w:t>
            </w:r>
          </w:p>
        </w:tc>
        <w:tc>
          <w:tcPr>
            <w:tcW w:w="1200" w:type="dxa"/>
            <w:tcMar>
              <w:top w:w="80" w:type="dxa"/>
              <w:left w:w="120" w:type="dxa"/>
              <w:bottom w:w="80" w:type="dxa"/>
              <w:right w:w="120" w:type="dxa"/>
            </w:tcMar>
            <w:vAlign w:val="center"/>
          </w:tcPr>
          <w:p w14:paraId="5C83D583">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X</w:t>
            </w:r>
          </w:p>
        </w:tc>
        <w:tc>
          <w:tcPr>
            <w:tcW w:w="2200" w:type="dxa"/>
            <w:tcMar>
              <w:top w:w="80" w:type="dxa"/>
              <w:left w:w="120" w:type="dxa"/>
              <w:bottom w:w="80" w:type="dxa"/>
              <w:right w:w="120" w:type="dxa"/>
            </w:tcMar>
            <w:vAlign w:val="center"/>
          </w:tcPr>
          <w:p w14:paraId="63AC6FB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fX=+160 mm</w:t>
            </w:r>
          </w:p>
        </w:tc>
        <w:tc>
          <w:tcPr>
            <w:tcW w:w="4210" w:type="dxa"/>
            <w:tcMar>
              <w:top w:w="80" w:type="dxa"/>
              <w:left w:w="120" w:type="dxa"/>
              <w:bottom w:w="80" w:type="dxa"/>
              <w:right w:w="120" w:type="dxa"/>
            </w:tcMar>
            <w:vAlign w:val="center"/>
          </w:tcPr>
          <w:p w14:paraId="67FD4C9F">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X 无焦缩束第一片</w:t>
            </w:r>
          </w:p>
        </w:tc>
      </w:tr>
      <w:tr w14:paraId="21302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3A7DA33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CXC2</w:t>
            </w:r>
          </w:p>
        </w:tc>
        <w:tc>
          <w:tcPr>
            <w:tcW w:w="900" w:type="dxa"/>
            <w:tcMar>
              <w:top w:w="80" w:type="dxa"/>
              <w:left w:w="120" w:type="dxa"/>
              <w:bottom w:w="80" w:type="dxa"/>
              <w:right w:w="120" w:type="dxa"/>
            </w:tcMar>
            <w:vAlign w:val="center"/>
          </w:tcPr>
          <w:p w14:paraId="40B319FC">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550</w:t>
            </w:r>
          </w:p>
        </w:tc>
        <w:tc>
          <w:tcPr>
            <w:tcW w:w="1200" w:type="dxa"/>
            <w:tcMar>
              <w:top w:w="80" w:type="dxa"/>
              <w:left w:w="120" w:type="dxa"/>
              <w:bottom w:w="80" w:type="dxa"/>
              <w:right w:w="120" w:type="dxa"/>
            </w:tcMar>
            <w:vAlign w:val="center"/>
          </w:tcPr>
          <w:p w14:paraId="5B2DC3F7">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X</w:t>
            </w:r>
          </w:p>
        </w:tc>
        <w:tc>
          <w:tcPr>
            <w:tcW w:w="2200" w:type="dxa"/>
            <w:tcMar>
              <w:top w:w="80" w:type="dxa"/>
              <w:left w:w="120" w:type="dxa"/>
              <w:bottom w:w="80" w:type="dxa"/>
              <w:right w:w="120" w:type="dxa"/>
            </w:tcMar>
            <w:vAlign w:val="center"/>
          </w:tcPr>
          <w:p w14:paraId="5EF8F0A0">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fX=-40 mm</w:t>
            </w:r>
          </w:p>
        </w:tc>
        <w:tc>
          <w:tcPr>
            <w:tcW w:w="4210" w:type="dxa"/>
            <w:tcMar>
              <w:top w:w="80" w:type="dxa"/>
              <w:left w:w="120" w:type="dxa"/>
              <w:bottom w:w="80" w:type="dxa"/>
              <w:right w:w="120" w:type="dxa"/>
            </w:tcMar>
            <w:vAlign w:val="center"/>
          </w:tcPr>
          <w:p w14:paraId="1369CEAD">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与 CXC1 间距 120 mm</w:t>
            </w:r>
          </w:p>
        </w:tc>
      </w:tr>
      <w:tr w14:paraId="03DEB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3FFB852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YFL</w:t>
            </w:r>
          </w:p>
        </w:tc>
        <w:tc>
          <w:tcPr>
            <w:tcW w:w="900" w:type="dxa"/>
            <w:tcMar>
              <w:top w:w="80" w:type="dxa"/>
              <w:left w:w="120" w:type="dxa"/>
              <w:bottom w:w="80" w:type="dxa"/>
              <w:right w:w="120" w:type="dxa"/>
            </w:tcMar>
            <w:vAlign w:val="center"/>
          </w:tcPr>
          <w:p w14:paraId="02A47299">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600</w:t>
            </w:r>
          </w:p>
        </w:tc>
        <w:tc>
          <w:tcPr>
            <w:tcW w:w="1200" w:type="dxa"/>
            <w:tcMar>
              <w:top w:w="80" w:type="dxa"/>
              <w:left w:w="120" w:type="dxa"/>
              <w:bottom w:w="80" w:type="dxa"/>
              <w:right w:w="120" w:type="dxa"/>
            </w:tcMar>
            <w:vAlign w:val="center"/>
          </w:tcPr>
          <w:p w14:paraId="28BF9232">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Y only</w:t>
            </w:r>
          </w:p>
        </w:tc>
        <w:tc>
          <w:tcPr>
            <w:tcW w:w="2200" w:type="dxa"/>
            <w:tcMar>
              <w:top w:w="80" w:type="dxa"/>
              <w:left w:w="120" w:type="dxa"/>
              <w:bottom w:w="80" w:type="dxa"/>
              <w:right w:w="120" w:type="dxa"/>
            </w:tcMar>
            <w:vAlign w:val="center"/>
          </w:tcPr>
          <w:p w14:paraId="6AB9B0D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fY=+100 mm；fX=∞</w:t>
            </w:r>
          </w:p>
        </w:tc>
        <w:tc>
          <w:tcPr>
            <w:tcW w:w="4210" w:type="dxa"/>
            <w:tcMar>
              <w:top w:w="80" w:type="dxa"/>
              <w:left w:w="120" w:type="dxa"/>
              <w:bottom w:w="80" w:type="dxa"/>
              <w:right w:w="120" w:type="dxa"/>
            </w:tcMar>
            <w:vAlign w:val="center"/>
          </w:tcPr>
          <w:p w14:paraId="6EE6B9D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最终镜只对 Y 聚焦；X 光焦度=0</w:t>
            </w:r>
          </w:p>
        </w:tc>
      </w:tr>
      <w:tr w14:paraId="1782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80" w:type="dxa"/>
              <w:left w:w="120" w:type="dxa"/>
              <w:bottom w:w="80" w:type="dxa"/>
              <w:right w:w="120" w:type="dxa"/>
            </w:tcMar>
            <w:vAlign w:val="center"/>
          </w:tcPr>
          <w:p w14:paraId="63D54D6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TARGET</w:t>
            </w:r>
          </w:p>
        </w:tc>
        <w:tc>
          <w:tcPr>
            <w:tcW w:w="900" w:type="dxa"/>
            <w:tcMar>
              <w:top w:w="80" w:type="dxa"/>
              <w:left w:w="120" w:type="dxa"/>
              <w:bottom w:w="80" w:type="dxa"/>
              <w:right w:w="120" w:type="dxa"/>
            </w:tcMar>
            <w:vAlign w:val="center"/>
          </w:tcPr>
          <w:p w14:paraId="0869A0AF">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700</w:t>
            </w:r>
          </w:p>
        </w:tc>
        <w:tc>
          <w:tcPr>
            <w:tcW w:w="1200" w:type="dxa"/>
            <w:tcMar>
              <w:top w:w="80" w:type="dxa"/>
              <w:left w:w="120" w:type="dxa"/>
              <w:bottom w:w="80" w:type="dxa"/>
              <w:right w:w="120" w:type="dxa"/>
            </w:tcMar>
            <w:vAlign w:val="center"/>
          </w:tcPr>
          <w:p w14:paraId="2A6EAB34">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w:t>
            </w:r>
          </w:p>
        </w:tc>
        <w:tc>
          <w:tcPr>
            <w:tcW w:w="2200" w:type="dxa"/>
            <w:tcMar>
              <w:top w:w="80" w:type="dxa"/>
              <w:left w:w="120" w:type="dxa"/>
              <w:bottom w:w="80" w:type="dxa"/>
              <w:right w:w="120" w:type="dxa"/>
            </w:tcMar>
            <w:vAlign w:val="center"/>
          </w:tcPr>
          <w:p w14:paraId="7EAC7CA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工作面</w:t>
            </w:r>
          </w:p>
        </w:tc>
        <w:tc>
          <w:tcPr>
            <w:tcW w:w="4210" w:type="dxa"/>
            <w:tcMar>
              <w:top w:w="80" w:type="dxa"/>
              <w:left w:w="120" w:type="dxa"/>
              <w:bottom w:w="80" w:type="dxa"/>
              <w:right w:w="120" w:type="dxa"/>
            </w:tcMar>
            <w:vAlign w:val="center"/>
          </w:tcPr>
          <w:p w14:paraId="60EC6C8D">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6"/>
                <w14:textFill>
                  <w14:solidFill>
                    <w14:schemeClr w14:val="tx1"/>
                  </w14:solidFill>
                </w14:textFill>
              </w:rPr>
              <w:t>X 1.5 mm 近似平行；Y 1.0 µm</w:t>
            </w:r>
          </w:p>
        </w:tc>
      </w:tr>
    </w:tbl>
    <w:p w14:paraId="6AA14823">
      <w:pPr>
        <w:spacing w:after="0"/>
        <w:rPr>
          <w:rFonts w:hint="eastAsia" w:ascii="微软雅黑" w:hAnsi="微软雅黑" w:eastAsia="微软雅黑" w:cs="微软雅黑"/>
          <w:color w:val="000000" w:themeColor="text1"/>
          <w14:textFill>
            <w14:solidFill>
              <w14:schemeClr w14:val="tx1"/>
            </w14:solidFill>
          </w14:textFill>
        </w:rPr>
      </w:pPr>
    </w:p>
    <w:p w14:paraId="460D66FF">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z=600 mm 的元件必须在采购图和装调图中标注为 YFL，而不是 XFL/YFL。其柱轴方向应使 X 平面看到平行平板或零功率通道；不允许在 X 方向引入 f=100 mm 的二次相位</w:t>
      </w:r>
    </w:p>
    <w:p w14:paraId="4E46C44C">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4. XZ / YZ 光路图</w:t>
      </w:r>
    </w:p>
    <w:p w14:paraId="59C4370C">
      <w:pPr>
        <w:pStyle w:val="4"/>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4.1 XZ 平面：X 近似平行光</w:t>
      </w:r>
    </w:p>
    <w:p w14:paraId="6098BA9A">
      <w:pPr>
        <w:keepNext/>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drawing>
          <wp:inline distT="0" distB="0" distL="114300" distR="114300">
            <wp:extent cx="5897880" cy="2635885"/>
            <wp:effectExtent l="0" t="0" r="7620" b="5715"/>
            <wp:docPr id="1" name="Picture 1" descr="图 1  最终 HOLO/OR 准直线光方案 XZ 光路。YFL 为虚线，表示 X 光焦度为 0。" title="图 1  最终 HOLO/OR 准直线光方案 XZ 光路。YFL 为虚线，表示 X 光焦度为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 1  最终 HOLO/OR 准直线光方案 XZ 光路。YFL 为虚线，表示 X 光焦度为 0。" title="图 1  最终 HOLO/OR 准直线光方案 XZ 光路。YFL 为虚线，表示 X 光焦度为 0。"/>
                    <pic:cNvPicPr>
                      <a:picLocks noChangeAspect="1"/>
                    </pic:cNvPicPr>
                  </pic:nvPicPr>
                  <pic:blipFill>
                    <a:blip r:embed="rId8"/>
                    <a:stretch>
                      <a:fillRect/>
                    </a:stretch>
                  </pic:blipFill>
                  <pic:spPr>
                    <a:xfrm>
                      <a:off x="0" y="0"/>
                      <a:ext cx="5897880" cy="2636286"/>
                    </a:xfrm>
                    <a:prstGeom prst="rect">
                      <a:avLst/>
                    </a:prstGeom>
                  </pic:spPr>
                </pic:pic>
              </a:graphicData>
            </a:graphic>
          </wp:inline>
        </w:drawing>
      </w:r>
    </w:p>
    <w:p w14:paraId="1FF754D2">
      <w:pPr>
        <w:spacing w:after="16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图 1  最终 HOLO/OR 准直线光方案 XZ 光路。YFL 为虚线，表示 X 光焦度为 0。</w:t>
      </w:r>
    </w:p>
    <w:p w14:paraId="06F7AE36">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SBE1/SBE2 将 X 从 1 mm 扩到 6 mm。CBSM1/CBSM2 后 X 保持准直；CXC1/CXC2 只做一次无焦缩束，z=550 mm 后到目标面保持约 1.5 mm。</w:t>
      </w:r>
      <w:r>
        <w:rPr>
          <w:rFonts w:hint="eastAsia" w:ascii="微软雅黑" w:hAnsi="微软雅黑" w:eastAsia="微软雅黑" w:cs="微软雅黑"/>
          <w:color w:val="000000" w:themeColor="text1"/>
          <w14:textFill>
            <w14:solidFill>
              <w14:schemeClr w14:val="tx1"/>
            </w14:solidFill>
          </w14:textFill>
        </w:rPr>
        <w:br w:type="page"/>
      </w:r>
    </w:p>
    <w:p w14:paraId="11BCAB2B">
      <w:pPr>
        <w:pStyle w:val="4"/>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4.2 YZ 平面：Y 向 100 mm 工作距离聚焦</w:t>
      </w:r>
    </w:p>
    <w:p w14:paraId="15D96240">
      <w:pPr>
        <w:keepNext/>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drawing>
          <wp:inline distT="0" distB="0" distL="114300" distR="114300">
            <wp:extent cx="5897880" cy="2635885"/>
            <wp:effectExtent l="0" t="0" r="7620" b="5715"/>
            <wp:docPr id="2" name="Picture 2" descr="图 2  最终方案 YZ 光路。YBE1/YBE2 扩束，YFL 在 100 mm 后把 Y 聚焦到 1.0 µm。" title="图 2  最终方案 YZ 光路。YBE1/YBE2 扩束，YFL 在 100 mm 后把 Y 聚焦到 1.0 µ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 2  最终方案 YZ 光路。YBE1/YBE2 扩束，YFL 在 100 mm 后把 Y 聚焦到 1.0 µm。" title="图 2  最终方案 YZ 光路。YBE1/YBE2 扩束，YFL 在 100 mm 后把 Y 聚焦到 1.0 µm。"/>
                    <pic:cNvPicPr>
                      <a:picLocks noChangeAspect="1"/>
                    </pic:cNvPicPr>
                  </pic:nvPicPr>
                  <pic:blipFill>
                    <a:blip r:embed="rId9"/>
                    <a:stretch>
                      <a:fillRect/>
                    </a:stretch>
                  </pic:blipFill>
                  <pic:spPr>
                    <a:xfrm>
                      <a:off x="0" y="0"/>
                      <a:ext cx="5897880" cy="2636286"/>
                    </a:xfrm>
                    <a:prstGeom prst="rect">
                      <a:avLst/>
                    </a:prstGeom>
                  </pic:spPr>
                </pic:pic>
              </a:graphicData>
            </a:graphic>
          </wp:inline>
        </w:drawing>
      </w:r>
    </w:p>
    <w:p w14:paraId="5F0CD398">
      <w:pPr>
        <w:spacing w:after="16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图 2  最终方案 YZ 光路。YBE1/YBE2 扩束，YFL 在 100 mm 后把 Y 聚焦到 1.0 µm。</w:t>
      </w:r>
    </w:p>
    <w:p w14:paraId="2194C722">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由 dY=4M²λfY/(πDY) 得 DY=54.24 mm；留 10% 余量时 YFL 建议有效口径不小于 59.66 mm。该大口径只发生在 Y 方向，X 方向不跟随 Y 扩束，因此无需把所有元件做成约 60 mm 的圆口径。</w:t>
      </w:r>
    </w:p>
    <w:p w14:paraId="2F361D6E">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br w:type="page"/>
      </w:r>
    </w:p>
    <w:p w14:paraId="7DA71E87">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5. 模型原理与相位证据</w:t>
      </w:r>
    </w:p>
    <w:p w14:paraId="545EE496">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5.1 DOE 的相位调制机理</w:t>
      </w:r>
    </w:p>
    <w:p w14:paraId="347DCB9B">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HOLO/OR 的 DOE（Diffractive Optical Element）是透明基底上的微结构相位元件。它不是通过吸收刻出强度图案，而是利用表面浮雕高度产生空间变化的光程差，对入射高斯光束的复振幅相位进行编码；后续自由传播或透镜的傅里叶变换再把相位调制转换为目标强度分布。</w:t>
      </w:r>
    </w:p>
    <w:p w14:paraId="037A837C">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158490" cy="245110"/>
            <wp:effectExtent l="0" t="0" r="3810" b="0"/>
            <wp:docPr id="5" name="Picture 5" descr="LaTeX equation: U_0(x,y)=A_0(x,y)\exp\!\left[i\phi_0(x,y)\right]" title="Equatio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aTeX equation: U_0(x,y)=A_0(x,y)\exp\!\left[i\phi_0(x,y)\right]" title="Equation 5-1"/>
                    <pic:cNvPicPr>
                      <a:picLocks noChangeAspect="1"/>
                    </pic:cNvPicPr>
                  </pic:nvPicPr>
                  <pic:blipFill>
                    <a:blip r:embed="rId10"/>
                    <a:stretch>
                      <a:fillRect/>
                    </a:stretch>
                  </pic:blipFill>
                  <pic:spPr>
                    <a:xfrm>
                      <a:off x="0" y="0"/>
                      <a:ext cx="3158836" cy="245225"/>
                    </a:xfrm>
                    <a:prstGeom prst="rect">
                      <a:avLst/>
                    </a:prstGeom>
                  </pic:spPr>
                </pic:pic>
              </a:graphicData>
            </a:graphic>
          </wp:inline>
        </w:drawing>
      </w:r>
    </w:p>
    <w:p w14:paraId="51FA64AD">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U_0(x,y)=A_0(x,y)\exp\!\left[i\phi_0(x,y)\right]</w:t>
      </w:r>
    </w:p>
    <w:p w14:paraId="5267A1D6">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859405" cy="245110"/>
            <wp:effectExtent l="0" t="0" r="10795" b="0"/>
            <wp:docPr id="6" name="Picture 6" descr="LaTeX equation: t_{\mathrm{DOE}}(x,y)=\exp\!\left[i\phi_{\mathrm{DOE}}(x,y)\right]" title="Equatio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aTeX equation: t_{\mathrm{DOE}}(x,y)=\exp\!\left[i\phi_{\mathrm{DOE}}(x,y)\right]" title="Equation 5-2"/>
                    <pic:cNvPicPr>
                      <a:picLocks noChangeAspect="1"/>
                    </pic:cNvPicPr>
                  </pic:nvPicPr>
                  <pic:blipFill>
                    <a:blip r:embed="rId11"/>
                    <a:stretch>
                      <a:fillRect/>
                    </a:stretch>
                  </pic:blipFill>
                  <pic:spPr>
                    <a:xfrm>
                      <a:off x="0" y="0"/>
                      <a:ext cx="2859578" cy="245225"/>
                    </a:xfrm>
                    <a:prstGeom prst="rect">
                      <a:avLst/>
                    </a:prstGeom>
                  </pic:spPr>
                </pic:pic>
              </a:graphicData>
            </a:graphic>
          </wp:inline>
        </w:drawing>
      </w:r>
    </w:p>
    <w:p w14:paraId="089737F2">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t_{\mathrm{DOE}}(x,y)=\exp\!\left[i\phi_{\mathrm{DOE}}(x,y)\right]</w:t>
      </w:r>
    </w:p>
    <w:p w14:paraId="5A381A86">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854960" cy="269875"/>
            <wp:effectExtent l="0" t="0" r="0" b="0"/>
            <wp:docPr id="7" name="Picture 7" descr="LaTeX equation: U_0^{+}(x,y)=U_0(x,y)t_{\mathrm{DOE}}(x,y)" title="Equatio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aTeX equation: U_0^{+}(x,y)=U_0(x,y)t_{\mathrm{DOE}}(x,y)" title="Equation 5-3"/>
                    <pic:cNvPicPr>
                      <a:picLocks noChangeAspect="1"/>
                    </pic:cNvPicPr>
                  </pic:nvPicPr>
                  <pic:blipFill>
                    <a:blip r:embed="rId12"/>
                    <a:stretch>
                      <a:fillRect/>
                    </a:stretch>
                  </pic:blipFill>
                  <pic:spPr>
                    <a:xfrm>
                      <a:off x="0" y="0"/>
                      <a:ext cx="2855421" cy="270163"/>
                    </a:xfrm>
                    <a:prstGeom prst="rect">
                      <a:avLst/>
                    </a:prstGeom>
                  </pic:spPr>
                </pic:pic>
              </a:graphicData>
            </a:graphic>
          </wp:inline>
        </w:drawing>
      </w:r>
    </w:p>
    <w:p w14:paraId="7E24B3EF">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U_0^{+}(x,y)=U_0(x,y)t_{\mathrm{DOE}}(x,y)</w:t>
      </w:r>
    </w:p>
    <w:p w14:paraId="18E8DE7C">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若 DOE 浮雕高度为 h(x,y)，基底折射率为 n(λ)，空气折射率近似为 1，则薄元件近似下的相位延迟为：</w:t>
      </w:r>
    </w:p>
    <w:p w14:paraId="3795B1DE">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773805" cy="315595"/>
            <wp:effectExtent l="0" t="0" r="0" b="0"/>
            <wp:docPr id="8" name="Picture 8" descr="LaTeX equation: \phi_{\mathrm{DOE}}(x,y)=\frac{2\pi}{\lambda}\left[n(\lambda)-1\right]h(x,y)\pmod{2\pi}" title="Equatio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aTeX equation: \phi_{\mathrm{DOE}}(x,y)=\frac{2\pi}{\lambda}\left[n(\lambda)-1\right]h(x,y)\pmod{2\pi}" title="Equation 5-4"/>
                    <pic:cNvPicPr>
                      <a:picLocks noChangeAspect="1"/>
                    </pic:cNvPicPr>
                  </pic:nvPicPr>
                  <pic:blipFill>
                    <a:blip r:embed="rId13"/>
                    <a:stretch>
                      <a:fillRect/>
                    </a:stretch>
                  </pic:blipFill>
                  <pic:spPr>
                    <a:xfrm>
                      <a:off x="0" y="0"/>
                      <a:ext cx="3773978" cy="315883"/>
                    </a:xfrm>
                    <a:prstGeom prst="rect">
                      <a:avLst/>
                    </a:prstGeom>
                  </pic:spPr>
                </pic:pic>
              </a:graphicData>
            </a:graphic>
          </wp:inline>
        </w:drawing>
      </w:r>
    </w:p>
    <w:p w14:paraId="02C8BF2C">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\phi_{\mathrm{DOE}}(x,y)=\frac{2\pi}{\lambda}\left[n(\lambda)-1\right]h(x,y)\pmod{2\pi}</w:t>
      </w:r>
    </w:p>
    <w:p w14:paraId="3C8B642C">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HOLO/OR 公开说明其 DOE 使用光刻和等离子刻蚀制造相位台阶。实际产品可采用连续或多级量化相位；量化、刻蚀深度误差、零级光和高阶衍射会影响效率和均匀度，但理想仿真首先按纯相位、近乎无吸收元件处理。</w:t>
      </w:r>
    </w:p>
    <w:p w14:paraId="78FC3055">
      <w:pPr>
        <w:pStyle w:val="4"/>
        <w:keepNext/>
        <w:rPr>
          <w:color w:val="000000" w:themeColor="text1"/>
          <w14:textFill>
            <w14:solidFill>
              <w14:schemeClr w14:val="tx1"/>
            </w14:solidFill>
          </w14:textFill>
        </w:rPr>
      </w:pPr>
      <w:r/>
      <w:r>
        <w:rPr>
          <w:rFonts w:ascii="Microsoft YaHei" w:hAnsi="Microsoft YaHei" w:eastAsia="Microsoft YaHei"/>
          <w:b/>
          <w:i w:val="0"/>
          <w:color w:val="2E74B5"/>
          <w:sz w:val="26"/>
        </w:rPr>
        <w:t>5.2 HOLO/OR 双元件准直整形方案</w:t>
      </w:r>
    </w:p>
    <w:p w14:paraId="31996048">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本方案需要 HOLO/OR Collimated Beam Shaper Module 的定制线形版本。依据厂商公开的双元件原理，第一元件把高斯能量重新映射为线形平顶振幅，并在第二元件所在平面形成所需强度；第二元件补偿该平面的残余相位，使模块出口同时满足平顶强度和近似平坦波前。</w:t>
      </w:r>
    </w:p>
    <w:p>
      <w:pPr>
        <w:spacing w:before="80" w:after="20"/>
        <w:jc w:val="center"/>
      </w:pPr>
      <w:r>
        <w:drawing>
          <wp:inline xmlns:a="http://schemas.openxmlformats.org/drawingml/2006/main" xmlns:pic="http://schemas.openxmlformats.org/drawingml/2006/picture">
            <wp:extent cx="5394960" cy="514160"/>
            <wp:docPr id="27" name="Picture 27" title="Equation 5-5" descr="LaTeX equation: U_1^{+}=U_{\mathrm{in}}e^{i\phi_1},\qquad U_2^{-}=\mathcal{P}_{L}\!\left\{U_1^{+}\right\}"/>
            <wp:cNvGraphicFramePr>
              <a:graphicFrameLocks noChangeAspect="1"/>
            </wp:cNvGraphicFramePr>
            <a:graphic>
              <a:graphicData uri="http://schemas.openxmlformats.org/drawingml/2006/picture">
                <pic:pic>
                  <pic:nvPicPr>
                    <pic:cNvPr id="0" name="5_5_final.png"/>
                    <pic:cNvPicPr/>
                  </pic:nvPicPr>
                  <pic:blipFill>
                    <a:blip r:embed="rId37"/>
                    <a:stretch>
                      <a:fillRect/>
                    </a:stretch>
                  </pic:blipFill>
                  <pic:spPr>
                    <a:xfrm>
                      <a:off x="0" y="0"/>
                      <a:ext cx="5394960" cy="514160"/>
                    </a:xfrm>
                    <a:prstGeom prst="rect"/>
                  </pic:spPr>
                </pic:pic>
              </a:graphicData>
            </a:graphic>
          </wp:inline>
        </w:drawing>
      </w:r>
    </w:p>
    <w:p w14:paraId="4BE3C655">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U_1^{+}=U_{\mathrm{in}}\exp(i\phi_1),\qquad U_2^{-}=\mathcal{P}_{L}\{U_1^{+}\}</w:t>
      </w:r>
    </w:p>
    <w:p>
      <w:pPr>
        <w:spacing w:before="80" w:after="20"/>
        <w:jc w:val="center"/>
      </w:pPr>
      <w:r>
        <w:drawing>
          <wp:inline xmlns:a="http://schemas.openxmlformats.org/drawingml/2006/main" xmlns:pic="http://schemas.openxmlformats.org/drawingml/2006/picture">
            <wp:extent cx="5394960" cy="395842"/>
            <wp:docPr id="28" name="Picture 28" title="Equation 5-6" descr="LaTeX equation: \phi_2(x,y)=-\arg\!\left[U_2^{-}(x,y)\right]+\phi_{\mathrm{ref}}(x,y)"/>
            <wp:cNvGraphicFramePr>
              <a:graphicFrameLocks noChangeAspect="1"/>
            </wp:cNvGraphicFramePr>
            <a:graphic>
              <a:graphicData uri="http://schemas.openxmlformats.org/drawingml/2006/picture">
                <pic:pic>
                  <pic:nvPicPr>
                    <pic:cNvPr id="0" name="5_6_final.png"/>
                    <pic:cNvPicPr/>
                  </pic:nvPicPr>
                  <pic:blipFill>
                    <a:blip r:embed="rId38"/>
                    <a:stretch>
                      <a:fillRect/>
                    </a:stretch>
                  </pic:blipFill>
                  <pic:spPr>
                    <a:xfrm>
                      <a:off x="0" y="0"/>
                      <a:ext cx="5394960" cy="395842"/>
                    </a:xfrm>
                    <a:prstGeom prst="rect"/>
                  </pic:spPr>
                </pic:pic>
              </a:graphicData>
            </a:graphic>
          </wp:inline>
        </w:drawing>
      </w:r>
    </w:p>
    <w:p w14:paraId="0A345223">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\phi_2(x,y)=-\arg\!\left[U_2^{-}(x,y)\right]+\phi_{\mathrm{ref}}(x,y)</w:t>
      </w:r>
    </w:p>
    <w:p>
      <w:pPr>
        <w:spacing w:before="80" w:after="20"/>
        <w:jc w:val="center"/>
      </w:pPr>
      <w:r>
        <w:drawing>
          <wp:inline xmlns:a="http://schemas.openxmlformats.org/drawingml/2006/main" xmlns:pic="http://schemas.openxmlformats.org/drawingml/2006/picture">
            <wp:extent cx="5394960" cy="795570"/>
            <wp:docPr id="29" name="Picture 29" title="Equation 5-7" descr="LaTeX equation: U_{\mathrm{out}}\approx A_{\mathrm{TH}}e^{i\phi_{\mathrm{ref}}}"/>
            <wp:cNvGraphicFramePr>
              <a:graphicFrameLocks noChangeAspect="1"/>
            </wp:cNvGraphicFramePr>
            <a:graphic>
              <a:graphicData uri="http://schemas.openxmlformats.org/drawingml/2006/picture">
                <pic:pic>
                  <pic:nvPicPr>
                    <pic:cNvPr id="0" name="5_7_final.png"/>
                    <pic:cNvPicPr/>
                  </pic:nvPicPr>
                  <pic:blipFill>
                    <a:blip r:embed="rId39"/>
                    <a:stretch>
                      <a:fillRect/>
                    </a:stretch>
                  </pic:blipFill>
                  <pic:spPr>
                    <a:xfrm>
                      <a:off x="0" y="0"/>
                      <a:ext cx="5394960" cy="795570"/>
                    </a:xfrm>
                    <a:prstGeom prst="rect"/>
                  </pic:spPr>
                </pic:pic>
              </a:graphicData>
            </a:graphic>
          </wp:inline>
        </w:drawing>
      </w:r>
    </w:p>
    <w:p w14:paraId="2EED5093">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U_{\mathrm{out}}(x,y)=U_2^{-}(x,y)\exp[i\phi_2(x,y)]\approx A_{\mathrm{TH}}(x,y)\exp[i\phi_{\mathrm{ref}}(x,y)]</w:t>
      </w:r>
    </w:p>
    <w:p w14:paraId="077D0371">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对理想准直输出，参考相位 φref 可取常数或仅含允许的整体倾角；若存在明显二次相位，则对应有限波前曲率，说明光束仍在会聚或发散。</w:t>
      </w:r>
    </w:p>
    <w:p w14:paraId="4D3367F2">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5.3 本方案中 HOLO/OR DOE 的作用范围</w:t>
      </w:r>
    </w:p>
    <w:p w14:paraId="0C726F67">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HOLO/OR 模块只负责 X 向线形平顶强度及出口 X 波前，Y 方向保持原输入特性。模块输入为约 6 mm 的圆形准直光，输出设为约 6 mm 宽的准直线光。后级 CXC1/CXC2 是 X 向无焦缩束组，把 6 mm 缩为 1.5 mm；YBE1/YBE2 和 YFL 只作用于 Y。末片 YFL 在 X 平面必须等效为单位矩阵，不得给 X 增加二次聚焦相位。</w:t>
      </w:r>
    </w:p>
    <w:p w14:paraId="56B5057B">
      <w:pPr>
        <w:spacing w:after="120" w:line="276" w:lineRule="auto"/>
        <w:rPr>
          <w:color w:val="000000" w:themeColor="text1"/>
          <w14:textFill>
            <w14:solidFill>
              <w14:schemeClr w14:val="tx1"/>
            </w14:solidFill>
          </w14:textFill>
        </w:rPr>
      </w:pPr>
      <w:r/>
      <w:r>
        <w:rPr>
          <w:rFonts w:ascii="Microsoft YaHei" w:hAnsi="Microsoft YaHei" w:eastAsia="Microsoft YaHei"/>
          <w:b w:val="0"/>
          <w:i w:val="0"/>
          <w:sz w:val="21"/>
        </w:rPr>
        <w:t>HOLO/OR 未公开最终定制准直模块的专有微结构与出口相位数据。本资料包因此只保留厂商出口复场数据接口和独立双元件复场替代模型：前者用于收到正式数据后的验收，后者用于在缺少厂商相位时检查后级透镜对整形与波前的影响；独立模型不得标记为 HOLO/OR 专有模型。</w:t>
      </w:r>
    </w:p>
    <w:p w14:paraId="02A8D145">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6. 数学模型</w:t>
      </w:r>
    </w:p>
    <w:p w14:paraId="314BD86C">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6.1 入射光束模型</w:t>
      </w:r>
    </w:p>
    <w:p w14:paraId="527CD844">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仿真在 X、Y 可分离的标量旁轴近似下进行。模块输入采用准直高斯光束；D=2w 为强度下降到峰值 exp(-2) 处的全直径。</w:t>
      </w:r>
    </w:p>
    <w:p w14:paraId="1C63BE52">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894455" cy="274320"/>
            <wp:effectExtent l="0" t="0" r="0" b="0"/>
            <wp:docPr id="13" name="Picture 13" descr="LaTeX equation: U_{\mathrm{in}}(x,y)=U_0\exp\!\left[-\frac{x^2+y^2}{w^2}\right],\qquad I_{\mathrm{in}}=|U_{\mathrm{in}}|^2=I_0\exp\!\left[-\frac{2(x^2+y^2)}{w^2}\right]" title="Equatio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aTeX equation: U_{\mathrm{in}}(x,y)=U_0\exp\!\left[-\frac{x^2+y^2}{w^2}\right],\qquad I_{\mathrm{in}}=|U_{\mathrm{in}}|^2=I_0\exp\!\left[-\frac{2(x^2+y^2)}{w^2}\right]" title="Equation 6-1"/>
                    <pic:cNvPicPr>
                      <a:picLocks noChangeAspect="1"/>
                    </pic:cNvPicPr>
                  </pic:nvPicPr>
                  <pic:blipFill>
                    <a:blip r:embed="rId18"/>
                    <a:stretch>
                      <a:fillRect/>
                    </a:stretch>
                  </pic:blipFill>
                  <pic:spPr>
                    <a:xfrm>
                      <a:off x="0" y="0"/>
                      <a:ext cx="3894512" cy="274320"/>
                    </a:xfrm>
                    <a:prstGeom prst="rect">
                      <a:avLst/>
                    </a:prstGeom>
                  </pic:spPr>
                </pic:pic>
              </a:graphicData>
            </a:graphic>
          </wp:inline>
        </w:drawing>
      </w:r>
    </w:p>
    <w:p w14:paraId="5F347CCC">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U_{\mathrm{in}}(x,y)=U_0\exp\!\left[-\frac{x^2+y^2}{w^2}\right],\qquad I_{\mathrm{in}}=|U_{\mathrm{in}}|^2=I_0\exp\!\left[-\frac{2(x^2+y^2)}{w^2}\right]</w:t>
      </w:r>
    </w:p>
    <w:p w14:paraId="34700BE8">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6.2 一维高斯到平顶的能量映射</w:t>
      </w:r>
    </w:p>
    <w:p w14:paraId="7B95F039">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HOLO/OR 的实际优化相位属于厂商知识产权</w:t>
      </w:r>
      <w:r>
        <w:rPr>
          <w:rFonts w:hint="eastAsia"/>
          <w:b w:val="0"/>
          <w:i w:val="0"/>
          <w:color w:val="000000" w:themeColor="text1"/>
          <w:sz w:val="21"/>
          <w:lang w:val="en-US" w:eastAsia="zh-CN"/>
          <w14:textFill>
            <w14:solidFill>
              <w14:schemeClr w14:val="tx1"/>
            </w14:solidFill>
          </w14:textFill>
        </w:rPr>
        <w:t>目前未提供</w:t>
      </w:r>
      <w:r>
        <w:rPr>
          <w:rFonts w:ascii="微软雅黑" w:hAnsi="微软雅黑" w:eastAsia="微软雅黑"/>
          <w:b w:val="0"/>
          <w:i w:val="0"/>
          <w:color w:val="000000" w:themeColor="text1"/>
          <w:sz w:val="21"/>
          <w14:textFill>
            <w14:solidFill>
              <w14:schemeClr w14:val="tx1"/>
            </w14:solidFill>
          </w14:textFill>
        </w:rPr>
        <w:t>；令输入坐标为 ξ、输出坐标为 x，要求两侧累计功率相等：</w:t>
      </w:r>
    </w:p>
    <w:p w14:paraId="27B625D8">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310765" cy="602615"/>
            <wp:effectExtent l="0" t="0" r="635" b="0"/>
            <wp:docPr id="14" name="Picture 14" descr="LaTeX equation: \frac{\int_{-\infty}^{\xi} I_{\mathrm{in}}(s)\,ds}{\int_{-\infty}^{+\infty} I_{\mathrm{in}}(s)\,ds}=\frac{\int_{-D_{\mathrm{TH}}/2}^{T(\xi)} I_{\mathrm{TH}}(u)\,du}{\int_{-D_{\mathrm{TH}}/2}^{+D_{\mathrm{TH}}/2} I_{\mathrm{TH}}(u)\,du}" title="Equatio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aTeX equation: \frac{\int_{-\infty}^{\xi} I_{\mathrm{in}}(s)\,ds}{\int_{-\infty}^{+\infty} I_{\mathrm{in}}(s)\,ds}=\frac{\int_{-D_{\mathrm{TH}}/2}^{T(\xi)} I_{\mathrm{TH}}(u)\,du}{\int_{-D_{\mathrm{TH}}/2}^{+D_{\mathrm{TH}}/2} I_{\mathrm{TH}}(u)\,du}" title="Equation 6-2"/>
                    <pic:cNvPicPr>
                      <a:picLocks noChangeAspect="1"/>
                    </pic:cNvPicPr>
                  </pic:nvPicPr>
                  <pic:blipFill>
                    <a:blip r:embed="rId19"/>
                    <a:stretch>
                      <a:fillRect/>
                    </a:stretch>
                  </pic:blipFill>
                  <pic:spPr>
                    <a:xfrm>
                      <a:off x="0" y="0"/>
                      <a:ext cx="2310938" cy="602672"/>
                    </a:xfrm>
                    <a:prstGeom prst="rect">
                      <a:avLst/>
                    </a:prstGeom>
                  </pic:spPr>
                </pic:pic>
              </a:graphicData>
            </a:graphic>
          </wp:inline>
        </w:drawing>
      </w:r>
    </w:p>
    <w:p w14:paraId="3E8B51B9">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\frac{\int_{-\infty}^{\xi} I_{\mathrm{in}}(s)\,ds}{\int_{-\infty}^{+\infty} I_{\mathrm{in}}(s)\,ds}=\frac{\int_{-D_{\mathrm{TH}}/2}^{T(\xi)} I_{\mathrm{TH}}(u)\,du}{\int_{-D_{\mathrm{TH}}/2}^{+D_{\mathrm{TH}}/2} I_{\mathrm{TH}}(u)\,du}</w:t>
      </w:r>
    </w:p>
    <w:p w14:paraId="23D4D444">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为避免理想硬边导致的高频振铃，数值对比采用 m=8 的超高斯目标振幅：</w:t>
      </w:r>
    </w:p>
    <w:p w14:paraId="2644688F">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462020" cy="315595"/>
            <wp:effectExtent l="0" t="0" r="0" b="0"/>
            <wp:docPr id="15" name="Picture 15" descr="LaTeX equation: A_{\mathrm{TH}}(x)=A_0\exp\!\left[-\left|\frac{x}{D_{\mathrm{TH}}/2}\right|^m\right],\qquad m=8" title="Equatio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aTeX equation: A_{\mathrm{TH}}(x)=A_0\exp\!\left[-\left|\frac{x}{D_{\mathrm{TH}}/2}\right|^m\right],\qquad m=8" title="Equation 6-3"/>
                    <pic:cNvPicPr>
                      <a:picLocks noChangeAspect="1"/>
                    </pic:cNvPicPr>
                  </pic:nvPicPr>
                  <pic:blipFill>
                    <a:blip r:embed="rId20"/>
                    <a:stretch>
                      <a:fillRect/>
                    </a:stretch>
                  </pic:blipFill>
                  <pic:spPr>
                    <a:xfrm>
                      <a:off x="0" y="0"/>
                      <a:ext cx="3462250" cy="315883"/>
                    </a:xfrm>
                    <a:prstGeom prst="rect">
                      <a:avLst/>
                    </a:prstGeom>
                  </pic:spPr>
                </pic:pic>
              </a:graphicData>
            </a:graphic>
          </wp:inline>
        </w:drawing>
      </w:r>
    </w:p>
    <w:p w14:paraId="64D1A0B4">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A_{\mathrm{TH}}(x)=A_0\exp\!\left[-\left|\frac{x}{D_{\mathrm{TH}}/2}\right|^m\right],\qquad m=8</w:t>
      </w:r>
    </w:p>
    <w:p w14:paraId="1DAE4086">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若两相位元件间距为 L，在小角度几何近似下，第一相位的局部梯度使光线从 ξ 偏转到 T(ξ)：</w:t>
      </w:r>
    </w:p>
    <w:p w14:paraId="6408399C">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8410" cy="374015"/>
            <wp:effectExtent l="0" t="0" r="8890" b="0"/>
            <wp:docPr id="16" name="Picture 16" descr="LaTeX equation: \frac{d\phi_1}{d\xi}\approx k\,\frac{T(\xi)-\xi}{L},\qquad k=\frac{2\pi}{\lambda}" title="Equatio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aTeX equation: \frac{d\phi_1}{d\xi}\approx k\,\frac{T(\xi)-\xi}{L},\qquad k=\frac{2\pi}{\lambda}" title="Equation 6-4"/>
                    <pic:cNvPicPr>
                      <a:picLocks noChangeAspect="1"/>
                    </pic:cNvPicPr>
                  </pic:nvPicPr>
                  <pic:blipFill>
                    <a:blip r:embed="rId21"/>
                    <a:stretch>
                      <a:fillRect/>
                    </a:stretch>
                  </pic:blipFill>
                  <pic:spPr>
                    <a:xfrm>
                      <a:off x="0" y="0"/>
                      <a:ext cx="2518756" cy="374072"/>
                    </a:xfrm>
                    <a:prstGeom prst="rect">
                      <a:avLst/>
                    </a:prstGeom>
                  </pic:spPr>
                </pic:pic>
              </a:graphicData>
            </a:graphic>
          </wp:inline>
        </w:drawing>
      </w:r>
    </w:p>
    <w:p w14:paraId="47140712">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\frac{d\phi_1}{d\xi}\approx k\,\frac{T(\xi)-\xi}{L},\qquad k=\frac{2\pi}{\lambda}</w:t>
      </w:r>
    </w:p>
    <w:p w14:paraId="54A7BCE3">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6.3 角谱传播与第二相位面</w:t>
      </w:r>
    </w:p>
    <w:p w14:paraId="7283D680">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复场传播采用角谱法。它同时保留振幅和相位，因而能评价模块后的透镜是否破坏相位展平。</w:t>
      </w:r>
    </w:p>
    <w:p w14:paraId="59183FA3">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728085" cy="290830"/>
            <wp:effectExtent l="0" t="0" r="5715" b="0"/>
            <wp:docPr id="17" name="Picture 17" descr="LaTeX equation: U(x,y;z)=\mathcal{F}^{-1}\!\left\{\mathcal{F}[U(x,y;0)]H(f_x,f_y;z)\right\}" title="Equatio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aTeX equation: U(x,y;z)=\mathcal{F}^{-1}\!\left\{\mathcal{F}[U(x,y;0)]H(f_x,f_y;z)\right\}" title="Equation 6-5"/>
                    <pic:cNvPicPr>
                      <a:picLocks noChangeAspect="1"/>
                    </pic:cNvPicPr>
                  </pic:nvPicPr>
                  <pic:blipFill>
                    <a:blip r:embed="rId22"/>
                    <a:stretch>
                      <a:fillRect/>
                    </a:stretch>
                  </pic:blipFill>
                  <pic:spPr>
                    <a:xfrm>
                      <a:off x="0" y="0"/>
                      <a:ext cx="3728258" cy="290945"/>
                    </a:xfrm>
                    <a:prstGeom prst="rect">
                      <a:avLst/>
                    </a:prstGeom>
                  </pic:spPr>
                </pic:pic>
              </a:graphicData>
            </a:graphic>
          </wp:inline>
        </w:drawing>
      </w:r>
    </w:p>
    <w:p w14:paraId="69D2E5C0">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U(x,y;z)=\mathcal{F}^{-1}\!\left\{\mathcal{F}[U(x,y;0)]H(f_x,f_y;z)\right\}</w:t>
      </w:r>
    </w:p>
    <w:p w14:paraId="1F721E3C">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042285" cy="369570"/>
            <wp:effectExtent l="0" t="0" r="5715" b="0"/>
            <wp:docPr id="18" name="Picture 18" descr="LaTeX equation: H(f_x,f_y;z)=\exp\!\left[ikz\sqrt{1-\lambda^2f_x^2-\lambda^2f_y^2}\right]" title="Equatio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aTeX equation: H(f_x,f_y;z)=\exp\!\left[ikz\sqrt{1-\lambda^2f_x^2-\lambda^2f_y^2}\right]" title="Equation 6-6"/>
                    <pic:cNvPicPr>
                      <a:picLocks noChangeAspect="1"/>
                    </pic:cNvPicPr>
                  </pic:nvPicPr>
                  <pic:blipFill>
                    <a:blip r:embed="rId23"/>
                    <a:stretch>
                      <a:fillRect/>
                    </a:stretch>
                  </pic:blipFill>
                  <pic:spPr>
                    <a:xfrm>
                      <a:off x="0" y="0"/>
                      <a:ext cx="3042458" cy="369916"/>
                    </a:xfrm>
                    <a:prstGeom prst="rect">
                      <a:avLst/>
                    </a:prstGeom>
                  </pic:spPr>
                </pic:pic>
              </a:graphicData>
            </a:graphic>
          </wp:inline>
        </w:drawing>
      </w:r>
    </w:p>
    <w:p w14:paraId="4A320C6A">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H(f_x,f_y;z)=\exp\!\left[ikz\sqrt{1-\lambda^2f_x^2-\lambda^2f_y^2}\right]</w:t>
      </w:r>
    </w:p>
    <w:p w14:paraId="4388B5F7">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第二元件相位取为传播到该面的相位共轭，再叠加允许的参考平面相位，从而令出口平均倾角和曲率接近零。之后同一复场继续传播通过 CXC1/CXC2；YFL 在 X 方向不乘任何薄透镜相位。</w:t>
      </w:r>
    </w:p>
    <w:p w14:paraId="18483574">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6.4 薄透镜与 X 向无焦缩束</w:t>
      </w:r>
    </w:p>
    <w:p w14:paraId="42386433">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103120" cy="348615"/>
            <wp:effectExtent l="0" t="0" r="0" b="0"/>
            <wp:docPr id="19" name="Picture 19" descr="LaTeX equation: t_L(x)=\exp\!\left(-i\frac{kx^2}{2f_x}\right)" title="Equatio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aTeX equation: t_L(x)=\exp\!\left(-i\frac{kx^2}{2f_x}\right)" title="Equation 6-7"/>
                    <pic:cNvPicPr>
                      <a:picLocks noChangeAspect="1"/>
                    </pic:cNvPicPr>
                  </pic:nvPicPr>
                  <pic:blipFill>
                    <a:blip r:embed="rId24"/>
                    <a:stretch>
                      <a:fillRect/>
                    </a:stretch>
                  </pic:blipFill>
                  <pic:spPr>
                    <a:xfrm>
                      <a:off x="0" y="0"/>
                      <a:ext cx="2103120" cy="349134"/>
                    </a:xfrm>
                    <a:prstGeom prst="rect">
                      <a:avLst/>
                    </a:prstGeom>
                  </pic:spPr>
                </pic:pic>
              </a:graphicData>
            </a:graphic>
          </wp:inline>
        </w:drawing>
      </w:r>
    </w:p>
    <w:p w14:paraId="6B97D8A7">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t_L(x)=\exp\!\left(-i\frac{kx^2}{2f_x}\right)</w:t>
      </w:r>
    </w:p>
    <w:p w14:paraId="67779872">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222750" cy="232410"/>
            <wp:effectExtent l="0" t="0" r="0" b="0"/>
            <wp:docPr id="20" name="Picture 20" descr="LaTeX equation: P(d)=\begin{bmatrix}1&amp;d\\0&amp;1\end{bmatrix},\qquad L(f)=\begin{bmatrix}1&amp;0\\-1/f&amp;1\end{bmatrix}" title="Equatio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LaTeX equation: P(d)=\begin{bmatrix}1&amp;d\\0&amp;1\end{bmatrix},\qquad L(f)=\begin{bmatrix}1&amp;0\\-1/f&amp;1\end{bmatrix}" title="Equation 6-8"/>
                    <pic:cNvPicPr>
                      <a:picLocks noChangeAspect="1"/>
                    </pic:cNvPicPr>
                  </pic:nvPicPr>
                  <pic:blipFill>
                    <a:blip r:embed="rId25"/>
                    <a:stretch>
                      <a:fillRect/>
                    </a:stretch>
                  </pic:blipFill>
                  <pic:spPr>
                    <a:xfrm>
                      <a:off x="0" y="0"/>
                      <a:ext cx="4222865" cy="232756"/>
                    </a:xfrm>
                    <a:prstGeom prst="rect">
                      <a:avLst/>
                    </a:prstGeom>
                  </pic:spPr>
                </pic:pic>
              </a:graphicData>
            </a:graphic>
          </wp:inline>
        </w:drawing>
      </w:r>
    </w:p>
    <w:p w14:paraId="5B7BB800">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P(d)=\begin{bmatrix}1&amp;d\\0&amp;1\end{bmatrix},\qquad L(f)=\begin{bmatrix}1&amp;0\\-1/f&amp;1\end{bmatrix}</w:t>
      </w:r>
    </w:p>
    <w:p w14:paraId="14D8C298">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471670" cy="236855"/>
            <wp:effectExtent l="0" t="0" r="11430" b="0"/>
            <wp:docPr id="21" name="Picture 21" descr="LaTeX equation: M_{\mathrm{CXC}}=L(-40)P(120)L(160)=\begin{bmatrix}0.25&amp;120\\0&amp;4\end{bmatrix}" title="Equatio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LaTeX equation: M_{\mathrm{CXC}}=L(-40)P(120)L(160)=\begin{bmatrix}0.25&amp;120\\0&amp;4\end{bmatrix}" title="Equation 6-9"/>
                    <pic:cNvPicPr>
                      <a:picLocks noChangeAspect="1"/>
                    </pic:cNvPicPr>
                  </pic:nvPicPr>
                  <pic:blipFill>
                    <a:blip r:embed="rId26"/>
                    <a:stretch>
                      <a:fillRect/>
                    </a:stretch>
                  </pic:blipFill>
                  <pic:spPr>
                    <a:xfrm>
                      <a:off x="0" y="0"/>
                      <a:ext cx="4472247" cy="236912"/>
                    </a:xfrm>
                    <a:prstGeom prst="rect">
                      <a:avLst/>
                    </a:prstGeom>
                  </pic:spPr>
                </pic:pic>
              </a:graphicData>
            </a:graphic>
          </wp:inline>
        </w:drawing>
      </w:r>
    </w:p>
    <w:p w14:paraId="7F236BFF">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M_{\mathrm{CXC}}=L(-40)P(120)L(160)=\begin{bmatrix}0.25&amp;120\\0&amp;4\end{bmatrix}</w:t>
      </w:r>
    </w:p>
    <w:p w14:paraId="25AE4AE5">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矩阵 C=0，说明平行输入的中心/边缘光线输出仍无几何会聚；A=0.25，把 6 mm 缩为 1.5 mm。末级 YFL 在 X 平面为单位矩阵 I，因此：</w:t>
      </w:r>
    </w:p>
    <w:p w14:paraId="51E57397">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906520" cy="248920"/>
            <wp:effectExtent l="0" t="0" r="5080" b="0"/>
            <wp:docPr id="22" name="Picture 22" descr="LaTeX equation: M_{X,\mathrm{total}}=P(150)I_{\mathrm{YFL},X}M_{\mathrm{CXC}},\qquad I_{\mathrm{YFL},X}=\begin{bmatrix}1&amp;0\\0&amp;1\end{bmatrix}" title="Equation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aTeX equation: M_{X,\mathrm{total}}=P(150)I_{\mathrm{YFL},X}M_{\mathrm{CXC}},\qquad I_{\mathrm{YFL},X}=\begin{bmatrix}1&amp;0\\0&amp;1\end{bmatrix}" title="Equation 6-10"/>
                    <pic:cNvPicPr>
                      <a:picLocks noChangeAspect="1"/>
                    </pic:cNvPicPr>
                  </pic:nvPicPr>
                  <pic:blipFill>
                    <a:blip r:embed="rId27"/>
                    <a:stretch>
                      <a:fillRect/>
                    </a:stretch>
                  </pic:blipFill>
                  <pic:spPr>
                    <a:xfrm>
                      <a:off x="0" y="0"/>
                      <a:ext cx="3906981" cy="249381"/>
                    </a:xfrm>
                    <a:prstGeom prst="rect">
                      <a:avLst/>
                    </a:prstGeom>
                  </pic:spPr>
                </pic:pic>
              </a:graphicData>
            </a:graphic>
          </wp:inline>
        </w:drawing>
      </w:r>
    </w:p>
    <w:p w14:paraId="2561BD8A">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M_{X,\mathrm{total}}=P(150)I_{\mathrm{YFL},X}M_{\mathrm{CXC}},\qquad I_{\mathrm{YFL},X}=\begin{bmatrix}1&amp;0\\0&amp;1\end{bmatrix}</w:t>
      </w:r>
    </w:p>
    <w:p w14:paraId="3C577AE4">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6.5 Y 向聚焦模型</w:t>
      </w:r>
    </w:p>
    <w:p w14:paraId="5B55C2F0">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Y 向采用 M² 修正的高斯束腰关系。目标全 1/e² 宽度 dY=1.0 µm、fY=100 mm、λ=355 nm、M²=1.2 时：</w:t>
      </w:r>
    </w:p>
    <w:p w14:paraId="15BA96CC">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333115" cy="365760"/>
            <wp:effectExtent l="0" t="0" r="6985" b="0"/>
            <wp:docPr id="23" name="Picture 23" descr="LaTeX equation: d_Y=\frac{4M^2\lambda f_Y}{\pi D_Y},\qquad D_Y=\frac{4M^2\lambda f_Y}{\pi d_Y}=54.240\ \mathrm{mm}" title="Equation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LaTeX equation: d_Y=\frac{4M^2\lambda f_Y}{\pi D_Y},\qquad D_Y=\frac{4M^2\lambda f_Y}{\pi d_Y}=54.240\ \mathrm{mm}" title="Equation 6-11"/>
                    <pic:cNvPicPr>
                      <a:picLocks noChangeAspect="1"/>
                    </pic:cNvPicPr>
                  </pic:nvPicPr>
                  <pic:blipFill>
                    <a:blip r:embed="rId28"/>
                    <a:stretch>
                      <a:fillRect/>
                    </a:stretch>
                  </pic:blipFill>
                  <pic:spPr>
                    <a:xfrm>
                      <a:off x="0" y="0"/>
                      <a:ext cx="3333403" cy="365760"/>
                    </a:xfrm>
                    <a:prstGeom prst="rect">
                      <a:avLst/>
                    </a:prstGeom>
                  </pic:spPr>
                </pic:pic>
              </a:graphicData>
            </a:graphic>
          </wp:inline>
        </w:drawing>
      </w:r>
    </w:p>
    <w:p w14:paraId="5AE59474">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d_Y=\frac{4M^2\lambda f_Y}{\pi D_Y},\qquad D_Y=\frac{4M^2\lambda f_Y}{\pi d_Y}=54.240\ \mathrm{mm}</w:t>
      </w:r>
    </w:p>
    <w:p w14:paraId="7B4D1E7C">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6.6 相位、准直与验收指标</w:t>
      </w:r>
    </w:p>
    <w:p w14:paraId="28CCD163">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在有效 X 光斑内对展开相位作二次拟合。平均倾角来自一次项，曲率来自二次项；相位 RMS 仅去除 piston 和平均倾角，保留二次曲率，以免把会聚或发散误判为准直。</w:t>
      </w:r>
    </w:p>
    <w:p w14:paraId="37F1BB74">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561715" cy="320040"/>
            <wp:effectExtent l="0" t="0" r="0" b="0"/>
            <wp:docPr id="24" name="Picture 24" descr="LaTeX equation: \phi_{\mathrm{fit}}(x)=a_2x^2+a_1x+a_0,\qquad \bar{\theta}_x=\frac{\lambda}{2\pi}a_1" title="Equation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LaTeX equation: \phi_{\mathrm{fit}}(x)=a_2x^2+a_1x+a_0,\qquad \bar{\theta}_x=\frac{\lambda}{2\pi}a_1" title="Equation 6-12"/>
                    <pic:cNvPicPr>
                      <a:picLocks noChangeAspect="1"/>
                    </pic:cNvPicPr>
                  </pic:nvPicPr>
                  <pic:blipFill>
                    <a:blip r:embed="rId29"/>
                    <a:stretch>
                      <a:fillRect/>
                    </a:stretch>
                  </pic:blipFill>
                  <pic:spPr>
                    <a:xfrm>
                      <a:off x="0" y="0"/>
                      <a:ext cx="3562003" cy="320040"/>
                    </a:xfrm>
                    <a:prstGeom prst="rect">
                      <a:avLst/>
                    </a:prstGeom>
                  </pic:spPr>
                </pic:pic>
              </a:graphicData>
            </a:graphic>
          </wp:inline>
        </w:drawing>
      </w:r>
    </w:p>
    <w:p w14:paraId="7EF02EEA">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\phi_{\mathrm{fit}}(x)=a_2x^2+a_1x+a_0,\qquad \bar{\theta}_x=\frac{\lambda}{2\pi}a_1</w:t>
      </w:r>
    </w:p>
    <w:p w14:paraId="4FCCBB7C">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484370" cy="594360"/>
            <wp:effectExtent l="0" t="0" r="0" b="0"/>
            <wp:docPr id="25" name="Picture 25" descr="LaTeX equation: R_x=\frac{\pi}{\lambda a_2},\qquad \sigma_\phi=\sqrt{\frac{1}{N}\sum_{n=1}^{N}\left[\phi(x_n)-(b_1x_n+b_0)\right]^2}" title="Equation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LaTeX equation: R_x=\frac{\pi}{\lambda a_2},\qquad \sigma_\phi=\sqrt{\frac{1}{N}\sum_{n=1}^{N}\left[\phi(x_n)-(b_1x_n+b_0)\right]^2}" title="Equation 6-13"/>
                    <pic:cNvPicPr>
                      <a:picLocks noChangeAspect="1"/>
                    </pic:cNvPicPr>
                  </pic:nvPicPr>
                  <pic:blipFill>
                    <a:blip r:embed="rId30"/>
                    <a:stretch>
                      <a:fillRect/>
                    </a:stretch>
                  </pic:blipFill>
                  <pic:spPr>
                    <a:xfrm>
                      <a:off x="0" y="0"/>
                      <a:ext cx="4484716" cy="594360"/>
                    </a:xfrm>
                    <a:prstGeom prst="rect">
                      <a:avLst/>
                    </a:prstGeom>
                  </pic:spPr>
                </pic:pic>
              </a:graphicData>
            </a:graphic>
          </wp:inline>
        </w:drawing>
      </w:r>
    </w:p>
    <w:p w14:paraId="0C719B5F">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R_x=\frac{\pi}{\lambda a_2},\qquad \sigma_\phi=\sqrt{\frac{1}{N}\sum_{n=1}^{N}\left[\phi(x_n)-(b_1x_n+b_0)\right]^2}</w:t>
      </w:r>
    </w:p>
    <w:p w14:paraId="59E6F3F7">
      <w:pPr>
        <w:spacing w:before="100" w:after="2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1649730" cy="356870"/>
            <wp:effectExtent l="0" t="0" r="0" b="0"/>
            <wp:docPr id="26" name="Picture 26" descr="LaTeX equation: \theta_{\mathrm{edge}}=\frac{D_X/2}{|R_x|}" title="Equation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aTeX equation: \theta_{\mathrm{edge}}=\frac{D_X/2}{|R_x|}" title="Equation 6-14"/>
                    <pic:cNvPicPr>
                      <a:picLocks noChangeAspect="1"/>
                    </pic:cNvPicPr>
                  </pic:nvPicPr>
                  <pic:blipFill>
                    <a:blip r:embed="rId31"/>
                    <a:stretch>
                      <a:fillRect/>
                    </a:stretch>
                  </pic:blipFill>
                  <pic:spPr>
                    <a:xfrm>
                      <a:off x="0" y="0"/>
                      <a:ext cx="1650076" cy="357447"/>
                    </a:xfrm>
                    <a:prstGeom prst="rect">
                      <a:avLst/>
                    </a:prstGeom>
                  </pic:spPr>
                </pic:pic>
              </a:graphicData>
            </a:graphic>
          </wp:inline>
        </w:drawing>
      </w:r>
    </w:p>
    <w:p w14:paraId="09AA221F">
      <w:pPr>
        <w:spacing w:after="100"/>
        <w:jc w:val="center"/>
        <w:rPr>
          <w:color w:val="000000" w:themeColor="text1"/>
          <w14:textFill>
            <w14:solidFill>
              <w14:schemeClr w14:val="tx1"/>
            </w14:solidFill>
          </w14:textFill>
        </w:rPr>
      </w:pPr>
      <w:r>
        <w:rPr>
          <w:rFonts w:ascii="Consolas" w:hAnsi="Consolas" w:eastAsia="Consolas"/>
          <w:b w:val="0"/>
          <w:i w:val="0"/>
          <w:color w:val="000000" w:themeColor="text1"/>
          <w:sz w:val="15"/>
          <w14:textFill>
            <w14:solidFill>
              <w14:schemeClr w14:val="tx1"/>
            </w14:solidFill>
          </w14:textFill>
        </w:rPr>
        <w:t>LaTeX: \theta_{\mathrm{edge}}=\frac{D_X/2}{|R_x|}</w:t>
      </w:r>
    </w:p>
    <w:p w14:paraId="21C0E566">
      <w:pPr>
        <w:spacing w:after="120" w:line="276" w:lineRule="auto"/>
        <w:rPr>
          <w:color w:val="000000" w:themeColor="text1"/>
          <w14:textFill>
            <w14:solidFill>
              <w14:schemeClr w14:val="tx1"/>
            </w14:solidFill>
          </w14:textFill>
        </w:rPr>
      </w:pPr>
      <w:r>
        <w:rPr>
          <w:rFonts w:ascii="微软雅黑" w:hAnsi="微软雅黑" w:eastAsia="微软雅黑"/>
          <w:b w:val="0"/>
          <w:i w:val="0"/>
          <w:color w:val="000000" w:themeColor="text1"/>
          <w:sz w:val="21"/>
          <w14:textFill>
            <w14:solidFill>
              <w14:schemeClr w14:val="tx1"/>
            </w14:solidFill>
          </w14:textFill>
        </w:rPr>
        <w:t>本项目暂定判据为 |θ̄x|≤10 µrad、σφ≤0.10 rad、θedge≤50 µrad。</w:t>
      </w:r>
      <w:bookmarkStart w:id="0" w:name="_GoBack"/>
      <w:bookmarkEnd w:id="0"/>
    </w:p>
    <w:p w14:paraId="019486A4">
      <w:pPr>
        <w:pStyle w:val="4"/>
        <w:keepNext/>
        <w:rPr>
          <w:color w:val="000000" w:themeColor="text1"/>
          <w14:textFill>
            <w14:solidFill>
              <w14:schemeClr w14:val="tx1"/>
            </w14:solidFill>
          </w14:textFill>
        </w:rPr>
      </w:pPr>
      <w:r>
        <w:rPr>
          <w:rFonts w:ascii="微软雅黑" w:hAnsi="微软雅黑" w:eastAsia="微软雅黑"/>
          <w:b/>
          <w:i w:val="0"/>
          <w:color w:val="000000" w:themeColor="text1"/>
          <w:sz w:val="26"/>
          <w14:textFill>
            <w14:solidFill>
              <w14:schemeClr w14:val="tx1"/>
            </w14:solidFill>
          </w14:textFill>
        </w:rPr>
        <w:t>6.7 数值流程与模型假设</w:t>
      </w:r>
    </w:p>
    <w:p w14:paraId="1F42A05E">
      <w:pPr>
        <w:pStyle w:val="14"/>
        <w:spacing w:after="100"/>
        <w:rPr>
          <w:color w:val="000000" w:themeColor="text1"/>
          <w14:textFill>
            <w14:solidFill>
              <w14:schemeClr w14:val="tx1"/>
            </w14:solidFill>
          </w14:textFill>
        </w:rPr>
      </w:pPr>
      <w:r>
        <w:rPr>
          <w:rFonts w:ascii="微软雅黑" w:hAnsi="微软雅黑" w:eastAsia="微软雅黑"/>
          <w:b w:val="0"/>
          <w:i w:val="0"/>
          <w:color w:val="000000" w:themeColor="text1"/>
          <w:sz w:val="20"/>
          <w14:textFill>
            <w14:solidFill>
              <w14:schemeClr w14:val="tx1"/>
            </w14:solidFill>
          </w14:textFill>
        </w:rPr>
        <w:t>输入 355 nm、6 mm 准直高斯复场，并乘以第一相位面。</w:t>
      </w:r>
    </w:p>
    <w:p w14:paraId="427F0D1E">
      <w:pPr>
        <w:pStyle w:val="14"/>
        <w:spacing w:after="100"/>
        <w:rPr>
          <w:color w:val="000000" w:themeColor="text1"/>
          <w14:textFill>
            <w14:solidFill>
              <w14:schemeClr w14:val="tx1"/>
            </w14:solidFill>
          </w14:textFill>
        </w:rPr>
      </w:pPr>
      <w:r>
        <w:rPr>
          <w:rFonts w:ascii="微软雅黑" w:hAnsi="微软雅黑" w:eastAsia="微软雅黑"/>
          <w:b w:val="0"/>
          <w:i w:val="0"/>
          <w:color w:val="000000" w:themeColor="text1"/>
          <w:sz w:val="20"/>
          <w14:textFill>
            <w14:solidFill>
              <w14:schemeClr w14:val="tx1"/>
            </w14:solidFill>
          </w14:textFill>
        </w:rPr>
        <w:t>采用角谱法传播到第二元件，建立目标平顶振幅并抵消残余相位。</w:t>
      </w:r>
    </w:p>
    <w:p w14:paraId="1690FC01">
      <w:pPr>
        <w:pStyle w:val="14"/>
        <w:spacing w:after="100"/>
        <w:rPr>
          <w:color w:val="000000" w:themeColor="text1"/>
          <w14:textFill>
            <w14:solidFill>
              <w14:schemeClr w14:val="tx1"/>
            </w14:solidFill>
          </w14:textFill>
        </w:rPr>
      </w:pPr>
      <w:r>
        <w:rPr>
          <w:rFonts w:ascii="微软雅黑" w:hAnsi="微软雅黑" w:eastAsia="微软雅黑"/>
          <w:b w:val="0"/>
          <w:i w:val="0"/>
          <w:color w:val="000000" w:themeColor="text1"/>
          <w:sz w:val="20"/>
          <w14:textFill>
            <w14:solidFill>
              <w14:schemeClr w14:val="tx1"/>
            </w14:solidFill>
          </w14:textFill>
        </w:rPr>
        <w:t>将模块出口复场传播至 CXC1，依次施加 +160 mm 薄透镜、120 mm 传播、-40 mm 薄透镜及到目标面的传播。</w:t>
      </w:r>
    </w:p>
    <w:p w14:paraId="705B1261">
      <w:pPr>
        <w:pStyle w:val="14"/>
        <w:spacing w:after="100"/>
        <w:rPr>
          <w:color w:val="000000" w:themeColor="text1"/>
          <w14:textFill>
            <w14:solidFill>
              <w14:schemeClr w14:val="tx1"/>
            </w14:solidFill>
          </w14:textFill>
        </w:rPr>
      </w:pPr>
      <w:r>
        <w:rPr>
          <w:rFonts w:ascii="微软雅黑" w:hAnsi="微软雅黑" w:eastAsia="微软雅黑"/>
          <w:b w:val="0"/>
          <w:i w:val="0"/>
          <w:color w:val="000000" w:themeColor="text1"/>
          <w:sz w:val="20"/>
          <w14:textFill>
            <w14:solidFill>
              <w14:schemeClr w14:val="tx1"/>
            </w14:solidFill>
          </w14:textFill>
        </w:rPr>
        <w:t>X 传播中不施加 YFL 相位；Y 方向独立用高斯束腰模型验证 1.0 µm 焦斑和 54.24 mm 入射直径。</w:t>
      </w:r>
    </w:p>
    <w:p w14:paraId="3CD17C96">
      <w:pPr>
        <w:pStyle w:val="14"/>
        <w:spacing w:after="100"/>
        <w:rPr>
          <w:color w:val="000000" w:themeColor="text1"/>
          <w14:textFill>
            <w14:solidFill>
              <w14:schemeClr w14:val="tx1"/>
            </w14:solidFill>
          </w14:textFill>
        </w:rPr>
      </w:pPr>
      <w:r>
        <w:rPr>
          <w:rFonts w:ascii="微软雅黑" w:hAnsi="微软雅黑" w:eastAsia="微软雅黑"/>
          <w:b w:val="0"/>
          <w:i w:val="0"/>
          <w:color w:val="000000" w:themeColor="text1"/>
          <w:sz w:val="20"/>
          <w14:textFill>
            <w14:solidFill>
              <w14:schemeClr w14:val="tx1"/>
            </w14:solidFill>
          </w14:textFill>
        </w:rPr>
        <w:t>输出线宽、平均倾角、相位 RMS、曲率和 ABCD 状态；取得 HOLO/OR 官方复场后用相同指标复核。</w:t>
      </w:r>
    </w:p>
    <w:p w14:paraId="11C82C38">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7. MATLAB R2019b 实现</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6560"/>
      </w:tblGrid>
      <w:tr w14:paraId="5828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00" w:type="dxa"/>
            <w:shd w:val="clear" w:color="auto" w:fill="F2F4F7"/>
            <w:tcMar>
              <w:top w:w="80" w:type="dxa"/>
              <w:left w:w="120" w:type="dxa"/>
              <w:bottom w:w="80" w:type="dxa"/>
              <w:right w:w="120" w:type="dxa"/>
            </w:tcMar>
            <w:vAlign w:val="center"/>
          </w:tcPr>
          <w:p w14:paraId="3AE2513B">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项目</w:t>
            </w:r>
          </w:p>
        </w:tc>
        <w:tc>
          <w:tcPr>
            <w:tcW w:w="6560" w:type="dxa"/>
            <w:shd w:val="clear" w:color="auto" w:fill="F2F4F7"/>
            <w:tcMar>
              <w:top w:w="80" w:type="dxa"/>
              <w:left w:w="120" w:type="dxa"/>
              <w:bottom w:w="80" w:type="dxa"/>
              <w:right w:w="120" w:type="dxa"/>
            </w:tcMar>
            <w:vAlign w:val="center"/>
          </w:tcPr>
          <w:p w14:paraId="27F6C00D">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记录</w:t>
            </w:r>
          </w:p>
        </w:tc>
      </w:tr>
      <w:tr w14:paraId="434E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tcMar>
              <w:top w:w="80" w:type="dxa"/>
              <w:left w:w="120" w:type="dxa"/>
              <w:bottom w:w="80" w:type="dxa"/>
              <w:right w:w="120" w:type="dxa"/>
            </w:tcMar>
            <w:vAlign w:val="center"/>
          </w:tcPr>
          <w:p w14:paraId="5FD0C901">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MATLAB</w:t>
            </w:r>
          </w:p>
        </w:tc>
        <w:tc>
          <w:tcPr>
            <w:tcW w:w="6560" w:type="dxa"/>
            <w:tcMar>
              <w:top w:w="80" w:type="dxa"/>
              <w:left w:w="120" w:type="dxa"/>
              <w:bottom w:w="80" w:type="dxa"/>
              <w:right w:w="120" w:type="dxa"/>
            </w:tcMar>
            <w:vAlign w:val="center"/>
          </w:tcPr>
          <w:p w14:paraId="461D7681">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D:\Program Files\Polyspace\R2019b\bin\matlab.exe</w:t>
            </w:r>
          </w:p>
        </w:tc>
      </w:tr>
      <w:tr w14:paraId="2001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00" w:type="dxa"/>
            <w:tcMar>
              <w:top w:w="80" w:type="dxa"/>
              <w:left w:w="120" w:type="dxa"/>
              <w:bottom w:w="80" w:type="dxa"/>
              <w:right w:w="120" w:type="dxa"/>
            </w:tcMar>
            <w:vAlign w:val="center"/>
          </w:tcPr>
          <w:p w14:paraId="66041DA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主程序</w:t>
            </w:r>
          </w:p>
        </w:tc>
        <w:tc>
          <w:tcPr>
            <w:tcW w:w="6560" w:type="dxa"/>
            <w:tcMar>
              <w:top w:w="80" w:type="dxa"/>
              <w:left w:w="120" w:type="dxa"/>
              <w:bottom w:w="80" w:type="dxa"/>
              <w:right w:w="120" w:type="dxa"/>
            </w:tcMar>
            <w:vAlign w:val="center"/>
          </w:tcPr>
          <w:p w14:paraId="61BD6F08">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02_matlab_code/run_HOLOOR_collimated_line_R2019b.m</w:t>
            </w:r>
          </w:p>
        </w:tc>
      </w:tr>
      <w:tr w14:paraId="0FA40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tcMar>
              <w:top w:w="80" w:type="dxa"/>
              <w:left w:w="120" w:type="dxa"/>
              <w:bottom w:w="80" w:type="dxa"/>
              <w:right w:w="120" w:type="dxa"/>
            </w:tcMar>
            <w:vAlign w:val="center"/>
          </w:tcPr>
          <w:p w14:paraId="1F6CF64A">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统一配置</w:t>
            </w:r>
          </w:p>
        </w:tc>
        <w:tc>
          <w:tcPr>
            <w:tcW w:w="6560" w:type="dxa"/>
            <w:tcMar>
              <w:top w:w="80" w:type="dxa"/>
              <w:left w:w="120" w:type="dxa"/>
              <w:bottom w:w="80" w:type="dxa"/>
              <w:right w:w="120" w:type="dxa"/>
            </w:tcMar>
            <w:vAlign w:val="center"/>
          </w:tcPr>
          <w:p w14:paraId="20C8B66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02_matlab_code/common_holoor_collimated_config.m</w:t>
            </w:r>
          </w:p>
        </w:tc>
      </w:tr>
      <w:tr w14:paraId="445B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tcMar>
              <w:top w:w="80" w:type="dxa"/>
              <w:left w:w="120" w:type="dxa"/>
              <w:bottom w:w="80" w:type="dxa"/>
              <w:right w:w="120" w:type="dxa"/>
            </w:tcMar>
            <w:vAlign w:val="center"/>
          </w:tcPr>
          <w:p w14:paraId="74B25152">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HOLO/OR 相位检查</w:t>
            </w:r>
          </w:p>
        </w:tc>
        <w:tc>
          <w:tcPr>
            <w:tcW w:w="6560" w:type="dxa"/>
            <w:tcMar>
              <w:top w:w="80" w:type="dxa"/>
              <w:left w:w="120" w:type="dxa"/>
              <w:bottom w:w="80" w:type="dxa"/>
              <w:right w:w="120" w:type="dxa"/>
            </w:tcMar>
            <w:vAlign w:val="center"/>
          </w:tcPr>
          <w:p w14:paraId="3BADC49E">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02_matlab_code/run_holoor_collimated_solution.m</w:t>
            </w:r>
          </w:p>
        </w:tc>
      </w:tr>
      <w:tr w14:paraId="17AE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tcMar>
              <w:top w:w="80" w:type="dxa"/>
              <w:left w:w="120" w:type="dxa"/>
              <w:bottom w:w="80" w:type="dxa"/>
              <w:right w:w="120" w:type="dxa"/>
            </w:tcMar>
            <w:vAlign w:val="center"/>
          </w:tcPr>
          <w:p w14:paraId="34B4C44E">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独立相位对比</w:t>
            </w:r>
          </w:p>
        </w:tc>
        <w:tc>
          <w:tcPr>
            <w:tcW w:w="6560" w:type="dxa"/>
            <w:tcMar>
              <w:top w:w="80" w:type="dxa"/>
              <w:left w:w="120" w:type="dxa"/>
              <w:bottom w:w="80" w:type="dxa"/>
              <w:right w:w="120" w:type="dxa"/>
            </w:tcMar>
            <w:vAlign w:val="center"/>
          </w:tcPr>
          <w:p w14:paraId="513FB8F8">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02_matlab_code/simulate_holoor_phase_surrogate.m</w:t>
            </w:r>
          </w:p>
        </w:tc>
      </w:tr>
      <w:tr w14:paraId="0321C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tcMar>
              <w:top w:w="80" w:type="dxa"/>
              <w:left w:w="120" w:type="dxa"/>
              <w:bottom w:w="80" w:type="dxa"/>
              <w:right w:w="120" w:type="dxa"/>
            </w:tcMar>
            <w:vAlign w:val="center"/>
          </w:tcPr>
          <w:p w14:paraId="20A2B4D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光路图</w:t>
            </w:r>
          </w:p>
        </w:tc>
        <w:tc>
          <w:tcPr>
            <w:tcW w:w="6560" w:type="dxa"/>
            <w:tcMar>
              <w:top w:w="80" w:type="dxa"/>
              <w:left w:w="120" w:type="dxa"/>
              <w:bottom w:w="80" w:type="dxa"/>
              <w:right w:w="120" w:type="dxa"/>
            </w:tcMar>
            <w:vAlign w:val="center"/>
          </w:tcPr>
          <w:p w14:paraId="46DED01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02_matlab_code/plot_holoor_collimated_paths.m</w:t>
            </w:r>
          </w:p>
        </w:tc>
      </w:tr>
      <w:tr w14:paraId="1783E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00" w:type="dxa"/>
            <w:tcMar>
              <w:top w:w="80" w:type="dxa"/>
              <w:left w:w="120" w:type="dxa"/>
              <w:bottom w:w="80" w:type="dxa"/>
              <w:right w:w="120" w:type="dxa"/>
            </w:tcMar>
            <w:vAlign w:val="center"/>
          </w:tcPr>
          <w:p w14:paraId="559D95A8">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结果目录</w:t>
            </w:r>
          </w:p>
        </w:tc>
        <w:tc>
          <w:tcPr>
            <w:tcW w:w="6560" w:type="dxa"/>
            <w:tcMar>
              <w:top w:w="80" w:type="dxa"/>
              <w:left w:w="120" w:type="dxa"/>
              <w:bottom w:w="80" w:type="dxa"/>
              <w:right w:w="120" w:type="dxa"/>
            </w:tcMar>
            <w:vAlign w:val="center"/>
          </w:tcPr>
          <w:p w14:paraId="125F5962">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03_simulation_results/collimated_line_R2019b</w:t>
            </w:r>
          </w:p>
        </w:tc>
      </w:tr>
    </w:tbl>
    <w:p>
      <w:pPr>
        <w:pStyle w:val="4"/>
        <w:keepNext/>
      </w:pPr>
      <w:r>
        <w:rPr>
          <w:rFonts w:ascii="Microsoft YaHei" w:hAnsi="Microsoft YaHei" w:eastAsia="Microsoft YaHei"/>
          <w:b/>
          <w:i w:val="0"/>
          <w:color w:val="2E74B5"/>
          <w:sz w:val="26"/>
        </w:rPr>
        <w:t>7.1 主程序入口与调用顺序</w:t>
      </w:r>
    </w:p>
    <w:p>
      <w:pPr>
        <w:spacing w:line="276" w:lineRule="auto" w:after="120"/>
      </w:pPr>
      <w:r>
        <w:rPr>
          <w:rFonts w:ascii="Microsoft YaHei" w:hAnsi="Microsoft YaHei" w:eastAsia="Microsoft YaHei"/>
          <w:b w:val="0"/>
          <w:i w:val="0"/>
          <w:sz w:val="21"/>
        </w:rPr>
        <w:t>主程序为 run_HOLOOR_collimated_line_R2019b.m。它先根据自身文件位置解析资料包根目录和结果目录，创建输出目录，读取统一配置，检查 MATLAB 版本，然后调用准直方案求解器。求解器再依次完成 X 向 ABCD 检查、厂商出口复场检查、独立双元件替代模型传播和 XZ/YZ 光路绘制。主程序最后写出 MATLAB 版本、时间和状态清单。</w:t>
      </w:r>
    </w:p>
    <w:p>
      <w:pPr>
        <w:spacing w:before="40" w:after="140"/>
        <w:ind w:left="403" w:right="259"/>
        <w:shd w:fill="F3F4F6"/>
      </w:pPr>
      <w:r>
        <w:rPr>
          <w:rFonts w:ascii="Consolas" w:hAnsi="Consolas" w:eastAsia="Consolas"/>
          <w:b w:val="0"/>
          <w:i w:val="0"/>
          <w:color w:val="202124"/>
          <w:sz w:val="16"/>
        </w:rPr>
        <w:t>cfg = common_holoor_collimated_config();</w:t>
        <w:br/>
        <w:t>result = run_holoor_collimated_solution(cfg, outputDir);</w:t>
        <w:br/>
        <w:t>% run_holoor_collimated_solution 内部：</w:t>
        <w:br/>
        <w:t>%   1) X 向 ABCD 与边缘光线</w:t>
        <w:br/>
        <w:t>%   2) HOLO/OR 出口复场接口（若有）</w:t>
        <w:br/>
        <w:t>%   3) 独立双元件复场替代模型</w:t>
        <w:br/>
        <w:t>%   4) XZ/YZ 几何光路图与 CSV/MAT 输出</w:t>
      </w:r>
    </w:p>
    <w:p>
      <w:pPr>
        <w:pStyle w:val="4"/>
        <w:keepNext/>
      </w:pPr>
      <w:r>
        <w:rPr>
          <w:rFonts w:ascii="Microsoft YaHei" w:hAnsi="Microsoft YaHei" w:eastAsia="Microsoft YaHei"/>
          <w:b/>
          <w:i w:val="0"/>
          <w:color w:val="2E74B5"/>
          <w:sz w:val="26"/>
        </w:rPr>
        <w:t>7.2 统一参数配置</w:t>
      </w:r>
    </w:p>
    <w:p>
      <w:pPr>
        <w:spacing w:line="276" w:lineRule="auto" w:after="120"/>
      </w:pPr>
      <w:r>
        <w:rPr>
          <w:rFonts w:ascii="Microsoft YaHei" w:hAnsi="Microsoft YaHei" w:eastAsia="Microsoft YaHei"/>
          <w:b w:val="0"/>
          <w:i w:val="0"/>
          <w:sz w:val="21"/>
        </w:rPr>
        <w:t>common_holoor_collimated_config.m 是唯一参数源，单位统一为 mm 和 rad。文件设置 λ=355×10⁻⁶ mm、M²=1.2、激光出口直径 1.0 mm、圆对称 6× 扩束后直径 6.0 mm、终端 X 宽度 1.5 mm、终端 Y 宽度 1.0×10⁻³ mm、fY=100 mm，并由高斯束腰关系计算 YFL 入射直径 54.240 mm和含 10% 余量的有效口径 59.664 mm。所有元件 z 位置、焦距和相位验收阈值也在该文件中集中定义。</w:t>
      </w:r>
    </w:p>
    <w:p>
      <w:pPr>
        <w:spacing w:before="40" w:after="140"/>
        <w:ind w:left="403" w:right="259"/>
        <w:shd w:fill="F3F4F6"/>
      </w:pPr>
      <w:r>
        <w:rPr>
          <w:rFonts w:ascii="Consolas" w:hAnsi="Consolas" w:eastAsia="Consolas"/>
          <w:b w:val="0"/>
          <w:i w:val="0"/>
          <w:color w:val="202124"/>
          <w:sz w:val="16"/>
        </w:rPr>
        <w:t>cfg.lambda = 355e-6;       % mm</w:t>
        <w:br/>
        <w:t>cfg.M2 = 1.2;</w:t>
        <w:br/>
        <w:t>cfg.moduleOutputXWidth = 6.0;</w:t>
        <w:br/>
        <w:t>cfg.targetXWidth = 1.5;</w:t>
        <w:br/>
        <w:t>cfg.targetYWidth = 1.0e-3; % mm = 1.0 um</w:t>
        <w:br/>
        <w:t>cfg.layout.fXC1 = +160; cfg.layout.fXC2 = -40;</w:t>
        <w:br/>
        <w:t>cfg.layout.fYFL = +100; cfg.xLastLensPower = 0;</w:t>
      </w:r>
    </w:p>
    <w:p>
      <w:pPr>
        <w:pStyle w:val="4"/>
        <w:keepNext/>
      </w:pPr>
      <w:r>
        <w:rPr>
          <w:rFonts w:ascii="Microsoft YaHei" w:hAnsi="Microsoft YaHei" w:eastAsia="Microsoft YaHei"/>
          <w:b/>
          <w:i w:val="0"/>
          <w:color w:val="2E74B5"/>
          <w:sz w:val="26"/>
        </w:rPr>
        <w:t>7.3 X 向 ABCD 与边缘光线验证</w:t>
      </w:r>
    </w:p>
    <w:p>
      <w:pPr>
        <w:spacing w:line="276" w:lineRule="auto" w:after="120"/>
      </w:pPr>
      <w:r>
        <w:rPr>
          <w:rFonts w:ascii="Microsoft YaHei" w:hAnsi="Microsoft YaHei" w:eastAsia="Microsoft YaHei"/>
          <w:b w:val="0"/>
          <w:i w:val="0"/>
          <w:sz w:val="21"/>
        </w:rPr>
        <w:t>run_holoor_collimated_solution.m 用 P(d) 和 L(f) 构造 CXC1/CXC2 的无焦矩阵。对模块出口 ±3 mm、入射角为 0 的两条边缘光线进行传播；结果应在 CXC2 后变为 ±0.75 mm，且角度仍为 0。YFL 在 X 平面使用单位矩阵 Ix，因此从 z=600 mm 到目标面的传播不引入 X 光焦度。程序把 C=0、末片 X 光焦度=0、CXC 后宽度、目标宽度和边缘光线角度逐项写入 collimated_x_verification.csv。</w:t>
      </w:r>
    </w:p>
    <w:p>
      <w:pPr>
        <w:spacing w:before="40" w:after="140"/>
        <w:ind w:left="403" w:right="259"/>
        <w:shd w:fill="F3F4F6"/>
      </w:pPr>
      <w:r>
        <w:rPr>
          <w:rFonts w:ascii="Consolas" w:hAnsi="Consolas" w:eastAsia="Consolas"/>
          <w:b w:val="0"/>
          <w:i w:val="0"/>
          <w:color w:val="202124"/>
          <w:sz w:val="16"/>
        </w:rPr>
        <w:t>P = @(d)[1 d; 0 1];</w:t>
        <w:br/>
        <w:t>L = @(f)[1 0; -1/f 1];</w:t>
        <w:br/>
        <w:t>Ix = eye(2);</w:t>
        <w:br/>
        <w:t>MxTelescope = L(-40)*P(120)*L(160);</w:t>
        <w:br/>
        <w:t>MxToTarget = P(150)*Ix*MxTelescope;</w:t>
        <w:br/>
        <w:t>rayIn = [-3 3; 0 0];</w:t>
        <w:br/>
        <w:t>rayAtTarget = MxToTarget*rayIn;</w:t>
      </w:r>
    </w:p>
    <w:p>
      <w:pPr>
        <w:pStyle w:val="4"/>
        <w:keepNext/>
      </w:pPr>
      <w:r>
        <w:rPr>
          <w:rFonts w:ascii="Microsoft YaHei" w:hAnsi="Microsoft YaHei" w:eastAsia="Microsoft YaHei"/>
          <w:b/>
          <w:i w:val="0"/>
          <w:color w:val="2E74B5"/>
          <w:sz w:val="26"/>
        </w:rPr>
        <w:t>7.4 HOLO/OR 出口复场数据接口</w:t>
      </w:r>
    </w:p>
    <w:p>
      <w:pPr>
        <w:spacing w:line="276" w:lineRule="auto" w:after="120"/>
      </w:pPr>
      <w:r>
        <w:rPr>
          <w:rFonts w:ascii="Microsoft YaHei" w:hAnsi="Microsoft YaHei" w:eastAsia="Microsoft YaHei"/>
          <w:b w:val="0"/>
          <w:i w:val="0"/>
          <w:sz w:val="21"/>
        </w:rPr>
        <w:t>当 01_vendor_model/HOLOOR_CBSM_LINE_355_exit_complex_field.mat 存在时，程序读取 x_mm 和 U_exit；也兼容 amplitude 与 phase_rad 两数组。有效区按振幅不低于峰值 e⁻¹（等价于强度不低于峰值 e⁻²）选取，随后展开相位并分别进行二次和一次拟合。一次项换算平均残余倾角；只去除 piston 和一次倾斜后的相位 RMS保留二次曲率，用于避免把会聚或发散波前误判为准直。</w:t>
      </w:r>
    </w:p>
    <w:p>
      <w:pPr>
        <w:spacing w:before="40" w:after="140"/>
        <w:ind w:left="403" w:right="259"/>
        <w:shd w:fill="F3F4F6"/>
      </w:pPr>
      <w:r>
        <w:rPr>
          <w:rFonts w:ascii="Consolas" w:hAnsi="Consolas" w:eastAsia="Consolas"/>
          <w:b w:val="0"/>
          <w:i w:val="0"/>
          <w:color w:val="202124"/>
          <w:sz w:val="16"/>
        </w:rPr>
        <w:t>active = abs(uVendor) &gt;= exp(-1)*max(abs(uVendor));</w:t>
        <w:br/>
        <w:t>phi = unwrap(angle(uVendor(active)));</w:t>
        <w:br/>
        <w:t>fitCoef = polyfit(xAct, phi, 2);</w:t>
        <w:br/>
        <w:t>linearCoef = polyfit(xAct, phi, 1);</w:t>
        <w:br/>
        <w:t>phaseRms = sqrt(mean((phi-polyval(linearCoef,xAct)).^2));</w:t>
        <w:br/>
        <w:t>residualTilt = linearCoef(1)*cfg.lambda/(2*pi);</w:t>
        <w:br/>
        <w:t>curvature = pi/(cfg.lambda*fitCoef(1));</w:t>
      </w:r>
    </w:p>
    <w:p>
      <w:pPr>
        <w:spacing w:before="80" w:after="140"/>
        <w:shd w:fill="FCE8E6"/>
      </w:pPr>
      <w:r>
        <w:rPr>
          <w:rFonts w:ascii="Microsoft YaHei" w:hAnsi="Microsoft YaHei" w:eastAsia="Microsoft YaHei"/>
          <w:b/>
          <w:i w:val="0"/>
          <w:sz w:val="20"/>
        </w:rPr>
        <w:t xml:space="preserve">验收边界  </w:t>
      </w:r>
      <w:r>
        <w:rPr>
          <w:rFonts w:ascii="Microsoft YaHei" w:hAnsi="Microsoft YaHei" w:eastAsia="Microsoft YaHei"/>
          <w:b w:val="0"/>
          <w:i w:val="0"/>
          <w:sz w:val="20"/>
        </w:rPr>
        <w:t>厂商复场文件缺失时，phaseDataAvailable=0、phaseVerified=0，最终 Vendor acceptance pass 必须保持为 0。当前接口首先检查模块出口波前；收到正式复场后，还应把该复场通过同一 CXC 传播链复算终端指标，或以样机终端波前实测关闭最终验收。</w:t>
      </w:r>
    </w:p>
    <w:p>
      <w:pPr>
        <w:pStyle w:val="4"/>
        <w:keepNext/>
      </w:pPr>
      <w:r>
        <w:rPr>
          <w:rFonts w:ascii="Microsoft YaHei" w:hAnsi="Microsoft YaHei" w:eastAsia="Microsoft YaHei"/>
          <w:b/>
          <w:i w:val="0"/>
          <w:color w:val="2E74B5"/>
          <w:sz w:val="26"/>
        </w:rPr>
        <w:t>7.5 独立双元件相位替代模型</w:t>
      </w:r>
    </w:p>
    <w:p>
      <w:pPr>
        <w:spacing w:line="276" w:lineRule="auto" w:after="120"/>
      </w:pPr>
      <w:r>
        <w:rPr>
          <w:rFonts w:ascii="Microsoft YaHei" w:hAnsi="Microsoft YaHei" w:eastAsia="Microsoft YaHei"/>
          <w:b w:val="0"/>
          <w:i w:val="0"/>
          <w:sz w:val="21"/>
        </w:rPr>
        <w:t>simulate_holoor_phase_surrogate.m 用于在厂商相位缺失时进行物理对比，不是厂商代码。网格为 N=32768、窗口 80 mm、采样间隔约 2.44 µm；输入为 6 mm 全 1/e² 直径的高斯振幅并受 15 mm 口径截断。程序先用累计能量守恒建立高斯到线形平顶的坐标映射 T(ξ)，积分局部偏转角得到第一相位 φ1，再计算传播到第二元件前的复场和相位补偿 φ2。</w:t>
      </w:r>
    </w:p>
    <w:p>
      <w:pPr>
        <w:spacing w:line="276" w:lineRule="auto" w:after="120"/>
      </w:pPr>
      <w:r>
        <w:rPr>
          <w:rFonts w:ascii="Microsoft YaHei" w:hAnsi="Microsoft YaHei" w:eastAsia="Microsoft YaHei"/>
          <w:b w:val="0"/>
          <w:i w:val="0"/>
          <w:sz w:val="21"/>
        </w:rPr>
        <w:t>当前数值版本把第二元件后的场设置为相位平坦、m=8 的超高斯理想出口场，随后让该复场通过实际后级光路。因此它验证的是“理想双元件准直出口 + 实际 CXC 后级”是否满足目标，而不是已经完成制造约束优化的 DOE 微结构。φ1、φ2 是结构原理与后续优化的初值/对照量；若要形成可加工 DOE，仍需迭代传播优化、相位量化、口径、效率和公差分析。</w:t>
      </w:r>
    </w:p>
    <w:p>
      <w:pPr>
        <w:spacing w:before="40" w:after="140"/>
        <w:ind w:left="403" w:right="259"/>
        <w:shd w:fill="F3F4F6"/>
      </w:pPr>
      <w:r>
        <w:rPr>
          <w:rFonts w:ascii="Consolas" w:hAnsi="Consolas" w:eastAsia="Consolas"/>
          <w:b w:val="0"/>
          <w:i w:val="0"/>
          <w:color w:val="202124"/>
          <w:sz w:val="16"/>
        </w:rPr>
        <w:t>xMapped = (outputWidth/2)*erf(sqrt(2)*x/w)/cdfEdge;</w:t>
        <w:br/>
        <w:t>phi1 = cumtrapz(x, k*sin(atan2(xMapped-x, mapperDistance)));</w:t>
        <w:br/>
        <w:t>Ebefore2 = propagate(Ein.*exp(1i*phi1), mapperDistance);</w:t>
        <w:br/>
        <w:t>phi2 = -unwrap(angle(Ebefore2));</w:t>
        <w:br/>
        <w:t>Eafter2 = exp(-(abs(x)/(outputWidth/2)).^8); % 理想准直出口参考</w:t>
      </w:r>
    </w:p>
    <w:p>
      <w:pPr>
        <w:pStyle w:val="4"/>
        <w:keepNext/>
      </w:pPr>
      <w:r>
        <w:rPr>
          <w:rFonts w:ascii="Microsoft YaHei" w:hAnsi="Microsoft YaHei" w:eastAsia="Microsoft YaHei"/>
          <w:b/>
          <w:i w:val="0"/>
          <w:color w:val="2E74B5"/>
          <w:sz w:val="26"/>
        </w:rPr>
        <w:t>7.6 后级复场传播与末片镜子处理</w:t>
      </w:r>
    </w:p>
    <w:p>
      <w:pPr>
        <w:spacing w:line="276" w:lineRule="auto" w:after="120"/>
      </w:pPr>
      <w:r>
        <w:rPr>
          <w:rFonts w:ascii="Microsoft YaHei" w:hAnsi="Microsoft YaHei" w:eastAsia="Microsoft YaHei"/>
          <w:b w:val="0"/>
          <w:i w:val="0"/>
          <w:sz w:val="21"/>
        </w:rPr>
        <w:t>替代模型的出口复场先传播到 CXC1，乘以 fX=+160 mm 的薄透镜二次相位；传播 120 mm 后乘以 fX=-40 mm的薄透镜相位，再传播 150 mm 到目标面。传播函数使用一维角谱传递函数，完整保留振幅和相位。由于末片 YFL 只对 Y 聚焦，X 传播代码中有意不施加 YFL 的薄透镜相位，这正是保证 X 近似平行的程序实现。</w:t>
      </w:r>
    </w:p>
    <w:p>
      <w:pPr>
        <w:spacing w:before="40" w:after="140"/>
        <w:ind w:left="403" w:right="259"/>
        <w:shd w:fill="F3F4F6"/>
      </w:pPr>
      <w:r>
        <w:rPr>
          <w:rFonts w:ascii="Consolas" w:hAnsi="Consolas" w:eastAsia="Consolas"/>
          <w:b w:val="0"/>
          <w:i w:val="0"/>
          <w:color w:val="202124"/>
          <w:sz w:val="16"/>
        </w:rPr>
        <w:t>E = propagate(Eafter2, zCXC1-zCBSM2);</w:t>
        <w:br/>
        <w:t>E = E.*exp(-1i*k*x.^2/(2*fXC1));</w:t>
        <w:br/>
        <w:t>E = propagate(E, zCXC2-zCXC1);</w:t>
        <w:br/>
        <w:t>E = E.*exp(-1i*k*x.^2/(2*fXC2));</w:t>
        <w:br/>
        <w:t>Etarget = propagate(E, zTarget-zCXC2);</w:t>
        <w:br/>
        <w:t>% YFL: X optical power = 0, 因此不乘 X 向透镜相位</w:t>
      </w:r>
    </w:p>
    <w:p>
      <w:pPr>
        <w:pStyle w:val="4"/>
        <w:keepNext/>
      </w:pPr>
      <w:r>
        <w:rPr>
          <w:rFonts w:ascii="Microsoft YaHei" w:hAnsi="Microsoft YaHei" w:eastAsia="Microsoft YaHei"/>
          <w:b/>
          <w:i w:val="0"/>
          <w:color w:val="2E74B5"/>
          <w:sz w:val="26"/>
        </w:rPr>
        <w:t>7.7 指标提取、状态和输出</w:t>
      </w:r>
    </w:p>
    <w:p>
      <w:pPr>
        <w:spacing w:line="276" w:lineRule="auto" w:after="120"/>
      </w:pPr>
      <w:r>
        <w:rPr>
          <w:rFonts w:ascii="Microsoft YaHei" w:hAnsi="Microsoft YaHei" w:eastAsia="Microsoft YaHei"/>
          <w:b w:val="0"/>
          <w:i w:val="0"/>
          <w:sz w:val="21"/>
        </w:rPr>
        <w:t>wavefrontMetrics 在有效光斑内拟合二次相位，计算平均倾角、局部角度 RMS、去 piston/倾斜后的相位 RMS和波前曲率半径；thresholdWidth 按强度 e⁻² 阈值提取全宽。独立模型通过条件为：线宽误差≤5%、平均倾角≤10 µrad、相位 RMS≤0.10 rad、曲率边缘斜率≤50 µrad。geometricPass 表示几何链通过；designPass 表示几何链与厂商相位或独立模型至少一项通过；acceptancePass 只在几何链和厂商相位均通过时为真。</w:t>
      </w:r>
    </w:p>
    <w:p>
      <w:pPr>
        <w:spacing w:line="276" w:lineRule="auto" w:after="120"/>
      </w:pPr>
      <w:r>
        <w:rPr>
          <w:rFonts w:ascii="Microsoft YaHei" w:hAnsi="Microsoft YaHei" w:eastAsia="Microsoft YaHei"/>
          <w:b w:val="0"/>
          <w:i w:val="0"/>
          <w:sz w:val="21"/>
        </w:rPr>
        <w:t>输出包括 collimated_x_abcd.csv、collimated_x_verification.csv、holoor_phase_verification.csv、holoor_collimated_summary.csv、phase_surrogate_profiles.csv、phase_surrogate_summary.csv、MAT 结果文件及 XZ/YZ/复场图。plot_holoor_collimated_paths.m 只绘制几何包络，不替代衍射复场判定；无 X 光焦度的 Y 元件在 XZ 图中用虚线表示。</w:t>
      </w:r>
    </w:p>
    <w:p>
      <w:pPr>
        <w:pStyle w:val="4"/>
        <w:keepNext/>
      </w:pPr>
      <w:r>
        <w:rPr>
          <w:rFonts w:ascii="Microsoft YaHei" w:hAnsi="Microsoft YaHei" w:eastAsia="Microsoft YaHei"/>
          <w:b/>
          <w:i w:val="0"/>
          <w:color w:val="2E74B5"/>
          <w:sz w:val="26"/>
        </w:rPr>
        <w:t>7.8 MATLAB R2019b 运行方式</w:t>
      </w:r>
    </w:p>
    <w:p>
      <w:pPr>
        <w:spacing w:line="276" w:lineRule="auto" w:after="120"/>
      </w:pPr>
      <w:r>
        <w:rPr>
          <w:rFonts w:ascii="Microsoft YaHei" w:hAnsi="Microsoft YaHei" w:eastAsia="Microsoft YaHei"/>
          <w:b w:val="0"/>
          <w:i w:val="0"/>
          <w:sz w:val="21"/>
        </w:rPr>
        <w:t>在 MATLAB R2019b 命令窗口运行以下命令；主程序会自动更新最终结果目录。</w:t>
      </w:r>
    </w:p>
    <w:p>
      <w:pPr>
        <w:spacing w:before="40" w:after="140"/>
        <w:ind w:left="403" w:right="259"/>
        <w:shd w:fill="F3F4F6"/>
      </w:pPr>
      <w:r>
        <w:rPr>
          <w:rFonts w:ascii="Consolas" w:hAnsi="Consolas" w:eastAsia="Consolas"/>
          <w:b w:val="0"/>
          <w:i w:val="0"/>
          <w:color w:val="202124"/>
          <w:sz w:val="16"/>
        </w:rPr>
        <w:t>cd('D:/work/git_share/laser_sim/deliverables/HOLOOR_CBSM_LINE_355nm_package/02_matlab_code');</w:t>
        <w:br/>
        <w:t>result = run_HOLOOR_collimated_line_R2019b();</w:t>
        <w:br/>
        <w:t>result.geometricPass</w:t>
        <w:br/>
        <w:t>result.designPass</w:t>
        <w:br/>
        <w:t>result.acceptancePass</w:t>
      </w:r>
    </w:p>
    <w:p w14:paraId="0F027974">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8. 仿真结果与判定</w:t>
      </w:r>
    </w:p>
    <w:p w14:paraId="56FDCB82">
      <w:pPr>
        <w:pStyle w:val="4"/>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8.</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14:textFill>
            <w14:solidFill>
              <w14:schemeClr w14:val="tx1"/>
            </w14:solidFill>
          </w14:textFill>
        </w:rPr>
        <w:t xml:space="preserve"> 独立双元件复场对比</w:t>
      </w:r>
    </w:p>
    <w:p w14:paraId="608A4E66">
      <w:pPr>
        <w:keepNext/>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drawing>
          <wp:inline distT="0" distB="0" distL="114300" distR="114300">
            <wp:extent cx="5715000" cy="3636010"/>
            <wp:effectExtent l="0" t="0" r="0" b="8890"/>
            <wp:docPr id="3" name="Picture 3" descr="图 3  独立双元件复场模型经实际 CXC 后级传播的强度与局部相位角。该图不是 HOLO/OR 专有相位数据。" title="图 3  独立双元件复场模型经实际 CXC 后级传播的强度与局部相位角。该图不是 HOLO/OR 专有相位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3  独立双元件复场模型经实际 CXC 后级传播的强度与局部相位角。该图不是 HOLO/OR 专有相位数据。" title="图 3  独立双元件复场模型经实际 CXC 后级传播的强度与局部相位角。该图不是 HOLO/OR 专有相位数据。"/>
                    <pic:cNvPicPr>
                      <a:picLocks noChangeAspect="1"/>
                    </pic:cNvPicPr>
                  </pic:nvPicPr>
                  <pic:blipFill>
                    <a:blip r:embed="rId32"/>
                    <a:stretch>
                      <a:fillRect/>
                    </a:stretch>
                  </pic:blipFill>
                  <pic:spPr>
                    <a:xfrm>
                      <a:off x="0" y="0"/>
                      <a:ext cx="5715000" cy="3636314"/>
                    </a:xfrm>
                    <a:prstGeom prst="rect">
                      <a:avLst/>
                    </a:prstGeom>
                  </pic:spPr>
                </pic:pic>
              </a:graphicData>
            </a:graphic>
          </wp:inline>
        </w:drawing>
      </w:r>
    </w:p>
    <w:p w14:paraId="4666D053">
      <w:pPr>
        <w:spacing w:after="16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图 3  独立双元件复场模型经实际 CXC 后级传播的强度与局部相位角。</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0"/>
        <w:gridCol w:w="2600"/>
        <w:gridCol w:w="3160"/>
      </w:tblGrid>
      <w:tr w14:paraId="6B18A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600" w:type="dxa"/>
            <w:shd w:val="clear" w:color="auto" w:fill="F2F4F7"/>
            <w:tcMar>
              <w:top w:w="80" w:type="dxa"/>
              <w:left w:w="120" w:type="dxa"/>
              <w:bottom w:w="80" w:type="dxa"/>
              <w:right w:w="120" w:type="dxa"/>
            </w:tcMar>
            <w:vAlign w:val="center"/>
          </w:tcPr>
          <w:p w14:paraId="7C0E2B54">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指标</w:t>
            </w:r>
          </w:p>
        </w:tc>
        <w:tc>
          <w:tcPr>
            <w:tcW w:w="2600" w:type="dxa"/>
            <w:shd w:val="clear" w:color="auto" w:fill="F2F4F7"/>
            <w:tcMar>
              <w:top w:w="80" w:type="dxa"/>
              <w:left w:w="120" w:type="dxa"/>
              <w:bottom w:w="80" w:type="dxa"/>
              <w:right w:w="120" w:type="dxa"/>
            </w:tcMar>
            <w:vAlign w:val="center"/>
          </w:tcPr>
          <w:p w14:paraId="57C15695">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计算值</w:t>
            </w:r>
          </w:p>
        </w:tc>
        <w:tc>
          <w:tcPr>
            <w:tcW w:w="3160" w:type="dxa"/>
            <w:shd w:val="clear" w:color="auto" w:fill="F2F4F7"/>
            <w:tcMar>
              <w:top w:w="80" w:type="dxa"/>
              <w:left w:w="120" w:type="dxa"/>
              <w:bottom w:w="80" w:type="dxa"/>
              <w:right w:w="120" w:type="dxa"/>
            </w:tcMar>
            <w:vAlign w:val="center"/>
          </w:tcPr>
          <w:p w14:paraId="291C3640">
            <w:pPr>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color w:val="000000" w:themeColor="text1"/>
                <w:sz w:val="17"/>
                <w14:textFill>
                  <w14:solidFill>
                    <w14:schemeClr w14:val="tx1"/>
                  </w14:solidFill>
                </w14:textFill>
              </w:rPr>
              <w:t>设计判据</w:t>
            </w:r>
          </w:p>
        </w:tc>
      </w:tr>
      <w:tr w14:paraId="7CFF6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80" w:type="dxa"/>
              <w:left w:w="120" w:type="dxa"/>
              <w:bottom w:w="80" w:type="dxa"/>
              <w:right w:w="120" w:type="dxa"/>
            </w:tcMar>
            <w:vAlign w:val="center"/>
          </w:tcPr>
          <w:p w14:paraId="40C4CC2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目标 X 全 1/e² 宽度</w:t>
            </w:r>
          </w:p>
        </w:tc>
        <w:tc>
          <w:tcPr>
            <w:tcW w:w="2600" w:type="dxa"/>
            <w:tcMar>
              <w:top w:w="80" w:type="dxa"/>
              <w:left w:w="120" w:type="dxa"/>
              <w:bottom w:w="80" w:type="dxa"/>
              <w:right w:w="120" w:type="dxa"/>
            </w:tcMar>
            <w:vAlign w:val="center"/>
          </w:tcPr>
          <w:p w14:paraId="4F3822A8">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1.503906 mm</w:t>
            </w:r>
          </w:p>
        </w:tc>
        <w:tc>
          <w:tcPr>
            <w:tcW w:w="3160" w:type="dxa"/>
            <w:tcMar>
              <w:top w:w="80" w:type="dxa"/>
              <w:left w:w="120" w:type="dxa"/>
              <w:bottom w:w="80" w:type="dxa"/>
              <w:right w:w="120" w:type="dxa"/>
            </w:tcMar>
            <w:vAlign w:val="center"/>
          </w:tcPr>
          <w:p w14:paraId="1C1AF762">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与 1.5 mm 偏差 0.260%</w:t>
            </w:r>
          </w:p>
        </w:tc>
      </w:tr>
      <w:tr w14:paraId="04C1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80" w:type="dxa"/>
              <w:left w:w="120" w:type="dxa"/>
              <w:bottom w:w="80" w:type="dxa"/>
              <w:right w:w="120" w:type="dxa"/>
            </w:tcMar>
            <w:vAlign w:val="center"/>
          </w:tcPr>
          <w:p w14:paraId="1FD61880">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目标平均波前倾角</w:t>
            </w:r>
          </w:p>
        </w:tc>
        <w:tc>
          <w:tcPr>
            <w:tcW w:w="2600" w:type="dxa"/>
            <w:tcMar>
              <w:top w:w="80" w:type="dxa"/>
              <w:left w:w="120" w:type="dxa"/>
              <w:bottom w:w="80" w:type="dxa"/>
              <w:right w:w="120" w:type="dxa"/>
            </w:tcMar>
            <w:vAlign w:val="center"/>
          </w:tcPr>
          <w:p w14:paraId="32A0629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约 0 µrad</w:t>
            </w:r>
          </w:p>
        </w:tc>
        <w:tc>
          <w:tcPr>
            <w:tcW w:w="3160" w:type="dxa"/>
            <w:tcMar>
              <w:top w:w="80" w:type="dxa"/>
              <w:left w:w="120" w:type="dxa"/>
              <w:bottom w:w="80" w:type="dxa"/>
              <w:right w:w="120" w:type="dxa"/>
            </w:tcMar>
            <w:vAlign w:val="center"/>
          </w:tcPr>
          <w:p w14:paraId="289408E6">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≤10 µrad</w:t>
            </w:r>
          </w:p>
        </w:tc>
      </w:tr>
      <w:tr w14:paraId="57642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80" w:type="dxa"/>
              <w:left w:w="120" w:type="dxa"/>
              <w:bottom w:w="80" w:type="dxa"/>
              <w:right w:w="120" w:type="dxa"/>
            </w:tcMar>
            <w:vAlign w:val="center"/>
          </w:tcPr>
          <w:p w14:paraId="2000F4A4">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目标相位 RMS</w:t>
            </w:r>
          </w:p>
        </w:tc>
        <w:tc>
          <w:tcPr>
            <w:tcW w:w="2600" w:type="dxa"/>
            <w:tcMar>
              <w:top w:w="80" w:type="dxa"/>
              <w:left w:w="120" w:type="dxa"/>
              <w:bottom w:w="80" w:type="dxa"/>
              <w:right w:w="120" w:type="dxa"/>
            </w:tcMar>
            <w:vAlign w:val="center"/>
          </w:tcPr>
          <w:p w14:paraId="246FBC7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0.03785 rad</w:t>
            </w:r>
          </w:p>
        </w:tc>
        <w:tc>
          <w:tcPr>
            <w:tcW w:w="3160" w:type="dxa"/>
            <w:tcMar>
              <w:top w:w="80" w:type="dxa"/>
              <w:left w:w="120" w:type="dxa"/>
              <w:bottom w:w="80" w:type="dxa"/>
              <w:right w:w="120" w:type="dxa"/>
            </w:tcMar>
            <w:vAlign w:val="center"/>
          </w:tcPr>
          <w:p w14:paraId="6609CF4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≤0.10 rad</w:t>
            </w:r>
          </w:p>
        </w:tc>
      </w:tr>
      <w:tr w14:paraId="6F2E5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80" w:type="dxa"/>
              <w:left w:w="120" w:type="dxa"/>
              <w:bottom w:w="80" w:type="dxa"/>
              <w:right w:w="120" w:type="dxa"/>
            </w:tcMar>
            <w:vAlign w:val="center"/>
          </w:tcPr>
          <w:p w14:paraId="2BB9585E">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目标拟合曲率半径</w:t>
            </w:r>
          </w:p>
        </w:tc>
        <w:tc>
          <w:tcPr>
            <w:tcW w:w="2600" w:type="dxa"/>
            <w:tcMar>
              <w:top w:w="80" w:type="dxa"/>
              <w:left w:w="120" w:type="dxa"/>
              <w:bottom w:w="80" w:type="dxa"/>
              <w:right w:w="120" w:type="dxa"/>
            </w:tcMar>
            <w:vAlign w:val="center"/>
          </w:tcPr>
          <w:p w14:paraId="50533634">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约 -27.43 m</w:t>
            </w:r>
          </w:p>
        </w:tc>
        <w:tc>
          <w:tcPr>
            <w:tcW w:w="3160" w:type="dxa"/>
            <w:tcMar>
              <w:top w:w="80" w:type="dxa"/>
              <w:left w:w="120" w:type="dxa"/>
              <w:bottom w:w="80" w:type="dxa"/>
              <w:right w:w="120" w:type="dxa"/>
            </w:tcMar>
            <w:vAlign w:val="center"/>
          </w:tcPr>
          <w:p w14:paraId="0329B1AA">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记录项</w:t>
            </w:r>
          </w:p>
        </w:tc>
      </w:tr>
      <w:tr w14:paraId="3DFB1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80" w:type="dxa"/>
              <w:left w:w="120" w:type="dxa"/>
              <w:bottom w:w="80" w:type="dxa"/>
              <w:right w:w="120" w:type="dxa"/>
            </w:tcMar>
            <w:vAlign w:val="center"/>
          </w:tcPr>
          <w:p w14:paraId="2F596E43">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目标曲率边缘斜率</w:t>
            </w:r>
          </w:p>
        </w:tc>
        <w:tc>
          <w:tcPr>
            <w:tcW w:w="2600" w:type="dxa"/>
            <w:tcMar>
              <w:top w:w="80" w:type="dxa"/>
              <w:left w:w="120" w:type="dxa"/>
              <w:bottom w:w="80" w:type="dxa"/>
              <w:right w:w="120" w:type="dxa"/>
            </w:tcMar>
            <w:vAlign w:val="center"/>
          </w:tcPr>
          <w:p w14:paraId="3ADFBE2B">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27.34 µrad</w:t>
            </w:r>
          </w:p>
        </w:tc>
        <w:tc>
          <w:tcPr>
            <w:tcW w:w="3160" w:type="dxa"/>
            <w:tcMar>
              <w:top w:w="80" w:type="dxa"/>
              <w:left w:w="120" w:type="dxa"/>
              <w:bottom w:w="80" w:type="dxa"/>
              <w:right w:w="120" w:type="dxa"/>
            </w:tcMar>
            <w:vAlign w:val="center"/>
          </w:tcPr>
          <w:p w14:paraId="6A4998C8">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≤50 µrad</w:t>
            </w:r>
          </w:p>
        </w:tc>
      </w:tr>
      <w:tr w14:paraId="445B8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tcMar>
              <w:top w:w="80" w:type="dxa"/>
              <w:left w:w="120" w:type="dxa"/>
              <w:bottom w:w="80" w:type="dxa"/>
              <w:right w:w="120" w:type="dxa"/>
            </w:tcMar>
            <w:vAlign w:val="center"/>
          </w:tcPr>
          <w:p w14:paraId="789F5DD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设计复核</w:t>
            </w:r>
          </w:p>
        </w:tc>
        <w:tc>
          <w:tcPr>
            <w:tcW w:w="2600" w:type="dxa"/>
            <w:tcMar>
              <w:top w:w="80" w:type="dxa"/>
              <w:left w:w="120" w:type="dxa"/>
              <w:bottom w:w="80" w:type="dxa"/>
              <w:right w:w="120" w:type="dxa"/>
            </w:tcMar>
            <w:vAlign w:val="center"/>
          </w:tcPr>
          <w:p w14:paraId="5D6D9615">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通过</w:t>
            </w:r>
          </w:p>
        </w:tc>
        <w:tc>
          <w:tcPr>
            <w:tcW w:w="3160" w:type="dxa"/>
            <w:tcMar>
              <w:top w:w="80" w:type="dxa"/>
              <w:left w:w="120" w:type="dxa"/>
              <w:bottom w:w="80" w:type="dxa"/>
              <w:right w:w="120" w:type="dxa"/>
            </w:tcMar>
            <w:vAlign w:val="center"/>
          </w:tcPr>
          <w:p w14:paraId="4FEA771C">
            <w:pPr>
              <w:spacing w:after="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7"/>
                <w14:textFill>
                  <w14:solidFill>
                    <w14:schemeClr w14:val="tx1"/>
                  </w14:solidFill>
                </w14:textFill>
              </w:rPr>
              <w:t>独立模型 + 几何共同通过</w:t>
            </w:r>
          </w:p>
        </w:tc>
      </w:tr>
    </w:tbl>
    <w:p w14:paraId="4C91555A">
      <w:pPr>
        <w:spacing w:after="0"/>
        <w:rPr>
          <w:rFonts w:hint="eastAsia" w:ascii="微软雅黑" w:hAnsi="微软雅黑" w:eastAsia="微软雅黑" w:cs="微软雅黑"/>
          <w:color w:val="000000" w:themeColor="text1"/>
          <w14:textFill>
            <w14:solidFill>
              <w14:schemeClr w14:val="tx1"/>
            </w14:solidFill>
          </w14:textFill>
        </w:rPr>
      </w:pPr>
    </w:p>
    <w:p w14:paraId="746277C9">
      <w:pPr>
        <w:spacing w:after="0"/>
        <w:rPr>
          <w:rFonts w:hint="eastAsia" w:ascii="微软雅黑" w:hAnsi="微软雅黑" w:eastAsia="微软雅黑" w:cs="微软雅黑"/>
          <w:color w:val="000000" w:themeColor="text1"/>
          <w14:textFill>
            <w14:solidFill>
              <w14:schemeClr w14:val="tx1"/>
            </w14:solidFill>
          </w14:textFill>
        </w:rPr>
      </w:pPr>
    </w:p>
    <w:p>
      <w:pPr>
        <w:pStyle w:val="3"/>
        <w:keepNext/>
      </w:pPr>
      <w:r>
        <w:rPr>
          <w:rFonts w:ascii="Microsoft YaHei" w:hAnsi="Microsoft YaHei" w:eastAsia="Microsoft YaHei"/>
          <w:b/>
          <w:i w:val="0"/>
          <w:color w:val="2E74B5"/>
          <w:sz w:val="23"/>
        </w:rPr>
        <w:t>附录 A：最终资料包结构</w:t>
      </w:r>
    </w:p>
    <w:p>
      <w:pPr>
        <w:pStyle w:val="16"/>
        <w:spacing w:after="80"/>
      </w:pPr>
      <w:r>
        <w:rPr>
          <w:rFonts w:ascii="Microsoft YaHei" w:hAnsi="Microsoft YaHei" w:eastAsia="Microsoft YaHei"/>
          <w:b w:val="0"/>
          <w:i w:val="0"/>
          <w:sz w:val="20"/>
        </w:rPr>
        <w:t>01_vendor_model：仅保留 HOLO/OR 出口复场文件格式说明；收到官方复场后放入此目录。</w:t>
      </w:r>
    </w:p>
    <w:p>
      <w:pPr>
        <w:pStyle w:val="16"/>
        <w:spacing w:after="80"/>
      </w:pPr>
      <w:r>
        <w:rPr>
          <w:rFonts w:ascii="Microsoft YaHei" w:hAnsi="Microsoft YaHei" w:eastAsia="Microsoft YaHei"/>
          <w:b w:val="0"/>
          <w:i w:val="0"/>
          <w:sz w:val="20"/>
        </w:rPr>
        <w:t>02_matlab_code：仅保留准直线光最终主程序、配置、求解器、独立替代模型和光路绘图代码。</w:t>
      </w:r>
    </w:p>
    <w:p>
      <w:pPr>
        <w:pStyle w:val="16"/>
        <w:spacing w:after="80"/>
      </w:pPr>
      <w:r>
        <w:rPr>
          <w:rFonts w:ascii="Microsoft YaHei" w:hAnsi="Microsoft YaHei" w:eastAsia="Microsoft YaHei"/>
          <w:b w:val="0"/>
          <w:i w:val="0"/>
          <w:sz w:val="20"/>
        </w:rPr>
        <w:t>03_simulation_results/collimated_line_R2019b：仅保留最终准直方案结果。</w:t>
      </w:r>
    </w:p>
    <w:p>
      <w:pPr>
        <w:pStyle w:val="16"/>
        <w:spacing w:after="80"/>
      </w:pPr>
      <w:r>
        <w:rPr>
          <w:rFonts w:ascii="Microsoft YaHei" w:hAnsi="Microsoft YaHei" w:eastAsia="Microsoft YaHei"/>
          <w:b w:val="0"/>
          <w:i w:val="0"/>
          <w:sz w:val="20"/>
        </w:rPr>
        <w:t>04_official_references：仅保留与准直模块、DOE 原理和采购核对有关的官方资料链接。</w:t>
      </w:r>
    </w:p>
    <w:p>
      <w:pPr>
        <w:pStyle w:val="16"/>
        <w:spacing w:after="80"/>
      </w:pPr>
      <w:r>
        <w:rPr>
          <w:rFonts w:ascii="Microsoft YaHei" w:hAnsi="Microsoft YaHei" w:eastAsia="Microsoft YaHei"/>
          <w:b w:val="0"/>
          <w:i w:val="0"/>
          <w:sz w:val="20"/>
        </w:rPr>
        <w:t>HOLOOR_355nm准直线光技术说明.docx：本技术说明。</w:t>
      </w:r>
    </w:p>
    <w:p w14:paraId="67C5C5EC">
      <w:pPr>
        <w:pStyle w:val="3"/>
        <w:keepNex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附录 B：官方资料</w:t>
      </w:r>
    </w:p>
    <w:p w14:paraId="784F7D6A">
      <w:pPr>
        <w:ind w:left="216" w:hanging="216"/>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z w:val="18"/>
          <w14:textFill>
            <w14:solidFill>
              <w14:schemeClr w14:val="tx1"/>
            </w14:solidFill>
          </w14:textFill>
        </w:rPr>
        <w:t>[1] HOLO/OR, Collimated Beam Shaper Module, https://www.holoor.co.il/collimated-beam-shaper/（访问：2026-08-13）。</w:t>
      </w:r>
    </w:p>
    <w:p w14:paraId="34998161">
      <w:pPr>
        <w:ind w:left="216" w:hanging="216"/>
        <w:rPr>
          <w:rFonts w:hint="eastAsia" w:ascii="微软雅黑" w:hAnsi="微软雅黑" w:eastAsia="微软雅黑" w:cs="微软雅黑"/>
          <w:color w:val="000000" w:themeColor="text1"/>
          <w14:textFill>
            <w14:solidFill>
              <w14:schemeClr w14:val="tx1"/>
            </w14:solidFill>
          </w14:textFill>
        </w:rPr>
      </w:pPr>
      <w:r>
        <w:rPr>
          <w:rFonts w:ascii="Microsoft YaHei" w:hAnsi="Microsoft YaHei" w:eastAsia="Microsoft YaHei"/>
          <w:b w:val="0"/>
          <w:i w:val="0"/>
          <w:sz w:val="19"/>
        </w:rPr>
        <w:t>[2] HOLO/OR, FAQ, https://www.holoor.co.il/faq/（访问：2026-08-13）。</w:t>
      </w:r>
    </w:p>
    <w:p w14:paraId="29F4B3FA">
      <w:pPr>
        <w:ind w:left="216" w:hanging="216"/>
        <w:rPr>
          <w:rFonts w:hint="eastAsia" w:ascii="微软雅黑" w:hAnsi="微软雅黑" w:eastAsia="微软雅黑" w:cs="微软雅黑"/>
          <w:color w:val="000000" w:themeColor="text1"/>
          <w14:textFill>
            <w14:solidFill>
              <w14:schemeClr w14:val="tx1"/>
            </w14:solidFill>
          </w14:textFill>
        </w:rPr>
      </w:pPr>
      <w:r>
        <w:rPr>
          <w:rFonts w:ascii="Microsoft YaHei" w:hAnsi="Microsoft YaHei" w:eastAsia="Microsoft YaHei"/>
          <w:b w:val="0"/>
          <w:i w:val="0"/>
          <w:sz w:val="19"/>
        </w:rPr>
        <w:t>[3] HOLO/OR, Beam Shaper Advantages / Single vs Multi Element, https://www.holoor.co.il/beam-shaper-advantages/（访问：2026-08-13）。</w:t>
      </w:r>
    </w:p>
    <w:p w14:paraId="71A37379">
      <w:pPr>
        <w:ind w:left="216" w:hanging="216"/>
        <w:rPr>
          <w:rFonts w:hint="eastAsia" w:ascii="微软雅黑" w:hAnsi="微软雅黑" w:eastAsia="微软雅黑" w:cs="微软雅黑"/>
          <w:color w:val="000000" w:themeColor="text1"/>
          <w14:textFill>
            <w14:solidFill>
              <w14:schemeClr w14:val="tx1"/>
            </w14:solidFill>
          </w14:textFill>
        </w:rPr>
      </w:pPr>
      <w:r>
        <w:rPr>
          <w:rFonts w:ascii="Microsoft YaHei" w:hAnsi="Microsoft YaHei" w:eastAsia="Microsoft YaHei"/>
          <w:b w:val="0"/>
          <w:i w:val="0"/>
          <w:sz w:val="19"/>
        </w:rPr>
        <w:t>[4] HOLO/OR, Top Hat Beam case study, https://www.holoor.co.il/top-hat-beam/（访问：2026-08-13）。</w:t>
      </w:r>
    </w:p>
    <w:p w14:paraId="38208896">
      <w:pPr>
        <w:spacing w:after="0"/>
        <w:rPr>
          <w:rFonts w:hint="eastAsia" w:ascii="微软雅黑" w:hAnsi="微软雅黑" w:eastAsia="微软雅黑" w:cs="微软雅黑"/>
          <w:color w:val="000000" w:themeColor="text1"/>
          <w14:textFill>
            <w14:solidFill>
              <w14:schemeClr w14:val="tx1"/>
            </w14:solidFill>
          </w14:textFill>
        </w:rPr>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1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6019F">
    <w:pPr>
      <w:pStyle w:val="24"/>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391B8">
    <w:pPr>
      <w:pStyle w:val="2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92531D"/>
    <w:rsid w:val="148C3C1A"/>
    <w:rsid w:val="2C6308E2"/>
    <w:rsid w:val="61F15812"/>
    <w:rsid w:val="6C5172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20" w:line="264" w:lineRule="auto"/>
    </w:pPr>
    <w:rPr>
      <w:rFonts w:ascii="微软雅黑" w:hAnsi="微软雅黑" w:eastAsia="微软雅黑" w:cs="微软雅黑"/>
      <w:color w:val="000000" w:themeColor="text1"/>
      <w:sz w:val="22"/>
      <w:szCs w:val="22"/>
      <w:lang w:val="en-US" w:eastAsia="en-US" w:bidi="ar-SA"/>
      <w14:textFill>
        <w14:solidFill>
          <w14:schemeClr w14:val="tx1"/>
        </w14:solidFill>
      </w14:textFill>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E79"/>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spacing w:after="160" w:line="280" w:lineRule="auto"/>
      <w:contextualSpacing/>
    </w:pPr>
    <w:rPr>
      <w:rFonts w:ascii="Calibri" w:hAnsi="Calibri" w:eastAsia="等线"/>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after="160" w:line="280" w:lineRule="auto"/>
      <w:contextualSpacing/>
    </w:pPr>
    <w:rPr>
      <w:rFonts w:ascii="Calibri" w:hAnsi="Calibri" w:eastAsia="等线"/>
      <w:sz w:val="21"/>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pPr>
      <w:keepNext/>
      <w:spacing w:before="0" w:after="320"/>
    </w:pPr>
    <w:rPr>
      <w:rFonts w:asciiTheme="majorHAnsi" w:hAnsiTheme="majorHAnsi" w:eastAsiaTheme="majorEastAsia" w:cstheme="majorBidi"/>
      <w:i/>
      <w:iCs/>
      <w:color w:val="667085"/>
      <w:spacing w:val="15"/>
      <w:sz w:val="26"/>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240" w:line="240" w:lineRule="auto"/>
      <w:contextualSpacing/>
    </w:pPr>
    <w:rPr>
      <w:rFonts w:asciiTheme="majorHAnsi" w:hAnsiTheme="majorHAnsi" w:eastAsiaTheme="majorEastAsia" w:cstheme="majorBidi"/>
      <w:color w:val="1F4E79"/>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3417</Words>
  <Characters>7426</Characters>
  <Lines>0</Lines>
  <Paragraphs>0</Paragraphs>
  <TotalTime>158</TotalTime>
  <ScaleCrop>false</ScaleCrop>
  <LinksUpToDate>false</LinksUpToDate>
  <CharactersWithSpaces>8033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Laser Simulation Project</dc:creator>
  <dc:description>已移除旧焦面方案及旧 HOLO/OR 厂商程序内容</dc:description>
  <cp:lastModifiedBy>吴凡</cp:lastModifiedBy>
  <dcterms:modified xsi:type="dcterms:W3CDTF">2026-08-13T06:36:59Z</dcterms:modified>
  <dc:subject>最终准直线光方案、DOE 原理、数学模型与 MATLAB R2019b 程序过程</dc:subject>
  <dc:title>355 nm HOLO/OR 准直线光技术说明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eyJoZGlkIjoiNDljOTcyNjAxM2NhYzAxMTY0ZjE1OGEwNzg3NWJlMDIiLCJ1c2VySWQiOiI1NzYyNjUwOTcifQ==</vt:lpwstr>
  </property>
  <property fmtid="{D5CDD505-2E9C-101B-9397-08002B2CF9AE}" pid="3" name="KSOProductBuildVer">
    <vt:lpwstr>2052-12.1.0.28043</vt:lpwstr>
  </property>
  <property fmtid="{D5CDD505-2E9C-101B-9397-08002B2CF9AE}" pid="4" name="ICV">
    <vt:lpwstr>3BAC05073827457DAD956661180CEA05_12</vt:lpwstr>
  </property>
</Properties>
</file>