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21"/>
        </w:rPr>
      </w:pPr>
      <w:r>
        <w:rPr>
          <w:rFonts w:hint="eastAsia"/>
          <w:sz w:val="36"/>
          <w:szCs w:val="21"/>
        </w:rPr>
        <w:t>湖北农村教学点网校平台项目需求方案</w:t>
      </w:r>
    </w:p>
    <w:p>
      <w:pPr>
        <w:pStyle w:val="2"/>
        <w:numPr>
          <w:ilvl w:val="0"/>
          <w:numId w:val="1"/>
        </w:numPr>
        <w:rPr>
          <w:sz w:val="32"/>
          <w:szCs w:val="20"/>
        </w:rPr>
      </w:pPr>
      <w:r>
        <w:rPr>
          <w:rFonts w:hint="eastAsia"/>
          <w:sz w:val="32"/>
          <w:szCs w:val="20"/>
        </w:rPr>
        <w:t>项目简介</w:t>
      </w:r>
    </w:p>
    <w:p>
      <w:pPr>
        <w:spacing w:line="360" w:lineRule="auto"/>
        <w:ind w:firstLine="480" w:firstLineChars="200"/>
        <w:rPr>
          <w:sz w:val="24"/>
          <w:szCs w:val="16"/>
        </w:rPr>
      </w:pPr>
      <w:r>
        <w:rPr>
          <w:rFonts w:hint="eastAsia"/>
          <w:sz w:val="24"/>
          <w:szCs w:val="16"/>
        </w:rPr>
        <w:t>湖北省教育厅2016年发布的《关于做好农村教学点网校试点工作的通知》（鄂教基〔2016〕12号）指出，“农村教学点受地域条件和经济发展水平的制约，办学条件相对比较落后，师资力量匮乏”，需要“依托信息技术在农村教学点开齐、开好课程”，并提高农村教育质量，促进城乡教育均衡发展。通知要求各级教育行政部门和学校提高认识，增强责任感和使命感，抓住当前教育信息化发展的有利契机，认真做好农村教学点网校的试点工作，切实提高农村教学点的教学质量。</w:t>
      </w:r>
    </w:p>
    <w:p>
      <w:pPr>
        <w:spacing w:line="360" w:lineRule="auto"/>
        <w:ind w:firstLine="480" w:firstLineChars="200"/>
      </w:pPr>
      <w:r>
        <w:rPr>
          <w:rFonts w:hint="eastAsia" w:ascii="宋体" w:hAnsi="宋体" w:eastAsia="宋体" w:cs="宋体"/>
          <w:sz w:val="24"/>
        </w:rPr>
        <w:t>湖北省</w:t>
      </w:r>
      <w:r>
        <w:rPr>
          <w:rFonts w:ascii="宋体" w:hAnsi="宋体" w:eastAsia="宋体" w:cs="宋体"/>
          <w:sz w:val="24"/>
        </w:rPr>
        <w:t>农村教学点网校</w:t>
      </w:r>
      <w:r>
        <w:rPr>
          <w:rFonts w:hint="eastAsia" w:ascii="宋体" w:hAnsi="宋体" w:eastAsia="宋体" w:cs="宋体"/>
          <w:sz w:val="24"/>
        </w:rPr>
        <w:t>平台</w:t>
      </w:r>
      <w:r>
        <w:rPr>
          <w:rFonts w:ascii="宋体" w:hAnsi="宋体" w:eastAsia="宋体" w:cs="宋体"/>
          <w:sz w:val="24"/>
        </w:rPr>
        <w:t>是利用信息技术把农村教学点整合为一所虚拟学校，通过统一安排课程和师资、统一组织教学和教研、统一进行教学管理和质量评价等措施，促进教学点开齐开好课程、提高教学质量。</w:t>
      </w:r>
    </w:p>
    <w:p>
      <w:pPr>
        <w:pStyle w:val="2"/>
        <w:numPr>
          <w:ilvl w:val="0"/>
          <w:numId w:val="1"/>
        </w:numPr>
        <w:rPr>
          <w:sz w:val="32"/>
          <w:szCs w:val="20"/>
        </w:rPr>
      </w:pPr>
      <w:r>
        <w:rPr>
          <w:rFonts w:hint="eastAsia"/>
          <w:sz w:val="32"/>
          <w:szCs w:val="20"/>
        </w:rPr>
        <w:t>平台结构</w:t>
      </w:r>
    </w:p>
    <w:p>
      <w:pPr>
        <w:spacing w:line="360" w:lineRule="auto"/>
        <w:ind w:firstLine="480" w:firstLineChars="200"/>
        <w:rPr>
          <w:sz w:val="24"/>
          <w:szCs w:val="16"/>
        </w:rPr>
      </w:pPr>
      <w:r>
        <w:rPr>
          <w:rFonts w:hint="eastAsia" w:ascii="宋体" w:hAnsi="宋体" w:eastAsia="宋体" w:cs="宋体"/>
          <w:sz w:val="24"/>
        </w:rPr>
        <w:t>湖北省</w:t>
      </w:r>
      <w:r>
        <w:rPr>
          <w:rFonts w:ascii="宋体" w:hAnsi="宋体" w:eastAsia="宋体" w:cs="宋体"/>
          <w:sz w:val="24"/>
        </w:rPr>
        <w:t>农村教学点网校</w:t>
      </w:r>
      <w:r>
        <w:rPr>
          <w:rFonts w:hint="eastAsia"/>
          <w:sz w:val="24"/>
          <w:szCs w:val="16"/>
        </w:rPr>
        <w:t>平台从信息发布、教学管理、课程安排、教师学习、数据统计五个方面进行设计，具体分为以下七个功能点：</w:t>
      </w:r>
    </w:p>
    <w:p>
      <w:pPr>
        <w:spacing w:line="360" w:lineRule="auto"/>
        <w:rPr>
          <w:sz w:val="24"/>
          <w:szCs w:val="16"/>
        </w:rPr>
      </w:pPr>
      <w:r>
        <w:rPr>
          <w:rFonts w:hint="eastAsia"/>
          <w:sz w:val="24"/>
          <w:szCs w:val="16"/>
        </w:rPr>
        <w:drawing>
          <wp:inline distT="0" distB="0" distL="114300" distR="114300">
            <wp:extent cx="5093335" cy="2800985"/>
            <wp:effectExtent l="0" t="0" r="12065" b="18415"/>
            <wp:docPr id="1" name="图片 1" descr="E:\农村教学点\教学点网校.png教学点网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农村教学点\教学点网校.png教学点网校"/>
                    <pic:cNvPicPr>
                      <a:picLocks noChangeAspect="1"/>
                    </pic:cNvPicPr>
                  </pic:nvPicPr>
                  <pic:blipFill>
                    <a:blip r:embed="rId4"/>
                    <a:srcRect/>
                    <a:stretch>
                      <a:fillRect/>
                    </a:stretch>
                  </pic:blipFill>
                  <pic:spPr>
                    <a:xfrm>
                      <a:off x="0" y="0"/>
                      <a:ext cx="5093335" cy="2800985"/>
                    </a:xfrm>
                    <a:prstGeom prst="rect">
                      <a:avLst/>
                    </a:prstGeom>
                  </pic:spPr>
                </pic:pic>
              </a:graphicData>
            </a:graphic>
          </wp:inline>
        </w:drawing>
      </w:r>
    </w:p>
    <w:p>
      <w:pPr>
        <w:pStyle w:val="2"/>
        <w:numPr>
          <w:ilvl w:val="0"/>
          <w:numId w:val="1"/>
        </w:numPr>
        <w:rPr>
          <w:sz w:val="32"/>
          <w:szCs w:val="20"/>
        </w:rPr>
      </w:pPr>
      <w:r>
        <w:rPr>
          <w:rFonts w:hint="eastAsia"/>
          <w:sz w:val="32"/>
          <w:szCs w:val="20"/>
        </w:rPr>
        <w:t>平台功能</w:t>
      </w:r>
    </w:p>
    <w:p>
      <w:pPr>
        <w:pStyle w:val="3"/>
        <w:numPr>
          <w:ilvl w:val="0"/>
          <w:numId w:val="2"/>
        </w:numPr>
        <w:rPr>
          <w:sz w:val="28"/>
          <w:szCs w:val="22"/>
        </w:rPr>
      </w:pPr>
      <w:r>
        <w:rPr>
          <w:rFonts w:hint="eastAsia"/>
          <w:sz w:val="28"/>
          <w:szCs w:val="22"/>
        </w:rPr>
        <w:t>平台首页</w:t>
      </w:r>
    </w:p>
    <w:p>
      <w:pPr>
        <w:spacing w:line="360" w:lineRule="auto"/>
        <w:ind w:firstLine="480" w:firstLineChars="200"/>
        <w:rPr>
          <w:sz w:val="24"/>
        </w:rPr>
      </w:pPr>
      <w:r>
        <w:rPr>
          <w:rFonts w:hint="eastAsia"/>
          <w:sz w:val="24"/>
        </w:rPr>
        <w:t>农村教学点网校首页为平台提供内容、资源、资讯、通知的综合展示，包括5个栏目：</w:t>
      </w:r>
    </w:p>
    <w:p>
      <w:pPr>
        <w:spacing w:line="360" w:lineRule="auto"/>
        <w:ind w:firstLine="480" w:firstLineChars="200"/>
        <w:rPr>
          <w:sz w:val="24"/>
        </w:rPr>
      </w:pPr>
      <w:r>
        <w:rPr>
          <w:rFonts w:hint="eastAsia"/>
          <w:sz w:val="24"/>
        </w:rPr>
        <w:t>1）平台推荐：以滚动广告banner的方式呈现，推荐重点内容、活动及链接；</w:t>
      </w:r>
    </w:p>
    <w:p>
      <w:pPr>
        <w:spacing w:line="360" w:lineRule="auto"/>
        <w:ind w:firstLine="480" w:firstLineChars="200"/>
        <w:rPr>
          <w:sz w:val="24"/>
        </w:rPr>
      </w:pPr>
      <w:r>
        <w:rPr>
          <w:rFonts w:hint="eastAsia"/>
          <w:sz w:val="24"/>
        </w:rPr>
        <w:t>2）通知公告：包括工作动态、通知公告、政策文件等文案类内容，由后台进行编辑、管理；</w:t>
      </w:r>
    </w:p>
    <w:p>
      <w:pPr>
        <w:spacing w:line="360" w:lineRule="auto"/>
        <w:ind w:firstLine="480" w:firstLineChars="200"/>
        <w:rPr>
          <w:sz w:val="24"/>
        </w:rPr>
      </w:pPr>
      <w:r>
        <w:rPr>
          <w:rFonts w:hint="eastAsia"/>
          <w:sz w:val="24"/>
        </w:rPr>
        <w:t>3）正在教学：展示中心校课堂教学照片记录，呈现真实教学场景；</w:t>
      </w:r>
    </w:p>
    <w:p>
      <w:pPr>
        <w:spacing w:line="360" w:lineRule="auto"/>
        <w:ind w:firstLine="480" w:firstLineChars="200"/>
        <w:rPr>
          <w:sz w:val="24"/>
        </w:rPr>
      </w:pPr>
      <w:r>
        <w:rPr>
          <w:rFonts w:hint="eastAsia"/>
          <w:sz w:val="24"/>
        </w:rPr>
        <w:t>4）最新资源：推荐优质资源，分学科和资源类型（教案、课件、视频）进行展示；</w:t>
      </w:r>
    </w:p>
    <w:p>
      <w:pPr>
        <w:spacing w:line="360" w:lineRule="auto"/>
        <w:ind w:firstLine="480" w:firstLineChars="200"/>
        <w:rPr>
          <w:sz w:val="24"/>
        </w:rPr>
      </w:pPr>
      <w:r>
        <w:rPr>
          <w:rFonts w:hint="eastAsia"/>
          <w:sz w:val="24"/>
        </w:rPr>
        <w:t>5）最新研修：展示最新的研修活动，方便教师进行活动参与。</w:t>
      </w:r>
    </w:p>
    <w:p>
      <w:pPr>
        <w:pStyle w:val="3"/>
        <w:numPr>
          <w:ilvl w:val="0"/>
          <w:numId w:val="2"/>
        </w:numPr>
        <w:rPr>
          <w:sz w:val="28"/>
          <w:szCs w:val="22"/>
        </w:rPr>
      </w:pPr>
      <w:r>
        <w:rPr>
          <w:rFonts w:hint="eastAsia"/>
          <w:sz w:val="28"/>
          <w:szCs w:val="22"/>
        </w:rPr>
        <w:t>巡课互动</w:t>
      </w:r>
    </w:p>
    <w:p>
      <w:pPr>
        <w:spacing w:line="360" w:lineRule="auto"/>
        <w:ind w:firstLine="480" w:firstLineChars="200"/>
        <w:rPr>
          <w:sz w:val="24"/>
        </w:rPr>
      </w:pPr>
      <w:r>
        <w:rPr>
          <w:rFonts w:hint="eastAsia"/>
          <w:sz w:val="24"/>
        </w:rPr>
        <w:t>巡课互动栏目包括“远程巡课”和“互动教学”两个功能，是教学点网校平台最核心的管理功能。</w:t>
      </w:r>
    </w:p>
    <w:p>
      <w:pPr>
        <w:spacing w:line="360" w:lineRule="auto"/>
        <w:ind w:firstLine="480" w:firstLineChars="200"/>
        <w:rPr>
          <w:sz w:val="24"/>
        </w:rPr>
      </w:pPr>
      <w:r>
        <w:rPr>
          <w:rFonts w:hint="eastAsia"/>
          <w:sz w:val="24"/>
        </w:rPr>
        <w:t>远程巡课为各级管理员提供通过网络平台在线查看中心校和教学点的授课情况的功能。对课程的查看可根据地区、年级、学科、上课模式筛选，上课模式分为“一拖一”、“一拖二”、“一拖三”三种，巡课可在一个屏幕中展示多个教学点的上课实录。</w:t>
      </w:r>
    </w:p>
    <w:p>
      <w:pPr>
        <w:spacing w:line="360" w:lineRule="auto"/>
        <w:ind w:firstLine="480" w:firstLineChars="200"/>
        <w:rPr>
          <w:sz w:val="24"/>
        </w:rPr>
      </w:pPr>
      <w:r>
        <w:rPr>
          <w:rFonts w:hint="eastAsia"/>
          <w:sz w:val="24"/>
        </w:rPr>
        <w:t>互动教学为管理层提供与中心校及教学点进行视频互动的功能，方便管理人员与基层学校交流心得、传达指示。互动教学需要通过相应的互动系统支撑。</w:t>
      </w:r>
    </w:p>
    <w:p>
      <w:pPr>
        <w:pStyle w:val="3"/>
        <w:numPr>
          <w:ilvl w:val="0"/>
          <w:numId w:val="2"/>
        </w:numPr>
        <w:rPr>
          <w:sz w:val="28"/>
          <w:szCs w:val="22"/>
        </w:rPr>
      </w:pPr>
      <w:r>
        <w:rPr>
          <w:rFonts w:hint="eastAsia"/>
          <w:sz w:val="28"/>
          <w:szCs w:val="22"/>
        </w:rPr>
        <w:t>直播活动</w:t>
      </w:r>
    </w:p>
    <w:p>
      <w:pPr>
        <w:spacing w:line="360" w:lineRule="auto"/>
        <w:ind w:firstLine="480" w:firstLineChars="200"/>
        <w:rPr>
          <w:sz w:val="24"/>
        </w:rPr>
      </w:pPr>
      <w:r>
        <w:rPr>
          <w:rFonts w:hint="eastAsia"/>
          <w:sz w:val="24"/>
        </w:rPr>
        <w:t>直播活动实现将优质课进行直播或录播的功能，管理者可发布直播内容，并调取视频源进行直播。分为以下3个功能：</w:t>
      </w:r>
    </w:p>
    <w:p>
      <w:pPr>
        <w:spacing w:line="360" w:lineRule="auto"/>
        <w:ind w:firstLine="480" w:firstLineChars="200"/>
        <w:rPr>
          <w:sz w:val="24"/>
        </w:rPr>
      </w:pPr>
      <w:r>
        <w:rPr>
          <w:rFonts w:hint="eastAsia"/>
          <w:sz w:val="24"/>
        </w:rPr>
        <w:t>1）正在直播：展示目前正在直播的课堂内容及其他基本信息，并记录直播视频的观看人数；</w:t>
      </w:r>
    </w:p>
    <w:p>
      <w:pPr>
        <w:spacing w:line="360" w:lineRule="auto"/>
        <w:ind w:firstLine="480" w:firstLineChars="200"/>
        <w:rPr>
          <w:sz w:val="24"/>
        </w:rPr>
      </w:pPr>
      <w:r>
        <w:rPr>
          <w:rFonts w:hint="eastAsia"/>
          <w:sz w:val="24"/>
        </w:rPr>
        <w:t>2）往期直播：展示往期直播，并通过时间、点击量等可以实现的筛选条件排列；</w:t>
      </w:r>
    </w:p>
    <w:p>
      <w:pPr>
        <w:spacing w:line="360" w:lineRule="auto"/>
        <w:ind w:firstLine="480" w:firstLineChars="200"/>
        <w:rPr>
          <w:sz w:val="24"/>
        </w:rPr>
      </w:pPr>
      <w:r>
        <w:rPr>
          <w:rFonts w:hint="eastAsia"/>
          <w:sz w:val="24"/>
        </w:rPr>
        <w:t>3）发布直播：由管理员发起直播，设置直播的基本信息、直播时间和活动视频源。</w:t>
      </w:r>
    </w:p>
    <w:p>
      <w:pPr>
        <w:pStyle w:val="3"/>
        <w:numPr>
          <w:ilvl w:val="0"/>
          <w:numId w:val="2"/>
        </w:numPr>
        <w:rPr>
          <w:sz w:val="28"/>
          <w:szCs w:val="22"/>
        </w:rPr>
      </w:pPr>
      <w:r>
        <w:rPr>
          <w:rFonts w:hint="eastAsia"/>
          <w:sz w:val="28"/>
          <w:szCs w:val="22"/>
        </w:rPr>
        <w:t>课程管理</w:t>
      </w:r>
    </w:p>
    <w:p>
      <w:pPr>
        <w:spacing w:line="360" w:lineRule="auto"/>
        <w:ind w:firstLine="480" w:firstLineChars="200"/>
        <w:rPr>
          <w:sz w:val="24"/>
        </w:rPr>
      </w:pPr>
      <w:r>
        <w:rPr>
          <w:rFonts w:hint="eastAsia"/>
          <w:sz w:val="24"/>
        </w:rPr>
        <w:t>课程管理包括课程管理、统计及课表的填报、审核。</w:t>
      </w:r>
    </w:p>
    <w:p>
      <w:pPr>
        <w:spacing w:line="360" w:lineRule="auto"/>
        <w:ind w:firstLine="480" w:firstLineChars="200"/>
        <w:rPr>
          <w:sz w:val="24"/>
        </w:rPr>
      </w:pPr>
      <w:r>
        <w:rPr>
          <w:rFonts w:hint="eastAsia"/>
          <w:sz w:val="24"/>
        </w:rPr>
        <w:t>各级管理员可查看和管理所在范围内的课表数据，并进行管理和统计。</w:t>
      </w:r>
    </w:p>
    <w:p>
      <w:pPr>
        <w:spacing w:line="360" w:lineRule="auto"/>
        <w:ind w:firstLine="480" w:firstLineChars="200"/>
        <w:rPr>
          <w:sz w:val="24"/>
        </w:rPr>
      </w:pPr>
      <w:r>
        <w:rPr>
          <w:rFonts w:hint="eastAsia"/>
          <w:sz w:val="24"/>
        </w:rPr>
        <w:t>课表的填报由中心校</w:t>
      </w:r>
      <w:r>
        <w:rPr>
          <w:rFonts w:hint="eastAsia"/>
          <w:sz w:val="24"/>
          <w:lang w:val="en-US" w:eastAsia="zh-CN"/>
        </w:rPr>
        <w:t>在规定时间内（一般为学期开始第一个月内）</w:t>
      </w:r>
      <w:r>
        <w:rPr>
          <w:rFonts w:hint="eastAsia"/>
          <w:sz w:val="24"/>
        </w:rPr>
        <w:t>进行在线填报提交，</w:t>
      </w:r>
      <w:r>
        <w:rPr>
          <w:rFonts w:hint="eastAsia"/>
          <w:sz w:val="24"/>
          <w:lang w:val="en-US" w:eastAsia="zh-CN"/>
        </w:rPr>
        <w:t>填报的课程表数据将记录为“计划开课”数据；课后，各中心校管理员在课表中进行实际开课确认，</w:t>
      </w:r>
      <w:r>
        <w:rPr>
          <w:rFonts w:hint="eastAsia"/>
          <w:sz w:val="24"/>
        </w:rPr>
        <w:t>平台将根据填报数据进行统计</w:t>
      </w:r>
      <w:r>
        <w:rPr>
          <w:rFonts w:hint="eastAsia"/>
          <w:sz w:val="24"/>
          <w:lang w:eastAsia="zh-CN"/>
        </w:rPr>
        <w:t>，</w:t>
      </w:r>
      <w:r>
        <w:rPr>
          <w:rFonts w:hint="eastAsia"/>
          <w:sz w:val="24"/>
          <w:lang w:val="en-US" w:eastAsia="zh-CN"/>
        </w:rPr>
        <w:t>已确认的课程将记录为“实际开课”数据</w:t>
      </w:r>
      <w:r>
        <w:rPr>
          <w:rFonts w:hint="eastAsia"/>
          <w:sz w:val="24"/>
        </w:rPr>
        <w:t>。</w:t>
      </w:r>
    </w:p>
    <w:p>
      <w:pPr>
        <w:pStyle w:val="3"/>
        <w:numPr>
          <w:ilvl w:val="0"/>
          <w:numId w:val="2"/>
        </w:numPr>
        <w:rPr>
          <w:sz w:val="28"/>
          <w:szCs w:val="22"/>
        </w:rPr>
      </w:pPr>
      <w:r>
        <w:rPr>
          <w:rFonts w:hint="eastAsia"/>
          <w:sz w:val="28"/>
          <w:szCs w:val="22"/>
        </w:rPr>
        <w:t>数字资源</w:t>
      </w:r>
    </w:p>
    <w:p>
      <w:pPr>
        <w:spacing w:line="360" w:lineRule="auto"/>
        <w:ind w:firstLine="480" w:firstLineChars="200"/>
        <w:rPr>
          <w:sz w:val="24"/>
        </w:rPr>
      </w:pPr>
      <w:r>
        <w:rPr>
          <w:rFonts w:hint="eastAsia"/>
          <w:sz w:val="24"/>
        </w:rPr>
        <w:t>数字资源是为教师提供资源辅助的功能，分为优课资源和录课资源。</w:t>
      </w:r>
    </w:p>
    <w:p>
      <w:pPr>
        <w:spacing w:line="360" w:lineRule="auto"/>
        <w:ind w:firstLine="480" w:firstLineChars="200"/>
        <w:rPr>
          <w:sz w:val="24"/>
        </w:rPr>
      </w:pPr>
      <w:r>
        <w:rPr>
          <w:rFonts w:hint="eastAsia"/>
          <w:sz w:val="24"/>
        </w:rPr>
        <w:t>优课资源涵盖了中小学阶段所有学科的资源，包括教案、学案、课件、试题、素材和视频，并与教材知识节点和学科知识点对应，教师可在线查看资源、收藏、评论、分享和下载。</w:t>
      </w:r>
    </w:p>
    <w:p>
      <w:pPr>
        <w:spacing w:line="360" w:lineRule="auto"/>
        <w:ind w:firstLine="480" w:firstLineChars="200"/>
        <w:rPr>
          <w:sz w:val="24"/>
        </w:rPr>
      </w:pPr>
      <w:r>
        <w:rPr>
          <w:rFonts w:hint="eastAsia"/>
          <w:sz w:val="24"/>
        </w:rPr>
        <w:t>录课资源由各学校的教师进行上传，由后台进行审核通过后在平台展示。教师可在线观看、学习及评论。</w:t>
      </w:r>
    </w:p>
    <w:p>
      <w:pPr>
        <w:pStyle w:val="3"/>
        <w:numPr>
          <w:ilvl w:val="0"/>
          <w:numId w:val="2"/>
        </w:numPr>
        <w:rPr>
          <w:sz w:val="28"/>
          <w:szCs w:val="22"/>
        </w:rPr>
      </w:pPr>
      <w:r>
        <w:rPr>
          <w:rFonts w:hint="eastAsia"/>
          <w:sz w:val="28"/>
          <w:szCs w:val="22"/>
        </w:rPr>
        <w:t>网络研修</w:t>
      </w:r>
    </w:p>
    <w:p>
      <w:pPr>
        <w:spacing w:line="360" w:lineRule="auto"/>
        <w:ind w:firstLine="480" w:firstLineChars="200"/>
        <w:rPr>
          <w:sz w:val="24"/>
        </w:rPr>
      </w:pPr>
      <w:r>
        <w:rPr>
          <w:rFonts w:hint="eastAsia"/>
          <w:sz w:val="24"/>
        </w:rPr>
        <w:t>网络研修为教师提供在线研修、培训学习平台，教师可通过平台在线参与研修和培训活动，发布研修心得、分享学习成果，并与其他教师交流互动。</w:t>
      </w:r>
    </w:p>
    <w:p>
      <w:pPr>
        <w:spacing w:line="360" w:lineRule="auto"/>
        <w:ind w:firstLine="480" w:firstLineChars="200"/>
        <w:rPr>
          <w:sz w:val="24"/>
        </w:rPr>
      </w:pPr>
      <w:r>
        <w:rPr>
          <w:rFonts w:hint="eastAsia"/>
          <w:sz w:val="24"/>
        </w:rPr>
        <w:t>研修活动分学科进行展示，并聚合培训资源、专题研修，记录教师个人研修记录和成长。</w:t>
      </w:r>
    </w:p>
    <w:p>
      <w:pPr>
        <w:pStyle w:val="3"/>
        <w:numPr>
          <w:ilvl w:val="0"/>
          <w:numId w:val="2"/>
        </w:numPr>
        <w:rPr>
          <w:sz w:val="28"/>
          <w:szCs w:val="22"/>
        </w:rPr>
      </w:pPr>
      <w:r>
        <w:rPr>
          <w:rFonts w:hint="eastAsia"/>
          <w:sz w:val="28"/>
          <w:szCs w:val="22"/>
        </w:rPr>
        <w:t>数据统计</w:t>
      </w:r>
    </w:p>
    <w:p>
      <w:pPr>
        <w:spacing w:line="360" w:lineRule="auto"/>
        <w:ind w:firstLine="480" w:firstLineChars="200"/>
        <w:rPr>
          <w:sz w:val="24"/>
        </w:rPr>
      </w:pPr>
      <w:r>
        <w:rPr>
          <w:rFonts w:hint="eastAsia"/>
          <w:sz w:val="24"/>
        </w:rPr>
        <w:t>数据统计分为在线课堂统计和班班通使用统计。</w:t>
      </w:r>
    </w:p>
    <w:p>
      <w:pPr>
        <w:spacing w:line="360" w:lineRule="auto"/>
        <w:ind w:firstLine="480" w:firstLineChars="200"/>
        <w:rPr>
          <w:sz w:val="24"/>
        </w:rPr>
      </w:pPr>
      <w:r>
        <w:rPr>
          <w:rFonts w:hint="eastAsia"/>
          <w:sz w:val="24"/>
        </w:rPr>
        <w:t>在线课堂统计的数据来源于教学点网校平台，围绕“计划开课”“实际开课”“开课率统计”三个主要维度根据“学科”“地区”</w:t>
      </w:r>
      <w:r>
        <w:rPr>
          <w:rFonts w:hint="eastAsia"/>
          <w:sz w:val="24"/>
          <w:lang w:val="en-US" w:eastAsia="zh-CN"/>
        </w:rPr>
        <w:t>两</w:t>
      </w:r>
      <w:r>
        <w:rPr>
          <w:rFonts w:hint="eastAsia"/>
          <w:sz w:val="24"/>
        </w:rPr>
        <w:t>个方面来进行统计和分析</w:t>
      </w:r>
      <w:r>
        <w:rPr>
          <w:rFonts w:hint="eastAsia"/>
          <w:sz w:val="24"/>
          <w:lang w:eastAsia="zh-CN"/>
        </w:rPr>
        <w:t>，</w:t>
      </w:r>
      <w:r>
        <w:rPr>
          <w:rFonts w:hint="eastAsia"/>
          <w:sz w:val="24"/>
        </w:rPr>
        <w:t>方便管理者进行数据把控和质量分析。</w:t>
      </w:r>
    </w:p>
    <w:p>
      <w:pPr>
        <w:spacing w:line="360" w:lineRule="auto"/>
        <w:ind w:firstLine="480" w:firstLineChars="200"/>
        <w:rPr>
          <w:sz w:val="24"/>
        </w:rPr>
      </w:pPr>
      <w:r>
        <w:rPr>
          <w:rFonts w:hint="eastAsia"/>
          <w:sz w:val="24"/>
        </w:rPr>
        <w:t>班班通使用统计的数据来源于硬件设备反馈的线下实际使用数据。</w:t>
      </w:r>
    </w:p>
    <w:p>
      <w:pPr>
        <w:pStyle w:val="2"/>
        <w:numPr>
          <w:ilvl w:val="0"/>
          <w:numId w:val="1"/>
        </w:numPr>
        <w:rPr>
          <w:sz w:val="32"/>
          <w:szCs w:val="20"/>
        </w:rPr>
      </w:pPr>
      <w:r>
        <w:rPr>
          <w:rFonts w:hint="eastAsia"/>
          <w:sz w:val="32"/>
          <w:szCs w:val="20"/>
        </w:rPr>
        <w:t>各角色在平台中的权限和功能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lang w:val="en-US" w:eastAsia="zh-CN"/>
        </w:rPr>
      </w:pPr>
      <w:r>
        <w:rPr>
          <w:rFonts w:hint="eastAsia"/>
          <w:sz w:val="24"/>
          <w:lang w:val="en-US" w:eastAsia="zh-CN"/>
        </w:rPr>
        <w:t>根据湖北农村教学点的特色和实际需求，平台将用户分为了“教师”和</w:t>
      </w:r>
      <w:r>
        <w:rPr>
          <w:rFonts w:hint="eastAsia"/>
          <w:sz w:val="24"/>
          <w:lang w:val="en-US" w:eastAsia="zh-CN"/>
        </w:rPr>
        <w:br w:type="textWrapping"/>
      </w:r>
      <w:r>
        <w:rPr>
          <w:rFonts w:hint="eastAsia"/>
          <w:sz w:val="24"/>
          <w:lang w:val="en-US" w:eastAsia="zh-CN"/>
        </w:rPr>
        <w:t>“管理者”两个类别：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lang w:val="en-US" w:eastAsia="zh-CN"/>
        </w:rPr>
      </w:pPr>
      <w:r>
        <w:rPr>
          <w:rFonts w:hint="eastAsia"/>
          <w:sz w:val="24"/>
          <w:lang w:val="en-US" w:eastAsia="zh-CN"/>
        </w:rPr>
        <w:t>教师分为“教学点教师”和“中心校教师”，在平台主要的功能为网站数据的浏览和使用；管理者分为“中心校管理员”、“区县管理员”、“市州管理员”和“省管理员”，除了教师功能外，还</w:t>
      </w:r>
      <w:bookmarkStart w:id="0" w:name="_GoBack"/>
      <w:bookmarkEnd w:id="0"/>
      <w:r>
        <w:rPr>
          <w:rFonts w:hint="eastAsia"/>
          <w:sz w:val="24"/>
          <w:lang w:val="en-US" w:eastAsia="zh-CN"/>
        </w:rPr>
        <w:t>承担对应的管理、互动、统计功能。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lang w:val="en-US" w:eastAsia="zh-CN"/>
        </w:rPr>
      </w:pPr>
      <w:r>
        <w:rPr>
          <w:rFonts w:hint="eastAsia"/>
          <w:sz w:val="24"/>
          <w:lang w:val="en-US" w:eastAsia="zh-CN"/>
        </w:rPr>
        <w:t>各角色具体的权限和功能如下表所示：</w:t>
      </w:r>
    </w:p>
    <w:tbl>
      <w:tblPr>
        <w:tblStyle w:val="6"/>
        <w:tblW w:w="9152" w:type="dxa"/>
        <w:jc w:val="center"/>
        <w:tblInd w:w="0" w:type="dxa"/>
        <w:tblLayout w:type="fixed"/>
        <w:tblCellMar>
          <w:top w:w="15" w:type="dxa"/>
          <w:left w:w="15" w:type="dxa"/>
          <w:bottom w:w="15" w:type="dxa"/>
          <w:right w:w="15" w:type="dxa"/>
        </w:tblCellMar>
      </w:tblPr>
      <w:tblGrid>
        <w:gridCol w:w="1194"/>
        <w:gridCol w:w="1082"/>
        <w:gridCol w:w="1017"/>
        <w:gridCol w:w="1016"/>
        <w:gridCol w:w="1160"/>
        <w:gridCol w:w="1183"/>
        <w:gridCol w:w="1183"/>
        <w:gridCol w:w="1317"/>
      </w:tblGrid>
      <w:tr>
        <w:tblPrEx>
          <w:tblLayout w:type="fixed"/>
          <w:tblCellMar>
            <w:top w:w="15" w:type="dxa"/>
            <w:left w:w="15" w:type="dxa"/>
            <w:bottom w:w="15" w:type="dxa"/>
            <w:right w:w="15" w:type="dxa"/>
          </w:tblCellMar>
        </w:tblPrEx>
        <w:trPr>
          <w:trHeight w:val="454"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角色</w:t>
            </w:r>
          </w:p>
        </w:tc>
        <w:tc>
          <w:tcPr>
            <w:tcW w:w="1082"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首页</w:t>
            </w:r>
          </w:p>
        </w:tc>
        <w:tc>
          <w:tcPr>
            <w:tcW w:w="1017"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巡课互动</w:t>
            </w:r>
          </w:p>
        </w:tc>
        <w:tc>
          <w:tcPr>
            <w:tcW w:w="1016"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直播课堂</w:t>
            </w:r>
          </w:p>
        </w:tc>
        <w:tc>
          <w:tcPr>
            <w:tcW w:w="1160"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课程管理</w:t>
            </w:r>
          </w:p>
        </w:tc>
        <w:tc>
          <w:tcPr>
            <w:tcW w:w="1183"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教学资源</w:t>
            </w:r>
          </w:p>
        </w:tc>
        <w:tc>
          <w:tcPr>
            <w:tcW w:w="1183"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网络研修</w:t>
            </w:r>
          </w:p>
        </w:tc>
        <w:tc>
          <w:tcPr>
            <w:tcW w:w="1317" w:type="dxa"/>
            <w:tcBorders>
              <w:top w:val="single" w:color="000000" w:sz="4" w:space="0"/>
              <w:left w:val="single" w:color="000000" w:sz="4" w:space="0"/>
              <w:bottom w:val="single" w:color="000000" w:sz="4" w:space="0"/>
              <w:right w:val="single" w:color="000000" w:sz="4" w:space="0"/>
            </w:tcBorders>
            <w:shd w:val="clear" w:color="auto" w:fill="000000"/>
            <w:vAlign w:val="center"/>
          </w:tcPr>
          <w:p>
            <w:pPr>
              <w:widowControl/>
              <w:jc w:val="left"/>
              <w:textAlignment w:val="center"/>
              <w:rPr>
                <w:rFonts w:ascii="宋体" w:hAnsi="宋体" w:eastAsia="宋体" w:cs="宋体"/>
                <w:color w:val="F2F2F2"/>
                <w:sz w:val="22"/>
                <w:szCs w:val="22"/>
              </w:rPr>
            </w:pPr>
            <w:r>
              <w:rPr>
                <w:rFonts w:hint="eastAsia" w:ascii="宋体" w:hAnsi="宋体" w:eastAsia="宋体" w:cs="宋体"/>
                <w:color w:val="F2F2F2"/>
                <w:kern w:val="0"/>
                <w:sz w:val="22"/>
                <w:szCs w:val="22"/>
                <w:lang w:bidi="ar"/>
              </w:rPr>
              <w:t>数据统计</w:t>
            </w:r>
          </w:p>
        </w:tc>
      </w:tr>
      <w:tr>
        <w:tblPrEx>
          <w:tblLayout w:type="fixed"/>
          <w:tblCellMar>
            <w:top w:w="15" w:type="dxa"/>
            <w:left w:w="15" w:type="dxa"/>
            <w:bottom w:w="15" w:type="dxa"/>
            <w:right w:w="15" w:type="dxa"/>
          </w:tblCellMar>
        </w:tblPrEx>
        <w:trPr>
          <w:trHeight w:val="391"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游客</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r>
      <w:tr>
        <w:tblPrEx>
          <w:tblLayout w:type="fixed"/>
          <w:tblCellMar>
            <w:top w:w="15" w:type="dxa"/>
            <w:left w:w="15" w:type="dxa"/>
            <w:bottom w:w="15" w:type="dxa"/>
            <w:right w:w="15" w:type="dxa"/>
          </w:tblCellMar>
        </w:tblPrEx>
        <w:trPr>
          <w:trHeight w:val="391"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教学点教师</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查看本校</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r>
      <w:tr>
        <w:tblPrEx>
          <w:tblLayout w:type="fixed"/>
          <w:tblCellMar>
            <w:top w:w="15" w:type="dxa"/>
            <w:left w:w="15" w:type="dxa"/>
            <w:bottom w:w="15" w:type="dxa"/>
            <w:right w:w="15" w:type="dxa"/>
          </w:tblCellMar>
        </w:tblPrEx>
        <w:trPr>
          <w:trHeight w:val="391"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中心校教师</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查看本校</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r>
      <w:tr>
        <w:tblPrEx>
          <w:tblLayout w:type="fixed"/>
          <w:tblCellMar>
            <w:top w:w="15" w:type="dxa"/>
            <w:left w:w="15" w:type="dxa"/>
            <w:bottom w:w="15" w:type="dxa"/>
            <w:right w:w="15" w:type="dxa"/>
          </w:tblCellMar>
        </w:tblPrEx>
        <w:trPr>
          <w:trHeight w:val="659"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中心校管理员</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查看本校及填报</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Cs w:val="21"/>
              </w:rPr>
            </w:pPr>
          </w:p>
        </w:tc>
      </w:tr>
      <w:tr>
        <w:tblPrEx>
          <w:tblLayout w:type="fixed"/>
          <w:tblCellMar>
            <w:top w:w="15" w:type="dxa"/>
            <w:left w:w="15" w:type="dxa"/>
            <w:bottom w:w="15" w:type="dxa"/>
            <w:right w:w="15" w:type="dxa"/>
          </w:tblCellMar>
        </w:tblPrEx>
        <w:trPr>
          <w:trHeight w:val="659"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区县管理员</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仅本县</w:t>
            </w: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查看本县及审核</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仅本区县数据</w:t>
            </w:r>
          </w:p>
        </w:tc>
      </w:tr>
      <w:tr>
        <w:tblPrEx>
          <w:tblLayout w:type="fixed"/>
          <w:tblCellMar>
            <w:top w:w="15" w:type="dxa"/>
            <w:left w:w="15" w:type="dxa"/>
            <w:bottom w:w="15" w:type="dxa"/>
            <w:right w:w="15" w:type="dxa"/>
          </w:tblCellMar>
        </w:tblPrEx>
        <w:trPr>
          <w:trHeight w:val="659"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市州管理员</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仅本市</w:t>
            </w: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查看本市</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仅本市州数据</w:t>
            </w:r>
          </w:p>
        </w:tc>
      </w:tr>
      <w:tr>
        <w:tblPrEx>
          <w:tblLayout w:type="fixed"/>
          <w:tblCellMar>
            <w:top w:w="15" w:type="dxa"/>
            <w:left w:w="15" w:type="dxa"/>
            <w:bottom w:w="15" w:type="dxa"/>
            <w:right w:w="15" w:type="dxa"/>
          </w:tblCellMar>
        </w:tblPrEx>
        <w:trPr>
          <w:trHeight w:val="669" w:hRule="atLeast"/>
          <w:jc w:val="center"/>
        </w:trPr>
        <w:tc>
          <w:tcPr>
            <w:tcW w:w="1194" w:type="dxa"/>
            <w:tcBorders>
              <w:top w:val="single" w:color="000000" w:sz="4" w:space="0"/>
              <w:left w:val="single" w:color="000000" w:sz="4" w:space="0"/>
              <w:bottom w:val="single" w:color="000000" w:sz="4" w:space="0"/>
              <w:right w:val="single" w:color="000000" w:sz="4" w:space="0"/>
            </w:tcBorders>
            <w:shd w:val="clear" w:color="auto" w:fill="B8CCE4"/>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省管理员</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开放浏览</w:t>
            </w:r>
          </w:p>
        </w:tc>
        <w:tc>
          <w:tcPr>
            <w:tcW w:w="10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全部权限</w:t>
            </w:r>
          </w:p>
        </w:tc>
        <w:tc>
          <w:tcPr>
            <w:tcW w:w="10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浏览及发布</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查看全部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浏览及使用</w:t>
            </w:r>
          </w:p>
        </w:tc>
        <w:tc>
          <w:tcPr>
            <w:tcW w:w="13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全部数据</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FFC972"/>
    <w:multiLevelType w:val="singleLevel"/>
    <w:tmpl w:val="B6FFC972"/>
    <w:lvl w:ilvl="0" w:tentative="0">
      <w:start w:val="1"/>
      <w:numFmt w:val="chineseCounting"/>
      <w:suff w:val="nothing"/>
      <w:lvlText w:val="%1、"/>
      <w:lvlJc w:val="left"/>
      <w:rPr>
        <w:rFonts w:hint="eastAsia"/>
      </w:rPr>
    </w:lvl>
  </w:abstractNum>
  <w:abstractNum w:abstractNumId="1">
    <w:nsid w:val="C7EFDCC8"/>
    <w:multiLevelType w:val="singleLevel"/>
    <w:tmpl w:val="C7EFDCC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96"/>
    <w:rsid w:val="002B0A96"/>
    <w:rsid w:val="00660061"/>
    <w:rsid w:val="0093281A"/>
    <w:rsid w:val="0EFB0ED3"/>
    <w:rsid w:val="12C8779D"/>
    <w:rsid w:val="1CE45B41"/>
    <w:rsid w:val="1EAB2C11"/>
    <w:rsid w:val="1F40303F"/>
    <w:rsid w:val="22EF6724"/>
    <w:rsid w:val="2931376D"/>
    <w:rsid w:val="2EA661D1"/>
    <w:rsid w:val="2F336048"/>
    <w:rsid w:val="33AA19A3"/>
    <w:rsid w:val="3A8C5C8E"/>
    <w:rsid w:val="3BF6742C"/>
    <w:rsid w:val="3BFD33F8"/>
    <w:rsid w:val="3DED3D8E"/>
    <w:rsid w:val="3F792CBC"/>
    <w:rsid w:val="42701A2E"/>
    <w:rsid w:val="4801191B"/>
    <w:rsid w:val="4C6A6CB1"/>
    <w:rsid w:val="4E7A4AC2"/>
    <w:rsid w:val="5C9F2F5B"/>
    <w:rsid w:val="5CB33CB7"/>
    <w:rsid w:val="67512106"/>
    <w:rsid w:val="6ABF3828"/>
    <w:rsid w:val="6B142FAC"/>
    <w:rsid w:val="6BD15DFD"/>
    <w:rsid w:val="769F68CF"/>
    <w:rsid w:val="7D38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5">
    <w:name w:val="Default Paragraph Font"/>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283</Words>
  <Characters>1619</Characters>
  <Lines>13</Lines>
  <Paragraphs>3</Paragraphs>
  <TotalTime>11</TotalTime>
  <ScaleCrop>false</ScaleCrop>
  <LinksUpToDate>false</LinksUpToDate>
  <CharactersWithSpaces>1899</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唐嘉莹</cp:lastModifiedBy>
  <dcterms:modified xsi:type="dcterms:W3CDTF">2018-11-13T01:56:54Z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