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项目前景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2.1前景概述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目标客户：在校大学生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产品名称：基于Web平台的青协管理系统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竞争优势：竞争优势在于独特的志愿活动与个人技能的匹配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志愿者协会的发展需要更加人性化，更加便捷的方式来实现活动的发布和举办，基于Web平台的青协管理系统集社团风采展示和内部管理于一体，方便用户的同时也方便管理层对活动和志愿者的管理协调。竞争优势在于独特的志愿活动与个人技能的匹配，使得志愿者能够最大效率地展现个人价值，在参加活动时多了一份积极性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2.2主要特性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人性化、可选择、面向对象编程、网页展示、免费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2.3假设与依赖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0B982"/>
    <w:multiLevelType w:val="singleLevel"/>
    <w:tmpl w:val="5A30B98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3134A"/>
    <w:rsid w:val="4B82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2017-12-13T05:21:00Z</dcterms:created>
  <dc:creator>＇①嗰＾梦 </dc:creator>
  <cp:lastModifiedBy>＇①嗰＾梦 </cp:lastModifiedBy>
  <dcterms:modified xsi:type="dcterms:W3CDTF">2017-12-13T06:53:17Z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