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楷体" w:hAnsi="Times New Roman"/>
          <w:b/>
          <w:bCs/>
          <w:sz w:val="32"/>
          <w:szCs w:val="32"/>
        </w:rPr>
        <w:t xml:space="preserve">LiteGTR：面向无人机小目标检测的轻量级全局 Token 精修网络</w:t>
      </w:r>
    </w:p>
    <w:p>
      <w:pPr>
        <w:spacing w:after="80"/>
        <w:jc w:val="center"/>
      </w:pPr>
      <w:r>
        <w:rPr>
          <w:rFonts w:ascii="Times New Roman" w:cs="Times New Roman" w:eastAsia="楷体" w:hAnsi="Times New Roman"/>
          <w:sz w:val="24"/>
          <w:szCs w:val="24"/>
        </w:rPr>
        <w:t xml:space="preserve">LiteGTR: Lightweight Global-Token Refinement for Small Object Detection in UAV Imagery</w:t>
      </w:r>
    </w:p>
    <w:p>
      <w:pPr>
        <w:spacing w:after="240"/>
        <w:jc w:val="center"/>
      </w:pPr>
      <w:r>
        <w:rPr>
          <w:rFonts w:ascii="Times New Roman" w:cs="Times New Roman" w:eastAsia="楷体" w:hAnsi="Times New Roman"/>
          <w:sz w:val="21"/>
          <w:szCs w:val="21"/>
        </w:rPr>
        <w:t xml:space="preserve">作者（待定）</w:t>
      </w:r>
    </w:p>
    <w:p>
      <w:pPr>
        <w:spacing w:after="80"/>
        <w:jc w:val="center"/>
      </w:pPr>
      <w:r>
        <w:rPr>
          <w:rFonts w:ascii="Times New Roman" w:cs="Times New Roman" w:eastAsia="楷体" w:hAnsi="Times New Roman"/>
          <w:b/>
          <w:bCs/>
          <w:sz w:val="24"/>
          <w:szCs w:val="24"/>
        </w:rPr>
        <w:t xml:space="preserve">摘  要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无人机图像中的目标以小目标为主且分布密集，而机载平台又要求检测器参数少、延迟低、可部署。轻量检测器依赖局部卷积，难以获得全局上下文；引入全局建模的方法要么计算量随空间分辨率二次增长，要么依赖与数据相关的稀疏计算，导出到推理引擎时形状不固定。本文提出 LiteGTR，一个 2.32M 参数的单模态 RGB 检测器。LiteGTR 在 P3–P5 特征层上以固定预算、分区域的方式选出 56 个 token，经 token 混合建模全局关系后，通过几何感知写回将全局信息以残差形式写回特征图：每个 token 预测自身的各向异性高斯范围，使描述小目标的 token 只作用于其邻域。我们发现，仅靠检测损失和一致性约束训练的打分器会塌缩为平坦分数图，路由退化为随机选择；为此引入基于真值中心热力图的路由监督，并以光照扰动视角下的 EMA 教师约束路由对光照变化保持稳定。整个网络为静态形状，可直接导出 ONNX/TensorRT。在 VisDrone 上，LiteGTR 以 [xx] GFLOPs 取得 [xx] AP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S</w:t>
      </w:r>
      <w:r>
        <w:rPr>
          <w:rFonts w:ascii="Times New Roman" w:cs="Times New Roman" w:eastAsia="楷体" w:hAnsi="Times New Roman"/>
          <w:sz w:val="21"/>
          <w:szCs w:val="21"/>
        </w:rPr>
        <w:t xml:space="preserve">，[实验结论待补]。</w:t>
      </w:r>
    </w:p>
    <w:p>
      <w:pPr>
        <w:spacing w:after="200" w:line="300"/>
        <w:jc w:val="both"/>
      </w:pPr>
      <w:r>
        <w:rPr>
          <w:rFonts w:ascii="Times New Roman" w:cs="Times New Roman" w:eastAsia="楷体" w:hAnsi="Times New Roman"/>
          <w:b/>
          <w:bCs/>
          <w:sz w:val="21"/>
          <w:szCs w:val="21"/>
        </w:rPr>
        <w:t xml:space="preserve">关键词：</w:t>
      </w:r>
      <w:r>
        <w:rPr>
          <w:rFonts w:ascii="Times New Roman" w:cs="Times New Roman" w:eastAsia="楷体" w:hAnsi="Times New Roman"/>
          <w:sz w:val="21"/>
          <w:szCs w:val="21"/>
        </w:rPr>
        <w:t xml:space="preserve">无人机目标检测；小目标检测；轻量级网络；Token 路由；边缘部署</w:t>
      </w:r>
    </w:p>
    <w:p>
      <w:pPr>
        <w:spacing w:after="120" w:before="240"/>
      </w:pPr>
      <w:r>
        <w:rPr>
          <w:rFonts w:ascii="Times New Roman" w:cs="Times New Roman" w:eastAsia="楷体" w:hAnsi="Times New Roman"/>
          <w:b/>
          <w:bCs/>
          <w:sz w:val="26"/>
          <w:szCs w:val="26"/>
        </w:rPr>
        <w:t xml:space="preserve">1  引言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无人机航拍在交通监测、应急搜救和巡检中应用广泛。与自然图像不同，航拍图像视场大、目标小且密集：VisDrone 验证集约 68.5% 的实例面积小于 32</w:t>
      </w:r>
      <w:r>
        <w:rPr>
          <w:rFonts w:ascii="Times New Roman" w:cs="Times New Roman" w:eastAsia="楷体" w:hAnsi="Times New Roman"/>
          <w:sz w:val="21"/>
          <w:szCs w:val="21"/>
          <w:vertAlign w:val="superscript"/>
        </w:rPr>
        <w:t xml:space="preserve">2</w:t>
      </w:r>
      <w:r>
        <w:rPr>
          <w:rFonts w:ascii="Times New Roman" w:cs="Times New Roman" w:eastAsia="楷体" w:hAnsi="Times New Roman"/>
          <w:sz w:val="21"/>
          <w:szCs w:val="21"/>
        </w:rPr>
        <w:t xml:space="preserve"> 像素，每张图平均约 71 个目标 [待 3.3 节实测替换]。图像缩放到 640 输入后，大量目标只覆盖一个 stride-8 特征单元的一部分。与此同时，机载计算平台对参数量、延迟和算子兼容性都有严格限制。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现有工作沿两条路线展开。其一是轻量 YOLO 类检测器 [LEAF-YOLO, RemDet, FBRT-YOLO]，通过改进局部特征提取与融合降低计算量，但感受野受限，在密集小目标场景中缺少区分相似目标所需的上下文。其二是引入全局建模：Transformer 类方法的注意力代价随位置数二次增长；QueryDet、CEASC 等稀疏方法只在部分位置计算，但稀疏位置的数量由输入决定，导出到 TensorRT 等引擎时出现动态形状和算子回退，推理端的加速难以兑现。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我们认为全局上下文并不需要在所有位置上计算。只要少量 token 落在目标所在位置，且写回时尊重每个 token 所描述区域的空间范围，就能以很低的代价为小目标补充上下文。基于这一观察，LiteGTR 在每个特征层上把特征图划分为固定网格，每个区域选出固定数量的 token，总预算为 56，所有形状在编译期确定。写回时，每个 token 预测一个各向异性高斯范围，与内容注意力共同决定写回权重。训练中我们观察到打分器会塌缩为平坦的分数图，因此进一步引入路由监督。</w:t>
      </w:r>
    </w:p>
    <w:p>
      <w:pPr>
        <w:spacing w:after="60" w:line="30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本文的贡献如下：</w:t>
      </w:r>
    </w:p>
    <w:p>
      <w:pPr>
        <w:spacing w:after="60" w:line="30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（1）提出固定预算的局部 top-k 路由与几何感知写回，以 O(N·HW) 的代价（N = 56）为特征图引入全局上下文，整网静态形状，可直接部署；</w:t>
      </w:r>
    </w:p>
    <w:p>
      <w:pPr>
        <w:spacing w:after="60" w:line="30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（2）揭示了仅靠门控梯度和一致性约束训练时打分器的塌缩现象（分数图归一化熵趋近 1），提出基于真值中心热力图的路由监督，并以光照扰动视角下的 EMA 教师约束路由的光照不变性；</w:t>
      </w:r>
    </w:p>
    <w:p>
      <w:pPr>
        <w:spacing w:after="60" w:line="30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（3）在 VisDrone 和 DroneVehicle 上，在统一训练协议下与参数量匹配的基线和同量级检测器对比，并按极小、微小、小目标分档报告精度，[实验结论待补]。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atLeast"/>
        </w:trPr>
        <w:tc>
          <w:tcPr>
            <w:tcW w:type="dxa" w:w="9026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shd w:fill="F5F5F5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color w:val="7F7F7F"/>
                <w:sz w:val="21"/>
                <w:szCs w:val="21"/>
              </w:rPr>
              <w:t xml:space="preserve">【图 1 占位】</w:t>
            </w:r>
          </w:p>
          <w:p>
            <w:pPr>
              <w:jc w:val="left"/>
            </w:pPr>
            <w:r>
              <w:rPr>
                <w:rFonts w:ascii="Times New Roman" w:cs="Times New Roman" w:eastAsia="楷体" w:hAnsi="Times New Roman"/>
                <w:color w:val="595959"/>
                <w:sz w:val="18"/>
                <w:szCs w:val="18"/>
              </w:rPr>
              <w:t xml:space="preserve">内容：横轴参数量（M，0–7），纵轴 AP</w:t>
            </w:r>
            <w:r>
              <w:rPr>
                <w:rFonts w:ascii="Times New Roman" w:cs="Times New Roman" w:eastAsia="楷体" w:hAnsi="Times New Roman"/>
                <w:color w:val="595959"/>
                <w:sz w:val="18"/>
                <w:szCs w:val="18"/>
                <w:vertAlign w:val="subscript"/>
              </w:rPr>
              <w:t xml:space="preserve">S</w:t>
            </w:r>
            <w:r>
              <w:rPr>
                <w:rFonts w:ascii="Times New Roman" w:cs="Times New Roman" w:eastAsia="楷体" w:hAnsi="Times New Roman"/>
                <w:color w:val="595959"/>
                <w:sz w:val="18"/>
                <w:szCs w:val="18"/>
              </w:rPr>
              <w:t xml:space="preserve">（%）；气泡大小表示 GFLOPs。</w:t>
            </w:r>
          </w:p>
          <w:p>
            <w:pPr>
              <w:jc w:val="left"/>
            </w:pPr>
            <w:r>
              <w:rPr>
                <w:rFonts w:ascii="Times New Roman" w:cs="Times New Roman" w:eastAsia="楷体" w:hAnsi="Times New Roman"/>
                <w:color w:val="595959"/>
                <w:sz w:val="18"/>
                <w:szCs w:val="18"/>
              </w:rPr>
              <w:t xml:space="preserve">点：LEAF-YOLO-N、RemDet-Tiny、EdgeYOLO-Tiny、PDWT-YOLO、LEAF-YOLO（引用值，空心）；YOLOv8n、YOLO11n、CSP-N、CSP-T（同协议复现，实心）；LiteGTR-S、LiteGTR（红色五角星）。</w:t>
            </w:r>
          </w:p>
          <w:p>
            <w:pPr>
              <w:jc w:val="left"/>
            </w:pPr>
            <w:r>
              <w:rPr>
                <w:rFonts w:ascii="Times New Roman" w:cs="Times New Roman" w:eastAsia="楷体" w:hAnsi="Times New Roman"/>
                <w:color w:val="595959"/>
                <w:sz w:val="18"/>
                <w:szCs w:val="18"/>
              </w:rPr>
              <w:t xml:space="preserve">数据来源：表 1。</w:t>
            </w:r>
          </w:p>
        </w:tc>
      </w:tr>
    </w:tbl>
    <w:p>
      <w:pPr>
        <w:spacing w:after="200" w:before="60"/>
        <w:jc w:val="both"/>
      </w:pPr>
      <w:r>
        <w:rPr>
          <w:rFonts w:ascii="Times New Roman" w:cs="Times New Roman" w:eastAsia="楷体" w:hAnsi="Times New Roman"/>
          <w:b/>
          <w:bCs/>
          <w:sz w:val="18"/>
          <w:szCs w:val="18"/>
        </w:rPr>
        <w:t xml:space="preserve">图 1. </w:t>
      </w:r>
      <w:r>
        <w:rPr>
          <w:rFonts w:ascii="Times New Roman" w:cs="Times New Roman" w:eastAsia="楷体" w:hAnsi="Times New Roman"/>
          <w:sz w:val="18"/>
          <w:szCs w:val="18"/>
        </w:rPr>
        <w:t xml:space="preserve">同量级轻量检测器在 VisDrone val 上的 AP</w:t>
      </w:r>
      <w:r>
        <w:rPr>
          <w:rFonts w:ascii="Times New Roman" w:cs="Times New Roman" w:eastAsia="楷体" w:hAnsi="Times New Roman"/>
          <w:sz w:val="18"/>
          <w:szCs w:val="18"/>
          <w:vertAlign w:val="subscript"/>
        </w:rPr>
        <w:t xml:space="preserve">S</w:t>
      </w:r>
      <w:r>
        <w:rPr>
          <w:rFonts w:ascii="Times New Roman" w:cs="Times New Roman" w:eastAsia="楷体" w:hAnsi="Times New Roman"/>
          <w:sz w:val="18"/>
          <w:szCs w:val="18"/>
        </w:rPr>
        <w:t xml:space="preserve">–参数量对比。LiteGTR 在更少参数下取得更高的小目标精度。</w:t>
      </w:r>
    </w:p>
    <w:p>
      <w:pPr>
        <w:spacing w:after="120" w:before="240"/>
      </w:pPr>
      <w:r>
        <w:rPr>
          <w:rFonts w:ascii="Times New Roman" w:cs="Times New Roman" w:eastAsia="楷体" w:hAnsi="Times New Roman"/>
          <w:b/>
          <w:bCs/>
          <w:sz w:val="26"/>
          <w:szCs w:val="26"/>
        </w:rPr>
        <w:t xml:space="preserve">2  相关工作</w:t>
      </w:r>
    </w:p>
    <w:p>
      <w:pPr>
        <w:spacing w:after="60" w:line="300"/>
        <w:jc w:val="both"/>
      </w:pPr>
      <w:r>
        <w:rPr>
          <w:rFonts w:ascii="Times New Roman" w:cs="Times New Roman" w:eastAsia="楷体" w:hAnsi="Times New Roman"/>
          <w:color w:val="C00000"/>
          <w:sz w:val="21"/>
          <w:szCs w:val="21"/>
        </w:rPr>
        <w:t xml:space="preserve">【待补】轻量无人机检测；小目标 / 极小目标检测（NWD、RFLA、DQ-DETR、SimD）；稀疏与 token 化的全局建模（QueryDet、CEASC、Sparse DETR）。</w:t>
      </w:r>
    </w:p>
    <w:p>
      <w:pPr>
        <w:spacing w:after="120" w:before="240"/>
      </w:pPr>
      <w:r>
        <w:rPr>
          <w:rFonts w:ascii="Times New Roman" w:cs="Times New Roman" w:eastAsia="楷体" w:hAnsi="Times New Roman"/>
          <w:b/>
          <w:bCs/>
          <w:sz w:val="26"/>
          <w:szCs w:val="26"/>
        </w:rPr>
        <w:t xml:space="preserve">3  准备工作</w:t>
      </w:r>
    </w:p>
    <w:p>
      <w:pPr>
        <w:spacing w:after="80" w:before="160"/>
      </w:pPr>
      <w:r>
        <w:rPr>
          <w:rFonts w:ascii="Times New Roman" w:cs="Times New Roman" w:eastAsia="楷体" w:hAnsi="Times New Roman"/>
          <w:b/>
          <w:bCs/>
          <w:sz w:val="22"/>
          <w:szCs w:val="22"/>
        </w:rPr>
        <w:t xml:space="preserve">3.1  问题定义与记号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输入图像经 letterbox 缩放到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I</w:t>
      </w:r>
      <w:r>
        <w:rPr>
          <w:rFonts w:ascii="Times New Roman" w:cs="Times New Roman" w:eastAsia="楷体" w:hAnsi="Times New Roman"/>
          <w:sz w:val="21"/>
          <w:szCs w:val="21"/>
        </w:rPr>
        <w:t xml:space="preserve"> ∈ ℝ</w:t>
      </w:r>
      <w:r>
        <w:rPr>
          <w:rFonts w:ascii="Times New Roman" w:cs="Times New Roman" w:eastAsia="楷体" w:hAnsi="Times New Roman"/>
          <w:sz w:val="21"/>
          <w:szCs w:val="21"/>
          <w:vertAlign w:val="superscript"/>
        </w:rPr>
        <w:t xml:space="preserve">3×640×640</w:t>
      </w:r>
      <w:r>
        <w:rPr>
          <w:rFonts w:ascii="Times New Roman" w:cs="Times New Roman" w:eastAsia="楷体" w:hAnsi="Times New Roman"/>
          <w:sz w:val="21"/>
          <w:szCs w:val="21"/>
        </w:rPr>
        <w:t xml:space="preserve">。骨干输出 {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C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l</w:t>
      </w:r>
      <w:r>
        <w:rPr>
          <w:rFonts w:ascii="Times New Roman" w:cs="Times New Roman" w:eastAsia="楷体" w:hAnsi="Times New Roman"/>
          <w:sz w:val="21"/>
          <w:szCs w:val="21"/>
        </w:rPr>
        <w:t xml:space="preserve">}，经特征金字塔得到 {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P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l</w:t>
      </w:r>
      <w:r>
        <w:rPr>
          <w:rFonts w:ascii="Times New Roman" w:cs="Times New Roman" w:eastAsia="楷体" w:hAnsi="Times New Roman"/>
          <w:sz w:val="21"/>
          <w:szCs w:val="21"/>
        </w:rPr>
        <w:t xml:space="preserve">}，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l</w:t>
      </w:r>
      <w:r>
        <w:rPr>
          <w:rFonts w:ascii="Times New Roman" w:cs="Times New Roman" w:eastAsia="楷体" w:hAnsi="Times New Roman"/>
          <w:sz w:val="21"/>
          <w:szCs w:val="21"/>
        </w:rPr>
        <w:t xml:space="preserve"> ∈ {2, 3, 4, 5}，步长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s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l</w:t>
      </w:r>
      <w:r>
        <w:rPr>
          <w:rFonts w:ascii="Times New Roman" w:cs="Times New Roman" w:eastAsia="楷体" w:hAnsi="Times New Roman"/>
          <w:sz w:val="21"/>
          <w:szCs w:val="21"/>
        </w:rPr>
        <w:t xml:space="preserve"> = 2</w:t>
      </w:r>
      <w:r>
        <w:rPr>
          <w:rFonts w:ascii="Times New Roman" w:cs="Times New Roman" w:eastAsia="楷体" w:hAnsi="Times New Roman"/>
          <w:sz w:val="21"/>
          <w:szCs w:val="21"/>
          <w:vertAlign w:val="superscript"/>
        </w:rPr>
        <w:t xml:space="preserve">l</w:t>
      </w:r>
      <w:r>
        <w:rPr>
          <w:rFonts w:ascii="Times New Roman" w:cs="Times New Roman" w:eastAsia="楷体" w:hAnsi="Times New Roman"/>
          <w:sz w:val="21"/>
          <w:szCs w:val="21"/>
        </w:rPr>
        <w:t xml:space="preserve">，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P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l</w:t>
      </w:r>
      <w:r>
        <w:rPr>
          <w:rFonts w:ascii="Times New Roman" w:cs="Times New Roman" w:eastAsia="楷体" w:hAnsi="Times New Roman"/>
          <w:sz w:val="21"/>
          <w:szCs w:val="21"/>
        </w:rPr>
        <w:t xml:space="preserve"> 的尺寸为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C</w:t>
      </w:r>
      <w:r>
        <w:rPr>
          <w:rFonts w:ascii="Times New Roman" w:cs="Times New Roman" w:eastAsia="楷体" w:hAnsi="Times New Roman"/>
          <w:sz w:val="21"/>
          <w:szCs w:val="21"/>
        </w:rPr>
        <w:t xml:space="preserve">×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H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l</w:t>
      </w:r>
      <w:r>
        <w:rPr>
          <w:rFonts w:ascii="Times New Roman" w:cs="Times New Roman" w:eastAsia="楷体" w:hAnsi="Times New Roman"/>
          <w:sz w:val="21"/>
          <w:szCs w:val="21"/>
        </w:rPr>
        <w:t xml:space="preserve">×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W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l</w:t>
      </w:r>
      <w:r>
        <w:rPr>
          <w:rFonts w:ascii="Times New Roman" w:cs="Times New Roman" w:eastAsia="楷体" w:hAnsi="Times New Roman"/>
          <w:sz w:val="21"/>
          <w:szCs w:val="21"/>
        </w:rPr>
        <w:t xml:space="preserve">，统一通道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C</w:t>
      </w:r>
      <w:r>
        <w:rPr>
          <w:rFonts w:ascii="Times New Roman" w:cs="Times New Roman" w:eastAsia="楷体" w:hAnsi="Times New Roman"/>
          <w:sz w:val="21"/>
          <w:szCs w:val="21"/>
        </w:rPr>
        <w:t xml:space="preserve"> = 64。在 640 输入下，P2–P5 的空间尺寸分别为 160、80、40、20。token 路径只作用于 P3–P5；P2 只经过局部卷积，以控制计算量。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为区分小目标内部的尺度差异，除 COCO 的 AP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S</w:t>
      </w:r>
      <w:r>
        <w:rPr>
          <w:rFonts w:ascii="Times New Roman" w:cs="Times New Roman" w:eastAsia="楷体" w:hAnsi="Times New Roman"/>
          <w:sz w:val="21"/>
          <w:szCs w:val="21"/>
        </w:rPr>
        <w:t xml:space="preserve">（面积 &lt; 32</w:t>
      </w:r>
      <w:r>
        <w:rPr>
          <w:rFonts w:ascii="Times New Roman" w:cs="Times New Roman" w:eastAsia="楷体" w:hAnsi="Times New Roman"/>
          <w:sz w:val="21"/>
          <w:szCs w:val="21"/>
          <w:vertAlign w:val="superscript"/>
        </w:rPr>
        <w:t xml:space="preserve">2</w:t>
      </w:r>
      <w:r>
        <w:rPr>
          <w:rFonts w:ascii="Times New Roman" w:cs="Times New Roman" w:eastAsia="楷体" w:hAnsi="Times New Roman"/>
          <w:sz w:val="21"/>
          <w:szCs w:val="21"/>
        </w:rPr>
        <w:t xml:space="preserve">）外，本文沿用 AI-TOD 的分档，按目标边长 √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a</w:t>
      </w:r>
      <w:r>
        <w:rPr>
          <w:rFonts w:ascii="Times New Roman" w:cs="Times New Roman" w:eastAsia="楷体" w:hAnsi="Times New Roman"/>
          <w:sz w:val="21"/>
          <w:szCs w:val="21"/>
        </w:rPr>
        <w:t xml:space="preserve"> 统计：</w:t>
      </w:r>
    </w:p>
    <w:p>
      <w:pPr>
        <w:tabs>
          <w:tab w:val="center" w:pos="4513"/>
          <w:tab w:val="right" w:pos="9026"/>
        </w:tabs>
        <w:spacing w:after="80" w:before="80"/>
      </w:pPr>
      <w:r>
        <w:rPr>
          <w:rFonts w:ascii="Times New Roman" w:cs="Times New Roman" w:eastAsia="楷体" w:hAnsi="Times New Roman"/>
        </w:rPr>
        <w:t xml:space="preserve">	</w:t>
      </w:r>
      <m:oMath>
        <m:sSub>
          <m:sSubPr/>
          <m:e>
            <m:r>
              <m:t>AP</m:t>
            </m:r>
          </m:e>
          <m:sub>
            <m:r>
              <m:t>vt</m:t>
            </m:r>
          </m:sub>
        </m:sSub>
        <m:r>
          <m:t>: √a∈[2,8),  </m:t>
        </m:r>
        <m:sSub>
          <m:sSubPr/>
          <m:e>
            <m:r>
              <m:t>AP</m:t>
            </m:r>
          </m:e>
          <m:sub>
            <m:r>
              <m:t>t</m:t>
            </m:r>
          </m:sub>
        </m:sSub>
        <m:r>
          <m:t>: √a∈[8,16),  </m:t>
        </m:r>
        <m:sSub>
          <m:sSubPr/>
          <m:e>
            <m:r>
              <m:t>AP</m:t>
            </m:r>
          </m:e>
          <m:sub>
            <m:r>
              <m:t>s</m:t>
            </m:r>
          </m:sub>
        </m:sSub>
        <m:r>
          <m:t>: √a∈[16,32),  </m:t>
        </m:r>
        <m:sSub>
          <m:sSubPr/>
          <m:e>
            <m:r>
              <m:t>AP</m:t>
            </m:r>
          </m:e>
          <m:sub>
            <m:r>
              <m:t>m</m:t>
            </m:r>
          </m:sub>
        </m:sSub>
        <m:r>
          <m:t>: √a∈[32,64)</m:t>
        </m:r>
      </m:oMath>
      <w:r>
        <w:rPr>
          <w:rFonts w:ascii="Times New Roman" w:cs="Times New Roman" w:eastAsia="楷体" w:hAnsi="Times New Roman"/>
          <w:sz w:val="21"/>
          <w:szCs w:val="21"/>
        </w:rPr>
        <w:t xml:space="preserve">	(1)</w:t>
      </w:r>
    </w:p>
    <w:p>
      <w:pPr>
        <w:spacing w:after="80" w:before="160"/>
      </w:pPr>
      <w:r>
        <w:rPr>
          <w:rFonts w:ascii="Times New Roman" w:cs="Times New Roman" w:eastAsia="楷体" w:hAnsi="Times New Roman"/>
          <w:b/>
          <w:bCs/>
          <w:sz w:val="22"/>
          <w:szCs w:val="22"/>
        </w:rPr>
        <w:t xml:space="preserve">3.2  检测头与训练目标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检测头采用 GFL [Li et al.]，在 P2–P5 的每个位置预测类别质量分数和边框分布。分类使用质量焦点损失（QFL），目标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y</w:t>
      </w:r>
      <w:r>
        <w:rPr>
          <w:rFonts w:ascii="Times New Roman" w:cs="Times New Roman" w:eastAsia="楷体" w:hAnsi="Times New Roman"/>
          <w:sz w:val="21"/>
          <w:szCs w:val="21"/>
        </w:rPr>
        <w:t xml:space="preserve"> 为预测框与所分配真值的 IoU：</w:t>
      </w:r>
    </w:p>
    <w:p>
      <w:pPr>
        <w:tabs>
          <w:tab w:val="center" w:pos="4513"/>
          <w:tab w:val="right" w:pos="9026"/>
        </w:tabs>
        <w:spacing w:after="80" w:before="80"/>
      </w:pPr>
      <w:r>
        <w:rPr>
          <w:rFonts w:ascii="Times New Roman" w:cs="Times New Roman" w:eastAsia="楷体" w:hAnsi="Times New Roman"/>
        </w:rPr>
        <w:t xml:space="preserve">	</w:t>
      </w:r>
      <m:oMath>
        <m:sSub>
          <m:sSubPr/>
          <m:e>
            <m:r>
              <m:t>L</m:t>
            </m:r>
          </m:e>
          <m:sub>
            <m:r>
              <m:t>QFL</m:t>
            </m:r>
          </m:sub>
        </m:sSub>
        <m:r>
          <m:t>(σ)=−</m:t>
        </m:r>
        <m:sSup>
          <m:sSupPr/>
          <m:e>
            <m:d>
              <m:dPr/>
              <m:e>
                <m:r>
                  <m:t>|y−σ|</m:t>
                </m:r>
              </m:e>
            </m:d>
          </m:e>
          <m:sup>
            <m:r>
              <m:t>β</m:t>
            </m:r>
          </m:sup>
        </m:sSup>
        <m:d>
          <m:dPr/>
          <m:e>
            <m:r>
              <m:t>(1−y)log(1−σ)+y log σ</m:t>
            </m:r>
          </m:e>
        </m:d>
      </m:oMath>
      <w:r>
        <w:rPr>
          <w:rFonts w:ascii="Times New Roman" w:cs="Times New Roman" w:eastAsia="楷体" w:hAnsi="Times New Roman"/>
          <w:sz w:val="21"/>
          <w:szCs w:val="21"/>
        </w:rPr>
        <w:t xml:space="preserve">	(2)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边框的四条边距离各表示为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n</w:t>
      </w:r>
      <w:r>
        <w:rPr>
          <w:rFonts w:ascii="Times New Roman" w:cs="Times New Roman" w:eastAsia="楷体" w:hAnsi="Times New Roman"/>
          <w:sz w:val="21"/>
          <w:szCs w:val="21"/>
        </w:rPr>
        <w:t xml:space="preserve"> + 1 个离散值上的分布（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n</w:t>
      </w:r>
      <w:r>
        <w:rPr>
          <w:rFonts w:ascii="Times New Roman" w:cs="Times New Roman" w:eastAsia="楷体" w:hAnsi="Times New Roman"/>
          <w:sz w:val="21"/>
          <w:szCs w:val="21"/>
        </w:rPr>
        <w:t xml:space="preserve"> = 16），用分布焦点损失（DFL）约束：</w:t>
      </w:r>
    </w:p>
    <w:p>
      <w:pPr>
        <w:tabs>
          <w:tab w:val="center" w:pos="4513"/>
          <w:tab w:val="right" w:pos="9026"/>
        </w:tabs>
        <w:spacing w:after="80" w:before="80"/>
      </w:pPr>
      <w:r>
        <w:rPr>
          <w:rFonts w:ascii="Times New Roman" w:cs="Times New Roman" w:eastAsia="楷体" w:hAnsi="Times New Roman"/>
        </w:rPr>
        <w:t xml:space="preserve">	</w:t>
      </w:r>
      <m:oMath>
        <m:sSub>
          <m:sSubPr/>
          <m:e>
            <m:r>
              <m:t>L</m:t>
            </m:r>
          </m:e>
          <m:sub>
            <m:r>
              <m:t>DFL</m:t>
            </m:r>
          </m:sub>
        </m:sSub>
        <m:r>
          <m:t>=−</m:t>
        </m:r>
        <m:d>
          <m:dPr/>
          <m:e>
            <m:d>
              <m:dPr/>
              <m:e>
                <m:sSub>
                  <m:sSubPr/>
                  <m:e>
                    <m:r>
                      <m:t>y</m:t>
                    </m:r>
                  </m:e>
                  <m:sub>
                    <m:r>
                      <m:t>i+1</m:t>
                    </m:r>
                  </m:sub>
                </m:sSub>
                <m:r>
                  <m:t>−y</m:t>
                </m:r>
              </m:e>
            </m:d>
            <m:r>
              <m:t>log </m:t>
            </m:r>
            <m:sSub>
              <m:sSubPr/>
              <m:e>
                <m:r>
                  <m:t>S</m:t>
                </m:r>
              </m:e>
              <m:sub>
                <m:r>
                  <m:t>i</m:t>
                </m:r>
              </m:sub>
            </m:sSub>
            <m:r>
              <m:t>+</m:t>
            </m:r>
            <m:d>
              <m:dPr/>
              <m:e>
                <m:r>
                  <m:t>y−</m:t>
                </m:r>
                <m:sSub>
                  <m:sSubPr/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log </m:t>
            </m:r>
            <m:sSub>
              <m:sSubPr/>
              <m:e>
                <m:r>
                  <m:t>S</m:t>
                </m:r>
              </m:e>
              <m:sub>
                <m:r>
                  <m:t>i+1</m:t>
                </m:r>
              </m:sub>
            </m:sSub>
          </m:e>
        </m:d>
      </m:oMath>
      <w:r>
        <w:rPr>
          <w:rFonts w:ascii="Times New Roman" w:cs="Times New Roman" w:eastAsia="楷体" w:hAnsi="Times New Roman"/>
          <w:sz w:val="21"/>
          <w:szCs w:val="21"/>
        </w:rPr>
        <w:t xml:space="preserve">	(3)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并与 GIoU 损失共同优化。正样本由 TaskAligned 分配器选取，对齐度量为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t</w:t>
      </w:r>
      <w:r>
        <w:rPr>
          <w:rFonts w:ascii="Times New Roman" w:cs="Times New Roman" w:eastAsia="楷体" w:hAnsi="Times New Roman"/>
          <w:sz w:val="21"/>
          <w:szCs w:val="21"/>
        </w:rPr>
        <w:t xml:space="preserve"> =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s</w:t>
      </w:r>
      <w:r>
        <w:rPr>
          <w:rFonts w:ascii="Times New Roman" w:cs="Times New Roman" w:eastAsia="楷体" w:hAnsi="Times New Roman"/>
          <w:sz w:val="21"/>
          <w:szCs w:val="21"/>
          <w:vertAlign w:val="superscript"/>
        </w:rPr>
        <w:t xml:space="preserve">α</w:t>
      </w:r>
      <w:r>
        <w:rPr>
          <w:rFonts w:ascii="Times New Roman" w:cs="Times New Roman" w:eastAsia="楷体" w:hAnsi="Times New Roman"/>
          <w:sz w:val="21"/>
          <w:szCs w:val="21"/>
        </w:rPr>
        <w:t xml:space="preserve">·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u</w:t>
      </w:r>
      <w:r>
        <w:rPr>
          <w:rFonts w:ascii="Times New Roman" w:cs="Times New Roman" w:eastAsia="楷体" w:hAnsi="Times New Roman"/>
          <w:sz w:val="21"/>
          <w:szCs w:val="21"/>
          <w:vertAlign w:val="superscript"/>
        </w:rPr>
        <w:t xml:space="preserve">β</w:t>
      </w:r>
      <w:r>
        <w:rPr>
          <w:rFonts w:ascii="Times New Roman" w:cs="Times New Roman" w:eastAsia="楷体" w:hAnsi="Times New Roman"/>
          <w:sz w:val="21"/>
          <w:szCs w:val="21"/>
        </w:rPr>
        <w:t xml:space="preserve">，其中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s</w:t>
      </w:r>
      <w:r>
        <w:rPr>
          <w:rFonts w:ascii="Times New Roman" w:cs="Times New Roman" w:eastAsia="楷体" w:hAnsi="Times New Roman"/>
          <w:sz w:val="21"/>
          <w:szCs w:val="21"/>
        </w:rPr>
        <w:t xml:space="preserve"> 为分类分数、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u</w:t>
      </w:r>
      <w:r>
        <w:rPr>
          <w:rFonts w:ascii="Times New Roman" w:cs="Times New Roman" w:eastAsia="楷体" w:hAnsi="Times New Roman"/>
          <w:sz w:val="21"/>
          <w:szCs w:val="21"/>
        </w:rPr>
        <w:t xml:space="preserve"> 为 IoU，取 α = 1、β = 6、每个真值取 top-13 候选。候选点必须位于真值框内部；在 640 输入下，边长小于 P2 步长（4 像素）的目标可能落在网格中心之间而没有任何候选点，按公开尺度统计估算约占全部真值的 9.5%，这些目标从未成为正样本，反而被当作背景训练。我们采用 YOLO26 的小目标感知分配（STAL）：仅在候选点选取时，把短于 8 像素的边以中心为基准扩展到 8 像素，回归目标仍为原始框；边长不小于 8 像素的真值，分配结果不变。</w:t>
      </w:r>
    </w:p>
    <w:p>
      <w:pPr>
        <w:spacing w:after="80" w:before="160"/>
      </w:pPr>
      <w:r>
        <w:rPr>
          <w:rFonts w:ascii="Times New Roman" w:cs="Times New Roman" w:eastAsia="楷体" w:hAnsi="Times New Roman"/>
          <w:b/>
          <w:bCs/>
          <w:sz w:val="22"/>
          <w:szCs w:val="22"/>
        </w:rPr>
        <w:t xml:space="preserve">3.3  无人机图像的尺度统计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本文预处理（屏蔽 ignored 区域、去除 others 类）后，VisDrone val 平均每图 [xx] 个目标，面积小于 32</w:t>
      </w:r>
      <w:r>
        <w:rPr>
          <w:rFonts w:ascii="Times New Roman" w:cs="Times New Roman" w:eastAsia="楷体" w:hAnsi="Times New Roman"/>
          <w:sz w:val="21"/>
          <w:szCs w:val="21"/>
          <w:vertAlign w:val="superscript"/>
        </w:rPr>
        <w:t xml:space="preserve">2</w:t>
      </w:r>
      <w:r>
        <w:rPr>
          <w:rFonts w:ascii="Times New Roman" w:cs="Times New Roman" w:eastAsia="楷体" w:hAnsi="Times New Roman"/>
          <w:sz w:val="21"/>
          <w:szCs w:val="21"/>
        </w:rPr>
        <w:t xml:space="preserve"> 的实例占 [xx]%，边长小于 16 像素的占 [xx]%，大目标仅占 [xx]%（由 tools/analyze_dataset.py 统计；公开统计的参考值分别约为 71、68.5%、30.8%、2.8%）。网络实际看到的是 640 输入：在该尺度下，[xx]% 的目标边长小于一个 P3 单元（8 像素）。这是本文在 P3 上分配最多 token、并用 P2 保留局部细节的依据。</w:t>
      </w:r>
    </w:p>
    <w:p>
      <w:pPr>
        <w:spacing w:after="120" w:before="240"/>
      </w:pPr>
      <w:r>
        <w:rPr>
          <w:rFonts w:ascii="Times New Roman" w:cs="Times New Roman" w:eastAsia="楷体" w:hAnsi="Times New Roman"/>
          <w:b/>
          <w:bCs/>
          <w:sz w:val="26"/>
          <w:szCs w:val="26"/>
        </w:rPr>
        <w:t xml:space="preserve">4  方法</w:t>
      </w:r>
    </w:p>
    <w:p>
      <w:pPr>
        <w:spacing w:after="80" w:before="160"/>
      </w:pPr>
      <w:r>
        <w:rPr>
          <w:rFonts w:ascii="Times New Roman" w:cs="Times New Roman" w:eastAsia="楷体" w:hAnsi="Times New Roman"/>
          <w:b/>
          <w:bCs/>
          <w:sz w:val="22"/>
          <w:szCs w:val="22"/>
        </w:rPr>
        <w:t xml:space="preserve">4.1  总体结构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LiteGTR 的结构如图 2 所示。TinyNeXt 骨干提取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C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2</w:t>
      </w:r>
      <w:r>
        <w:rPr>
          <w:rFonts w:ascii="Times New Roman" w:cs="Times New Roman" w:eastAsia="楷体" w:hAnsi="Times New Roman"/>
          <w:sz w:val="21"/>
          <w:szCs w:val="21"/>
        </w:rPr>
        <w:t xml:space="preserve">–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C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5</w:t>
      </w:r>
      <w:r>
        <w:rPr>
          <w:rFonts w:ascii="Times New Roman" w:cs="Times New Roman" w:eastAsia="楷体" w:hAnsi="Times New Roman"/>
          <w:sz w:val="21"/>
          <w:szCs w:val="21"/>
        </w:rPr>
        <w:t xml:space="preserve">，经金字塔投影与 FPN 得到 P2–P5，每层再经过局部卷积路径。P3–P5 进入 token 路径：固定预算局部路由选出 56 个 token，token 混合器在 token 之间建模全局关系，几何感知写回把结果以残差形式写回 P3–P5。P2 与写回后的 P3′–P5′ 送入 GFL 检测头。路由监督和 EMA 教师只在训练时使用，不参与推理。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600" w:hRule="atLeast"/>
        </w:trPr>
        <w:tc>
          <w:tcPr>
            <w:tcW w:type="dxa" w:w="9026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shd w:fill="F5F5F5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color w:val="7F7F7F"/>
                <w:sz w:val="21"/>
                <w:szCs w:val="21"/>
              </w:rPr>
              <w:t xml:space="preserve">【图 2 占位】</w:t>
            </w:r>
          </w:p>
          <w:p>
            <w:pPr>
              <w:jc w:val="left"/>
            </w:pPr>
            <w:r>
              <w:rPr>
                <w:rFonts w:ascii="Times New Roman" w:cs="Times New Roman" w:eastAsia="楷体" w:hAnsi="Times New Roman"/>
                <w:color w:val="595959"/>
                <w:sz w:val="18"/>
                <w:szCs w:val="18"/>
              </w:rPr>
              <w:t xml:space="preserve">(a) 输入航拍图 → TinyNeXt Stage1–4（32×160² / 64×80² / 128×40² / 192×20²）→ 1×1+LN → FPN（自顶向下相加）→ DWSep 平滑 → 局部卷积路径（P2 ×1，P3–P5 ×2）。</w:t>
            </w:r>
          </w:p>
          <w:p>
            <w:pPr>
              <w:jc w:val="left"/>
            </w:pPr>
            <w:r>
              <w:rPr>
                <w:rFonts w:ascii="Times New Roman" w:cs="Times New Roman" w:eastAsia="楷体" w:hAnsi="Times New Roman"/>
                <w:color w:val="595959"/>
                <w:sz w:val="18"/>
                <w:szCs w:val="18"/>
              </w:rPr>
              <w:t xml:space="preserve">P3/P4/P5 向下取 token（橙色，32/16/8），经 Token Mixer、几何写回，红色箭头经 ⊕ 写回得到 P3′/P4′/P5′；P2 直连检测头。</w:t>
            </w:r>
          </w:p>
          <w:p>
            <w:pPr>
              <w:jc w:val="left"/>
            </w:pPr>
            <w:r>
              <w:rPr>
                <w:rFonts w:ascii="Times New Roman" w:cs="Times New Roman" w:eastAsia="楷体" w:hAnsi="Times New Roman"/>
                <w:color w:val="595959"/>
                <w:sz w:val="18"/>
                <w:szCs w:val="18"/>
              </w:rPr>
              <w:t xml:space="preserve">(c) 4×4 / 4×4 / 2×2 网格，每区域 top-k 白点。(d) 内容项 ⊕ 高斯先验 → softmax → Σ → γ·Proj → ⊕；旁边画各向异性高斯椭圆：小目标上的 token 椭圆窄，背景 token 椭圆宽。</w:t>
            </w:r>
          </w:p>
          <w:p>
            <w:pPr>
              <w:jc w:val="left"/>
            </w:pPr>
            <w:r>
              <w:rPr>
                <w:rFonts w:ascii="Times New Roman" w:cs="Times New Roman" w:eastAsia="楷体" w:hAnsi="Times New Roman"/>
                <w:color w:val="595959"/>
                <w:sz w:val="18"/>
                <w:szCs w:val="18"/>
              </w:rPr>
              <w:t xml:space="preserve">(e) 真值中心热力图 → focal loss 监督分数图；光照扰动图像 → EMA 教师 → KL 一致性。右下角图例。</w:t>
            </w:r>
          </w:p>
        </w:tc>
      </w:tr>
    </w:tbl>
    <w:p>
      <w:pPr>
        <w:spacing w:after="200" w:before="60"/>
        <w:jc w:val="both"/>
      </w:pPr>
      <w:r>
        <w:rPr>
          <w:rFonts w:ascii="Times New Roman" w:cs="Times New Roman" w:eastAsia="楷体" w:hAnsi="Times New Roman"/>
          <w:b/>
          <w:bCs/>
          <w:sz w:val="18"/>
          <w:szCs w:val="18"/>
        </w:rPr>
        <w:t xml:space="preserve">图 2. </w:t>
      </w:r>
      <w:r>
        <w:rPr>
          <w:rFonts w:ascii="Times New Roman" w:cs="Times New Roman" w:eastAsia="楷体" w:hAnsi="Times New Roman"/>
          <w:sz w:val="18"/>
          <w:szCs w:val="18"/>
        </w:rPr>
        <w:t xml:space="preserve">LiteGTR 总体结构。(a) 整体流程；(b) TinyNeXt Block；(c) 固定预算局部路由；(d) 几何感知写回；(e) 仅训练使用的路由监督与光照一致 EMA 教师（虚线）。</w:t>
      </w:r>
    </w:p>
    <w:p>
      <w:pPr>
        <w:spacing w:after="80" w:before="160"/>
      </w:pPr>
      <w:r>
        <w:rPr>
          <w:rFonts w:ascii="Times New Roman" w:cs="Times New Roman" w:eastAsia="楷体" w:hAnsi="Times New Roman"/>
          <w:b/>
          <w:bCs/>
          <w:sz w:val="22"/>
          <w:szCs w:val="22"/>
        </w:rPr>
        <w:t xml:space="preserve">4.2  骨干与特征金字塔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骨干采用 ConvNeXt 风格的 TinyNeXt：4×4 步长为 4 的 stem 后接四个阶段，通道为 [32, 64, 128, 192]，深度为 [2, 4, 8, 2]，阶段间以 LN 加 2×2 步长卷积下采样。每个 block 为</w:t>
      </w:r>
    </w:p>
    <w:p>
      <w:pPr>
        <w:tabs>
          <w:tab w:val="center" w:pos="4513"/>
          <w:tab w:val="right" w:pos="9026"/>
        </w:tabs>
        <w:spacing w:after="80" w:before="80"/>
      </w:pPr>
      <w:r>
        <w:rPr>
          <w:rFonts w:ascii="Times New Roman" w:cs="Times New Roman" w:eastAsia="楷体" w:hAnsi="Times New Roman"/>
        </w:rPr>
        <w:t xml:space="preserve">	</w:t>
      </w:r>
      <m:oMath>
        <m:r>
          <m:t>y=x+λ⊙</m:t>
        </m:r>
        <m:sSub>
          <m:sSubPr/>
          <m:e>
            <m:r>
              <m:t>W</m:t>
            </m:r>
          </m:e>
          <m:sub>
            <m:r>
              <m:t>2</m:t>
            </m:r>
          </m:sub>
        </m:sSub>
        <m:r>
          <m:t> GELU</m:t>
        </m:r>
        <m:d>
          <m:dPr/>
          <m:e>
            <m:sSub>
              <m:sSubPr/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t> LN</m:t>
            </m:r>
            <m:d>
              <m:dPr/>
              <m:e>
                <m:sSub>
                  <m:sSubPr/>
                  <m:e>
                    <m:r>
                      <m:t>DW</m:t>
                    </m:r>
                  </m:e>
                  <m:sub>
                    <m:r>
                      <m:t>7×7</m:t>
                    </m:r>
                  </m:sub>
                </m:sSub>
                <m:r>
                  <m:t>(x)</m:t>
                </m:r>
              </m:e>
            </m:d>
          </m:e>
        </m:d>
      </m:oMath>
      <w:r>
        <w:rPr>
          <w:rFonts w:ascii="Times New Roman" w:cs="Times New Roman" w:eastAsia="楷体" w:hAnsi="Times New Roman"/>
          <w:sz w:val="21"/>
          <w:szCs w:val="21"/>
        </w:rPr>
        <w:t xml:space="preserve">	(4)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其中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W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1</w:t>
      </w:r>
      <w:r>
        <w:rPr>
          <w:rFonts w:ascii="Times New Roman" w:cs="Times New Roman" w:eastAsia="楷体" w:hAnsi="Times New Roman"/>
          <w:sz w:val="21"/>
          <w:szCs w:val="21"/>
        </w:rPr>
        <w:t xml:space="preserve"> 将通道扩展 4 倍，λ 为逐通道缩放系数。相对原始配置，我们缩减了对小目标贡献最小的第 4 阶段，骨干参数由 3.76M 降至 2.03M。金字塔投影将各层统一到 64 通道并自顶向下融合：</w:t>
      </w:r>
    </w:p>
    <w:p>
      <w:pPr>
        <w:tabs>
          <w:tab w:val="center" w:pos="4513"/>
          <w:tab w:val="right" w:pos="9026"/>
        </w:tabs>
        <w:spacing w:after="80" w:before="80"/>
      </w:pPr>
      <w:r>
        <w:rPr>
          <w:rFonts w:ascii="Times New Roman" w:cs="Times New Roman" w:eastAsia="楷体" w:hAnsi="Times New Roman"/>
        </w:rPr>
        <w:t xml:space="preserve">	</w:t>
      </w:r>
      <m:oMath>
        <m:sSub>
          <m:sSubPr/>
          <m:e>
            <m:r>
              <m:t>P</m:t>
            </m:r>
          </m:e>
          <m:sub>
            <m:r>
              <m:t>l</m:t>
            </m:r>
          </m:sub>
        </m:sSub>
        <m:r>
          <m:t>=Φ</m:t>
        </m:r>
        <m:d>
          <m:dPr/>
          <m:e>
            <m:r>
              <m:t>LN</m:t>
            </m:r>
            <m:d>
              <m:dPr/>
              <m:e>
                <m:sSub>
                  <m:sSubPr/>
                  <m:e>
                    <m:r>
                      <m:t>W</m:t>
                    </m:r>
                  </m:e>
                  <m:sub>
                    <m:r>
                      <m:t>l</m:t>
                    </m:r>
                  </m:sub>
                </m:sSub>
                <m:sSub>
                  <m:sSubPr/>
                  <m:e>
                    <m:r>
                      <m:t>C</m:t>
                    </m:r>
                  </m:e>
                  <m:sub>
                    <m:r>
                      <m:t>l</m:t>
                    </m:r>
                  </m:sub>
                </m:sSub>
              </m:e>
            </m:d>
            <m:r>
              <m:t>+Up</m:t>
            </m:r>
            <m:d>
              <m:dPr/>
              <m:e>
                <m:sSub>
                  <m:sSubPr/>
                  <m:e>
                    <m:r>
                      <m:t>P</m:t>
                    </m:r>
                  </m:e>
                  <m:sub>
                    <m:r>
                      <m:t>l+1</m:t>
                    </m:r>
                  </m:sub>
                </m:sSub>
              </m:e>
            </m:d>
          </m:e>
        </m:d>
      </m:oMath>
      <w:r>
        <w:rPr>
          <w:rFonts w:ascii="Times New Roman" w:cs="Times New Roman" w:eastAsia="楷体" w:hAnsi="Times New Roman"/>
          <w:sz w:val="21"/>
          <w:szCs w:val="21"/>
        </w:rPr>
        <w:t xml:space="preserve">	(5)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Φ 为深度可分离卷积（DW 3×3 + PW 1×1）。之后每层经过局部卷积路径：P2 使用 1 个深度可分离卷积块，P3–P5 各使用 2 个，负责边缘、纹理与相邻目标的区分。</w:t>
      </w:r>
    </w:p>
    <w:p>
      <w:pPr>
        <w:spacing w:after="80" w:before="160"/>
      </w:pPr>
      <w:r>
        <w:rPr>
          <w:rFonts w:ascii="Times New Roman" w:cs="Times New Roman" w:eastAsia="楷体" w:hAnsi="Times New Roman"/>
          <w:b/>
          <w:bCs/>
          <w:sz w:val="22"/>
          <w:szCs w:val="22"/>
        </w:rPr>
        <w:t xml:space="preserve">4.3  固定预算局部路由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对每个 token 层，打分器（3×3 卷积–BN–SiLU–1×1 卷积）输出与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P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l</w:t>
      </w:r>
      <w:r>
        <w:rPr>
          <w:rFonts w:ascii="Times New Roman" w:cs="Times New Roman" w:eastAsia="楷体" w:hAnsi="Times New Roman"/>
          <w:sz w:val="21"/>
          <w:szCs w:val="21"/>
        </w:rPr>
        <w:t xml:space="preserve"> 同尺寸（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H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l</w:t>
      </w:r>
      <w:r>
        <w:rPr>
          <w:rFonts w:ascii="Times New Roman" w:cs="Times New Roman" w:eastAsia="楷体" w:hAnsi="Times New Roman"/>
          <w:sz w:val="21"/>
          <w:szCs w:val="21"/>
        </w:rPr>
        <w:t xml:space="preserve">×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W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l</w:t>
      </w:r>
      <w:r>
        <w:rPr>
          <w:rFonts w:ascii="Times New Roman" w:cs="Times New Roman" w:eastAsia="楷体" w:hAnsi="Times New Roman"/>
          <w:sz w:val="21"/>
          <w:szCs w:val="21"/>
        </w:rPr>
        <w:t xml:space="preserve">）的分数图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s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l</w:t>
      </w:r>
      <w:r>
        <w:rPr>
          <w:rFonts w:ascii="Times New Roman" w:cs="Times New Roman" w:eastAsia="楷体" w:hAnsi="Times New Roman"/>
          <w:sz w:val="21"/>
          <w:szCs w:val="21"/>
        </w:rPr>
        <w:t xml:space="preserve">。全局 top-k 容易集中在少数显著区域，而航拍场景中目标分散，因此我们把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s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l</w:t>
      </w:r>
      <w:r>
        <w:rPr>
          <w:rFonts w:ascii="Times New Roman" w:cs="Times New Roman" w:eastAsia="楷体" w:hAnsi="Times New Roman"/>
          <w:sz w:val="21"/>
          <w:szCs w:val="21"/>
        </w:rPr>
        <w:t xml:space="preserve"> 划分为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G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l</w:t>
      </w:r>
      <w:r>
        <w:rPr>
          <w:rFonts w:ascii="Times New Roman" w:cs="Times New Roman" w:eastAsia="楷体" w:hAnsi="Times New Roman"/>
          <w:sz w:val="21"/>
          <w:szCs w:val="21"/>
        </w:rPr>
        <w:t xml:space="preserve">×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G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l</w:t>
      </w:r>
      <w:r>
        <w:rPr>
          <w:rFonts w:ascii="Times New Roman" w:cs="Times New Roman" w:eastAsia="楷体" w:hAnsi="Times New Roman"/>
          <w:sz w:val="21"/>
          <w:szCs w:val="21"/>
        </w:rPr>
        <w:t xml:space="preserve"> 个区域 {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R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cs="Times New Roman" w:eastAsia="楷体" w:hAnsi="Times New Roman"/>
          <w:sz w:val="21"/>
          <w:szCs w:val="21"/>
        </w:rPr>
        <w:t xml:space="preserve">}，在每个区域内取前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k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l</w:t>
      </w:r>
      <w:r>
        <w:rPr>
          <w:rFonts w:ascii="Times New Roman" w:cs="Times New Roman" w:eastAsia="楷体" w:hAnsi="Times New Roman"/>
          <w:sz w:val="21"/>
          <w:szCs w:val="21"/>
        </w:rPr>
        <w:t xml:space="preserve"> 个位置：</w:t>
      </w:r>
    </w:p>
    <w:p>
      <w:pPr>
        <w:tabs>
          <w:tab w:val="center" w:pos="4513"/>
          <w:tab w:val="right" w:pos="9026"/>
        </w:tabs>
        <w:spacing w:after="80" w:before="80"/>
      </w:pPr>
      <w:r>
        <w:rPr>
          <w:rFonts w:ascii="Times New Roman" w:cs="Times New Roman" w:eastAsia="楷体" w:hAnsi="Times New Roman"/>
        </w:rPr>
        <w:t xml:space="preserve">	</w:t>
      </w:r>
      <m:oMath>
        <m:sSub>
          <m:sSubPr/>
          <m:e>
            <m:r>
              <m:t>Ω</m:t>
            </m:r>
          </m:e>
          <m:sub>
            <m:r>
              <m:t>l</m:t>
            </m:r>
          </m:sub>
        </m:sSub>
        <m:r>
          <m:t>=</m:t>
        </m:r>
        <m:nary>
          <m:naryPr>
            <m:chr m:val="∑"/>
            <m:limLoc m:val="undOvr"/>
          </m:naryPr>
          <m:sub>
            <m:r>
              <m:t>r</m:t>
            </m:r>
          </m:sub>
          <m:sup/>
          <m:e>
            <m:r>
              <m:t>TopK</m:t>
            </m:r>
            <m:d>
              <m:dPr/>
              <m:e>
                <m:sSub>
                  <m:sSubPr/>
                  <m:e>
                    <m:r>
                      <m:t>k</m:t>
                    </m:r>
                  </m:e>
                  <m:sub>
                    <m:r>
                      <m:t>l</m:t>
                    </m:r>
                  </m:sub>
                </m:sSub>
                <m:r>
                  <m:t>,{</m:t>
                </m:r>
                <m:sSub>
                  <m:sSubPr/>
                  <m:e>
                    <m:r>
                      <m:t>s</m:t>
                    </m:r>
                  </m:e>
                  <m:sub>
                    <m:r>
                      <m:t>l</m:t>
                    </m:r>
                  </m:sub>
                </m:sSub>
                <m:r>
                  <m:t>(p)|p∈</m:t>
                </m:r>
                <m:sSub>
                  <m:sSubPr/>
                  <m:e>
                    <m:r>
                      <m:t>R</m:t>
                    </m:r>
                  </m:e>
                  <m:sub>
                    <m:r>
                      <m:t>r</m:t>
                    </m:r>
                  </m:sub>
                </m:sSub>
                <m:r>
                  <m:t>}</m:t>
                </m:r>
              </m:e>
            </m:d>
          </m:e>
        </m:nary>
        <m:r>
          <m:t>,   </m:t>
        </m:r>
        <m:r>
          <m:t>|</m:t>
        </m:r>
        <m:sSub>
          <m:sSubPr/>
          <m:e>
            <m:r>
              <m:t>Ω</m:t>
            </m:r>
          </m:e>
          <m:sub>
            <m:r>
              <m:t>l</m:t>
            </m:r>
          </m:sub>
        </m:sSub>
        <m:r>
          <m:t>|=</m:t>
        </m:r>
        <m:sSup>
          <m:sSupPr/>
          <m:e>
            <m:sSub>
              <m:sSubPr/>
              <m:e>
                <m:r>
                  <m:t>G</m:t>
                </m:r>
              </m:e>
              <m:sub>
                <m:r>
                  <m:t>l</m:t>
                </m:r>
              </m:sub>
            </m:sSub>
          </m:e>
          <m:sup>
            <m:r>
              <m:t>2</m:t>
            </m:r>
          </m:sup>
        </m:sSup>
        <m:sSub>
          <m:sSubPr/>
          <m:e>
            <m:r>
              <m:t>k</m:t>
            </m:r>
          </m:e>
          <m:sub>
            <m:r>
              <m:t>l</m:t>
            </m:r>
          </m:sub>
        </m:sSub>
      </m:oMath>
      <w:r>
        <w:rPr>
          <w:rFonts w:ascii="Times New Roman" w:cs="Times New Roman" w:eastAsia="楷体" w:hAnsi="Times New Roman"/>
          <w:sz w:val="21"/>
          <w:szCs w:val="21"/>
        </w:rPr>
        <w:t xml:space="preserve">	(6)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P3、P4、P5 的网格与每区域数量分别为 4×4×2、4×4×1、2×2×2，对应 32、16、8 个 token，共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N</w:t>
      </w:r>
      <w:r>
        <w:rPr>
          <w:rFonts w:ascii="Times New Roman" w:cs="Times New Roman" w:eastAsia="楷体" w:hAnsi="Times New Roman"/>
          <w:sz w:val="21"/>
          <w:szCs w:val="21"/>
        </w:rPr>
        <w:t xml:space="preserve"> = 56。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k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l</w:t>
      </w:r>
      <w:r>
        <w:rPr>
          <w:rFonts w:ascii="Times New Roman" w:cs="Times New Roman" w:eastAsia="楷体" w:hAnsi="Times New Roman"/>
          <w:sz w:val="21"/>
          <w:szCs w:val="21"/>
        </w:rPr>
        <w:t xml:space="preserve"> 在编译期确定，路由不含数据相关的控制流。top-k 只提供索引，本身不可导；为使检测损失能够影响打分器，被选中的特征乘以分数门控：</w:t>
      </w:r>
    </w:p>
    <w:p>
      <w:pPr>
        <w:tabs>
          <w:tab w:val="center" w:pos="4513"/>
          <w:tab w:val="right" w:pos="9026"/>
        </w:tabs>
        <w:spacing w:after="80" w:before="80"/>
      </w:pPr>
      <w:r>
        <w:rPr>
          <w:rFonts w:ascii="Times New Roman" w:cs="Times New Roman" w:eastAsia="楷体" w:hAnsi="Times New Roman"/>
        </w:rPr>
        <w:t xml:space="preserve">	</w:t>
      </w:r>
      <m:oMath>
        <m:sSub>
          <m:sSubPr/>
          <m:e>
            <m:r>
              <m:t>t</m:t>
            </m:r>
          </m:e>
          <m:sub>
            <m:r>
              <m:t>i</m:t>
            </m:r>
          </m:sub>
        </m:sSub>
        <m:r>
          <m:t>=σ</m:t>
        </m:r>
        <m:d>
          <m:dPr/>
          <m:e>
            <m:sSub>
              <m:sSubPr/>
              <m:e>
                <m:r>
                  <m:t>s</m:t>
                </m:r>
              </m:e>
              <m:sub>
                <m:r>
                  <m:t>l</m:t>
                </m:r>
              </m:sub>
            </m:sSub>
            <m:r>
              <m:t>(</m:t>
            </m:r>
            <m:sSub>
              <m:sSubPr/>
              <m:e>
                <m:r>
                  <m:t>p</m:t>
                </m:r>
              </m:e>
              <m:sub>
                <m:r>
                  <m:t>i</m:t>
                </m:r>
              </m:sub>
            </m:sSub>
            <m:r>
              <m:t>)</m:t>
            </m:r>
          </m:e>
        </m:d>
        <m:r>
          <m:t>·</m:t>
        </m:r>
        <m:sSub>
          <m:sSubPr/>
          <m:e>
            <m:r>
              <m:t>P</m:t>
            </m:r>
          </m:e>
          <m:sub>
            <m:r>
              <m:t>l</m:t>
            </m:r>
          </m:sub>
        </m:sSub>
        <m:r>
          <m:t>(</m:t>
        </m:r>
        <m:sSub>
          <m:sSubPr/>
          <m:e>
            <m:r>
              <m:t>p</m:t>
            </m:r>
          </m:e>
          <m:sub>
            <m:r>
              <m:t>i</m:t>
            </m:r>
          </m:sub>
        </m:sSub>
        <m:r>
          <m:t>),   </m:t>
        </m:r>
        <m:sSub>
          <m:sSubPr/>
          <m:e>
            <m:r>
              <m:t>c</m:t>
            </m:r>
          </m:e>
          <m:sub>
            <m:r>
              <m:t>i</m:t>
            </m:r>
          </m:sub>
        </m:sSub>
        <m:r>
          <m:t>=</m:t>
        </m:r>
        <m:d>
          <m:dPr/>
          <m:e>
            <m:f>
              <m:num>
                <m:sSub>
                  <m:sSubPr/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t>+0.5</m:t>
                </m:r>
              </m:num>
              <m:den>
                <m:sSub>
                  <m:sSubPr/>
                  <m:e>
                    <m:r>
                      <m:t>W</m:t>
                    </m:r>
                  </m:e>
                  <m:sub>
                    <m:r>
                      <m:t>l</m:t>
                    </m:r>
                  </m:sub>
                </m:sSub>
              </m:den>
            </m:f>
            <m:r>
              <m:t>,</m:t>
            </m:r>
            <m:f>
              <m:num>
                <m:sSub>
                  <m:sSubPr/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t>+0.5</m:t>
                </m:r>
              </m:num>
              <m:den>
                <m:sSub>
                  <m:sSubPr/>
                  <m:e>
                    <m:r>
                      <m:t>H</m:t>
                    </m:r>
                  </m:e>
                  <m:sub>
                    <m:r>
                      <m:t>l</m:t>
                    </m:r>
                  </m:sub>
                </m:sSub>
              </m:den>
            </m:f>
          </m:e>
        </m:d>
      </m:oMath>
      <w:r>
        <w:rPr>
          <w:rFonts w:ascii="Times New Roman" w:cs="Times New Roman" w:eastAsia="楷体" w:hAnsi="Times New Roman"/>
          <w:sz w:val="21"/>
          <w:szCs w:val="21"/>
        </w:rPr>
        <w:t xml:space="preserve">	(7)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其中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c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i</w:t>
      </w:r>
      <w:r>
        <w:rPr>
          <w:rFonts w:ascii="Times New Roman" w:cs="Times New Roman" w:eastAsia="楷体" w:hAnsi="Times New Roman"/>
          <w:sz w:val="21"/>
          <w:szCs w:val="21"/>
        </w:rPr>
        <w:t xml:space="preserve"> 为 token 源位置的归一化中心，供后续模块使用。</w:t>
      </w:r>
    </w:p>
    <w:p>
      <w:pPr>
        <w:spacing w:after="80" w:before="160"/>
      </w:pPr>
      <w:r>
        <w:rPr>
          <w:rFonts w:ascii="Times New Roman" w:cs="Times New Roman" w:eastAsia="楷体" w:hAnsi="Times New Roman"/>
          <w:b/>
          <w:bCs/>
          <w:sz w:val="22"/>
          <w:szCs w:val="22"/>
        </w:rPr>
        <w:t xml:space="preserve">4.4  Token 混合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56 个 token 拼接后加入坐标嵌入与层级嵌入，经一层单头自注意力与 FFN（扩展比 2）建模全局关系：</w:t>
      </w:r>
    </w:p>
    <w:p>
      <w:pPr>
        <w:tabs>
          <w:tab w:val="center" w:pos="4513"/>
          <w:tab w:val="right" w:pos="9026"/>
        </w:tabs>
        <w:spacing w:after="80" w:before="80"/>
      </w:pPr>
      <w:r>
        <w:rPr>
          <w:rFonts w:ascii="Times New Roman" w:cs="Times New Roman" w:eastAsia="楷体" w:hAnsi="Times New Roman"/>
        </w:rPr>
        <w:t xml:space="preserve">	</w:t>
      </w:r>
      <m:oMath>
        <m:sSub>
          <m:sSubPr/>
          <m:e>
            <m:r>
              <m:t>z</m:t>
            </m:r>
          </m:e>
          <m:sub>
            <m:r>
              <m:t>i</m:t>
            </m:r>
          </m:sub>
        </m:sSub>
        <m:r>
          <m:t>=</m:t>
        </m:r>
        <m:sSub>
          <m:sSubPr/>
          <m:e>
            <m:r>
              <m:t>t</m:t>
            </m:r>
          </m:e>
          <m:sub>
            <m:r>
              <m:t>i</m:t>
            </m:r>
          </m:sub>
        </m:sSub>
        <m:r>
          <m:t>+</m:t>
        </m:r>
        <m:sSub>
          <m:sSubPr/>
          <m:e>
            <m:r>
              <m:t>W</m:t>
            </m:r>
          </m:e>
          <m:sub>
            <m:r>
              <m:t>c</m:t>
            </m:r>
          </m:sub>
        </m:sSub>
        <m:sSub>
          <m:sSubPr/>
          <m:e>
            <m:r>
              <m:t>c</m:t>
            </m:r>
          </m:e>
          <m:sub>
            <m:r>
              <m:t>i</m:t>
            </m:r>
          </m:sub>
        </m:sSub>
        <m:r>
          <m:t>+</m:t>
        </m:r>
        <m:sSub>
          <m:sSubPr/>
          <m:e>
            <m:r>
              <m:t>e</m:t>
            </m:r>
          </m:e>
          <m:sub>
            <m:r>
              <m:t>l(i)</m:t>
            </m:r>
          </m:sub>
        </m:sSub>
        <m:r>
          <m:t>,   </m:t>
        </m:r>
        <m:r>
          <m:t>Z′=Z+MHSA(LN Z),   </m:t>
        </m:r>
        <m:r>
          <m:t>Z″=Z′+FFN(LN Z′)</m:t>
        </m:r>
      </m:oMath>
      <w:r>
        <w:rPr>
          <w:rFonts w:ascii="Times New Roman" w:cs="Times New Roman" w:eastAsia="楷体" w:hAnsi="Times New Roman"/>
          <w:sz w:val="21"/>
          <w:szCs w:val="21"/>
        </w:rPr>
        <w:t xml:space="preserve">	(8)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由于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N</w:t>
      </w:r>
      <w:r>
        <w:rPr>
          <w:rFonts w:ascii="Times New Roman" w:cs="Times New Roman" w:eastAsia="楷体" w:hAnsi="Times New Roman"/>
          <w:sz w:val="21"/>
          <w:szCs w:val="21"/>
        </w:rPr>
        <w:t xml:space="preserve"> 很小，这一步的代价与特征图分辨率无关。</w:t>
      </w:r>
    </w:p>
    <w:p>
      <w:pPr>
        <w:spacing w:after="80" w:before="160"/>
      </w:pPr>
      <w:r>
        <w:rPr>
          <w:rFonts w:ascii="Times New Roman" w:cs="Times New Roman" w:eastAsia="楷体" w:hAnsi="Times New Roman"/>
          <w:b/>
          <w:bCs/>
          <w:sz w:val="22"/>
          <w:szCs w:val="22"/>
        </w:rPr>
        <w:t xml:space="preserve">4.5  几何感知写回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一个 token 概括的是特定尺度上的特定区域。若把它均匀广播或只按内容相似度写回，描述一辆 12 像素汽车的 token 会扩散到整个特征图。我们让每个 token 预测自身在两个轴上的范围：</w:t>
      </w:r>
    </w:p>
    <w:p>
      <w:pPr>
        <w:tabs>
          <w:tab w:val="center" w:pos="4513"/>
          <w:tab w:val="right" w:pos="9026"/>
        </w:tabs>
        <w:spacing w:after="80" w:before="80"/>
      </w:pPr>
      <w:r>
        <w:rPr>
          <w:rFonts w:ascii="Times New Roman" w:cs="Times New Roman" w:eastAsia="楷体" w:hAnsi="Times New Roman"/>
        </w:rPr>
        <w:t xml:space="preserve">	</w:t>
      </w:r>
      <m:oMath>
        <m:sSub>
          <m:sSubPr/>
          <m:e>
            <m:r>
              <m:t>σ</m:t>
            </m:r>
          </m:e>
          <m:sub>
            <m:r>
              <m:t>i</m:t>
            </m:r>
          </m:sub>
        </m:sSub>
        <m:r>
          <m:t>=softplus</m:t>
        </m:r>
        <m:d>
          <m:dPr/>
          <m:e>
            <m:sSub>
              <m:sSubPr/>
              <m:e>
                <m:r>
                  <m:t>W</m:t>
                </m:r>
              </m:e>
              <m:sub>
                <m:r>
                  <m:t>s</m:t>
                </m:r>
              </m:sub>
            </m:sSub>
            <m:sSub>
              <m:sSubPr/>
              <m:e>
                <m:r>
                  <m:t>z</m:t>
                </m:r>
              </m:e>
              <m:sub>
                <m:r>
                  <m:t>i</m:t>
                </m:r>
              </m:sub>
            </m:sSub>
          </m:e>
        </m:d>
        <m:r>
          <m:t>+</m:t>
        </m:r>
        <m:sSub>
          <m:sSubPr/>
          <m:e>
            <m:r>
              <m:t>σ</m:t>
            </m:r>
          </m:e>
          <m:sub>
            <m:r>
              <m:t>min</m:t>
            </m:r>
          </m:sub>
        </m:sSub>
        <m:r>
          <m:t>,   </m:t>
        </m:r>
        <m:sSub>
          <m:sSubPr/>
          <m:e>
            <m:r>
              <m:t>σ</m:t>
            </m:r>
          </m:e>
          <m:sub>
            <m:r>
              <m:t>i</m:t>
            </m:r>
          </m:sub>
        </m:sSub>
        <m:r>
          <m:t>∈</m:t>
        </m:r>
        <m:sSup>
          <m:sSupPr/>
          <m:e>
            <m:r>
              <m:t>ℝ</m:t>
            </m:r>
          </m:e>
          <m:sup>
            <m:r>
              <m:t>2</m:t>
            </m:r>
          </m:sup>
        </m:sSup>
      </m:oMath>
      <w:r>
        <w:rPr>
          <w:rFonts w:ascii="Times New Roman" w:cs="Times New Roman" w:eastAsia="楷体" w:hAnsi="Times New Roman"/>
          <w:sz w:val="21"/>
          <w:szCs w:val="21"/>
        </w:rPr>
        <w:t xml:space="preserve">	(9)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对目标层上归一化坐标为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q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p</w:t>
      </w:r>
      <w:r>
        <w:rPr>
          <w:rFonts w:ascii="Times New Roman" w:cs="Times New Roman" w:eastAsia="楷体" w:hAnsi="Times New Roman"/>
          <w:sz w:val="21"/>
          <w:szCs w:val="21"/>
        </w:rPr>
        <w:t xml:space="preserve"> 的位置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p</w:t>
      </w:r>
      <w:r>
        <w:rPr>
          <w:rFonts w:ascii="Times New Roman" w:cs="Times New Roman" w:eastAsia="楷体" w:hAnsi="Times New Roman"/>
          <w:sz w:val="21"/>
          <w:szCs w:val="21"/>
        </w:rPr>
        <w:t xml:space="preserve">，写回注意力由内容项与高斯几何先验相加得到：</w:t>
      </w:r>
    </w:p>
    <w:p>
      <w:pPr>
        <w:tabs>
          <w:tab w:val="center" w:pos="4513"/>
          <w:tab w:val="right" w:pos="9026"/>
        </w:tabs>
        <w:spacing w:after="80" w:before="80"/>
      </w:pPr>
      <w:r>
        <w:rPr>
          <w:rFonts w:ascii="Times New Roman" w:cs="Times New Roman" w:eastAsia="楷体" w:hAnsi="Times New Roman"/>
        </w:rPr>
        <w:t xml:space="preserve">	</w:t>
      </w:r>
      <m:oMath>
        <m:r>
          <m:t>C(p,i)=</m:t>
        </m:r>
        <m:f>
          <m:num>
            <m:r>
              <m:t>⟨</m:t>
            </m:r>
            <m:sSub>
              <m:sSubPr/>
              <m:e>
                <m:r>
                  <m:t>W</m:t>
                </m:r>
              </m:e>
              <m:sub>
                <m:r>
                  <m:t>q</m:t>
                </m:r>
              </m:sub>
            </m:sSub>
            <m:sSub>
              <m:sSubPr/>
              <m:e>
                <m:r>
                  <m:t>f</m:t>
                </m:r>
              </m:e>
              <m:sub>
                <m:r>
                  <m:t>p</m:t>
                </m:r>
              </m:sub>
            </m:sSub>
            <m:r>
              <m:t>,</m:t>
            </m:r>
            <m:sSub>
              <m:sSubPr/>
              <m:e>
                <m:r>
                  <m:t>W</m:t>
                </m:r>
              </m:e>
              <m:sub>
                <m:r>
                  <m:t>k</m:t>
                </m:r>
              </m:sub>
            </m:sSub>
            <m:sSub>
              <m:sSubPr/>
              <m:e>
                <m:r>
                  <m:t>z</m:t>
                </m:r>
              </m:e>
              <m:sub>
                <m:r>
                  <m:t>i</m:t>
                </m:r>
              </m:sub>
            </m:sSub>
            <m:r>
              <m:t>⟩</m:t>
            </m:r>
          </m:num>
          <m:den>
            <m:r>
              <m:t>√d</m:t>
            </m:r>
          </m:den>
        </m:f>
        <m:r>
          <m:t>,   </m:t>
        </m:r>
        <m:r>
          <m:t>G(p,i)=−</m:t>
        </m:r>
        <m:f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</m:naryPr>
          <m:sub>
            <m:r>
              <m:t>a∈{x,y}</m:t>
            </m:r>
          </m:sub>
          <m:sup/>
          <m:e>
            <m:f>
              <m:num>
                <m:sSup>
                  <m:sSupPr/>
                  <m:e>
                    <m:d>
                      <m:dPr/>
                      <m:e>
                        <m:sSub>
                          <m:sSubPr/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p,a</m:t>
                            </m:r>
                          </m:sub>
                        </m:sSub>
                        <m:r>
                          <m:t>−</m:t>
                        </m:r>
                        <m:sSub>
                          <m:sSubPr/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i,a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sSupPr/>
                  <m:e>
                    <m:sSub>
                      <m:sSubPr/>
                      <m:e>
                        <m:r>
                          <m:t>σ</m:t>
                        </m:r>
                      </m:e>
                      <m:sub>
                        <m:r>
                          <m:t>i,a</m:t>
                        </m:r>
                      </m:sub>
                    </m:sSub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  <w:r>
        <w:rPr>
          <w:rFonts w:ascii="Times New Roman" w:cs="Times New Roman" w:eastAsia="楷体" w:hAnsi="Times New Roman"/>
          <w:sz w:val="21"/>
          <w:szCs w:val="21"/>
        </w:rPr>
        <w:t xml:space="preserve">	(10)</w:t>
      </w:r>
    </w:p>
    <w:p>
      <w:pPr>
        <w:tabs>
          <w:tab w:val="center" w:pos="4513"/>
          <w:tab w:val="right" w:pos="9026"/>
        </w:tabs>
        <w:spacing w:after="80" w:before="80"/>
      </w:pPr>
      <w:r>
        <w:rPr>
          <w:rFonts w:ascii="Times New Roman" w:cs="Times New Roman" w:eastAsia="楷体" w:hAnsi="Times New Roman"/>
        </w:rPr>
        <w:t xml:space="preserve">	</w:t>
      </w:r>
      <m:oMath>
        <m:r>
          <m:t>A(p,i)=</m:t>
        </m:r>
        <m:sSub>
          <m:sSubPr/>
          <m:e>
            <m:r>
              <m:t>softmax</m:t>
            </m:r>
          </m:e>
          <m:sub>
            <m:r>
              <m:t>i</m:t>
            </m:r>
          </m:sub>
        </m:sSub>
        <m:d>
          <m:dPr/>
          <m:e>
            <m:r>
              <m:t>C(p,i)+G(p,i)</m:t>
            </m:r>
          </m:e>
        </m:d>
        <m:r>
          <m:t>,   </m:t>
        </m:r>
        <m:sSub>
          <m:sSubPr/>
          <m:e>
            <m:r>
              <m:t>f′</m:t>
            </m:r>
          </m:e>
          <m:sub>
            <m:r>
              <m:t>p</m:t>
            </m:r>
          </m:sub>
        </m:sSub>
        <m:r>
          <m:t>=</m:t>
        </m:r>
        <m:sSub>
          <m:sSubPr/>
          <m:e>
            <m:r>
              <m:t>f</m:t>
            </m:r>
          </m:e>
          <m:sub>
            <m:r>
              <m:t>p</m:t>
            </m:r>
          </m:sub>
        </m:sSub>
        <m:r>
          <m:t>+γ </m:t>
        </m:r>
        <m:sSub>
          <m:sSubPr/>
          <m:e>
            <m:r>
              <m:t>W</m:t>
            </m:r>
          </m:e>
          <m:sub>
            <m:r>
              <m:t>o</m:t>
            </m:r>
          </m:sub>
        </m:sSub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A(p,i) </m:t>
            </m:r>
            <m:sSub>
              <m:sSubPr/>
              <m:e>
                <m:r>
                  <m:t>W</m:t>
                </m:r>
              </m:e>
              <m:sub>
                <m:r>
                  <m:t>v</m:t>
                </m:r>
              </m:sub>
            </m:sSub>
            <m:sSub>
              <m:sSubPr/>
              <m:e>
                <m:r>
                  <m:t>z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ascii="Times New Roman" w:cs="Times New Roman" w:eastAsia="楷体" w:hAnsi="Times New Roman"/>
          <w:sz w:val="21"/>
          <w:szCs w:val="21"/>
        </w:rPr>
        <w:t xml:space="preserve">	(11)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γ 为可学习标量并初始化为 0，训练从纯局部卷积的解出发，逐步引入全局路径；残差形式保证小目标的局部细节不会被替换。σ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min</w:t>
      </w:r>
      <w:r>
        <w:rPr>
          <w:rFonts w:ascii="Times New Roman" w:cs="Times New Roman" w:eastAsia="楷体" w:hAnsi="Times New Roman"/>
          <w:sz w:val="21"/>
          <w:szCs w:val="21"/>
        </w:rPr>
        <w:t xml:space="preserve"> = 0.02（归一化坐标）。写回作用于 P3–P5，各层权重独立。去掉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G</w:t>
      </w:r>
      <w:r>
        <w:rPr>
          <w:rFonts w:ascii="Times New Roman" w:cs="Times New Roman" w:eastAsia="楷体" w:hAnsi="Times New Roman"/>
          <w:sz w:val="21"/>
          <w:szCs w:val="21"/>
        </w:rPr>
        <w:t xml:space="preserve"> 即退化为内容注意力，这是 5.4 节检验几何先验的消融。</w:t>
      </w:r>
    </w:p>
    <w:p>
      <w:pPr>
        <w:spacing w:after="80" w:before="160"/>
      </w:pPr>
      <w:r>
        <w:rPr>
          <w:rFonts w:ascii="Times New Roman" w:cs="Times New Roman" w:eastAsia="楷体" w:hAnsi="Times New Roman"/>
          <w:b/>
          <w:bCs/>
          <w:sz w:val="22"/>
          <w:szCs w:val="22"/>
        </w:rPr>
        <w:t xml:space="preserve">4.6  路由监督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仅靠分数门控，打分器得不到“该选哪里”的明确信号：门控只是逐 token 的缩放，后续层可以吸收；一致性约束（4.7 节）在两个分数图相同时即为零，平坦分数图也满足这一条件；打分器输出层的权重衰减又持续把分数拉向常数。实测中，未加监督的模型训练到第 135 轮时 P3 分数图的归一化熵为 0.999997（分数标准差约 0.01），且随训练单调上升，路由退化为随机选择。为此，我们用真值中心热力图监督每层分数图：</w:t>
      </w:r>
    </w:p>
    <w:p>
      <w:pPr>
        <w:tabs>
          <w:tab w:val="center" w:pos="4513"/>
          <w:tab w:val="right" w:pos="9026"/>
        </w:tabs>
        <w:spacing w:after="80" w:before="80"/>
      </w:pPr>
      <w:r>
        <w:rPr>
          <w:rFonts w:ascii="Times New Roman" w:cs="Times New Roman" w:eastAsia="楷体" w:hAnsi="Times New Roman"/>
        </w:rPr>
        <w:t xml:space="preserve">	</w:t>
      </w:r>
      <m:oMath>
        <m:sSub>
          <m:sSubPr/>
          <m:e>
            <m:r>
              <m:t>H</m:t>
            </m:r>
          </m:e>
          <m:sub>
            <m:r>
              <m:t>l</m:t>
            </m:r>
          </m:sub>
        </m:sSub>
        <m:r>
          <m:t>(p)=</m:t>
        </m:r>
        <m:sSub>
          <m:sSubPr/>
          <m:e>
            <m:r>
              <m:t>max</m:t>
            </m:r>
          </m:e>
          <m:sub>
            <m:r>
              <m:t>j</m:t>
            </m:r>
          </m:sub>
        </m:sSub>
        <m:r>
          <m:t> exp</m:t>
        </m:r>
        <m:d>
          <m:dPr/>
          <m:e>
            <m:r>
              <m:t>−</m:t>
            </m:r>
            <m:f>
              <m:num>
                <m:sSup>
                  <m:sSupPr/>
                  <m:e>
                    <m:d>
                      <m:dPr/>
                      <m:e>
                        <m:sSub>
                          <m:sSubPr/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t>−</m:t>
                        </m:r>
                        <m:sSub>
                          <m:sSubPr/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sSupPr/>
                  <m:e>
                    <m:sSub>
                      <m:sSubPr/>
                      <m:e>
                        <m:r>
                          <m:t>σ</m:t>
                        </m:r>
                      </m:e>
                      <m:sub>
                        <m:r>
                          <m:t>j,x</m:t>
                        </m:r>
                      </m:sub>
                    </m:sSub>
                  </m:e>
                  <m:sup>
                    <m:r>
                      <m:t>2</m:t>
                    </m:r>
                  </m:sup>
                </m:sSup>
              </m:den>
            </m:f>
            <m:r>
              <m:t>−</m:t>
            </m:r>
            <m:f>
              <m:num>
                <m:sSup>
                  <m:sSupPr/>
                  <m:e>
                    <m:d>
                      <m:dPr/>
                      <m:e>
                        <m:sSub>
                          <m:sSubPr/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t>−</m:t>
                        </m:r>
                        <m:sSub>
                          <m:sSubPr/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sSupPr/>
                  <m:e>
                    <m:sSub>
                      <m:sSubPr/>
                      <m:e>
                        <m:r>
                          <m:t>σ</m:t>
                        </m:r>
                      </m:e>
                      <m:sub>
                        <m:r>
                          <m:t>j,y</m:t>
                        </m:r>
                      </m:sub>
                    </m:sSub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,   </m:t>
        </m:r>
        <m:sSub>
          <m:sSubPr/>
          <m:e>
            <m:r>
              <m:t>σ</m:t>
            </m:r>
          </m:e>
          <m:sub>
            <m:r>
              <m:t>j,x</m:t>
            </m:r>
          </m:sub>
        </m:sSub>
        <m:r>
          <m:t>=max</m:t>
        </m:r>
        <m:d>
          <m:dPr/>
          <m:e>
            <m:r>
              <m:t>ρ</m:t>
            </m:r>
            <m:f>
              <m:num>
                <m:sSub>
                  <m:sSubPr/>
                  <m:e>
                    <m:r>
                      <m:t>w</m:t>
                    </m:r>
                  </m:e>
                  <m:sub>
                    <m:r>
                      <m:t>j</m:t>
                    </m:r>
                  </m:sub>
                </m:sSub>
              </m:num>
              <m:den>
                <m:sSub>
                  <m:sSubPr/>
                  <m:e>
                    <m:r>
                      <m:t>s</m:t>
                    </m:r>
                  </m:e>
                  <m:sub>
                    <m:r>
                      <m:t>l</m:t>
                    </m:r>
                  </m:sub>
                </m:sSub>
              </m:den>
            </m:f>
            <m:r>
              <m:t>,</m:t>
            </m:r>
            <m:sSub>
              <m:sSubPr/>
              <m:e>
                <m:r>
                  <m:t>σ</m:t>
                </m:r>
              </m:e>
              <m:sub>
                <m:r>
                  <m:t>min</m:t>
                </m:r>
              </m:sub>
            </m:sSub>
          </m:e>
        </m:d>
      </m:oMath>
      <w:r>
        <w:rPr>
          <w:rFonts w:ascii="Times New Roman" w:cs="Times New Roman" w:eastAsia="楷体" w:hAnsi="Times New Roman"/>
          <w:sz w:val="21"/>
          <w:szCs w:val="21"/>
        </w:rPr>
        <w:t xml:space="preserve">	(12)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(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x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cs="Times New Roman" w:eastAsia="楷体" w:hAnsi="Times New Roman"/>
          <w:sz w:val="21"/>
          <w:szCs w:val="21"/>
        </w:rPr>
        <w:t xml:space="preserve">,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y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cs="Times New Roman" w:eastAsia="楷体" w:hAnsi="Times New Roman"/>
          <w:sz w:val="21"/>
          <w:szCs w:val="21"/>
        </w:rPr>
        <w:t xml:space="preserve">) 为第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j</w:t>
      </w:r>
      <w:r>
        <w:rPr>
          <w:rFonts w:ascii="Times New Roman" w:cs="Times New Roman" w:eastAsia="楷体" w:hAnsi="Times New Roman"/>
          <w:sz w:val="21"/>
          <w:szCs w:val="21"/>
        </w:rPr>
        <w:t xml:space="preserve"> 个真值框中心在该层网格上的坐标，ρ = 1/6，σ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min</w:t>
      </w:r>
      <w:r>
        <w:rPr>
          <w:rFonts w:ascii="Times New Roman" w:cs="Times New Roman" w:eastAsia="楷体" w:hAnsi="Times New Roman"/>
          <w:sz w:val="21"/>
          <w:szCs w:val="21"/>
        </w:rPr>
        <w:t xml:space="preserve"> = 0.5 个单元，σ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j,y</w:t>
      </w:r>
      <w:r>
        <w:rPr>
          <w:rFonts w:ascii="Times New Roman" w:cs="Times New Roman" w:eastAsia="楷体" w:hAnsi="Times New Roman"/>
          <w:sz w:val="21"/>
          <w:szCs w:val="21"/>
        </w:rPr>
        <w:t xml:space="preserve"> 同理；中心所在单元置 1 作为正样本。每层都监督全部目标，极小目标在粗层上也保有最小半径，因此路由由目标密度驱动。损失采用 CenterNet 的惩罚衰减焦点损失，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ŝ</w:t>
      </w:r>
      <w:r>
        <w:rPr>
          <w:rFonts w:ascii="Times New Roman" w:cs="Times New Roman" w:eastAsia="楷体" w:hAnsi="Times New Roman"/>
          <w:sz w:val="21"/>
          <w:szCs w:val="21"/>
        </w:rPr>
        <w:t xml:space="preserve"> = σ(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s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l</w:t>
      </w:r>
      <w:r>
        <w:rPr>
          <w:rFonts w:ascii="Times New Roman" w:cs="Times New Roman" w:eastAsia="楷体" w:hAnsi="Times New Roman"/>
          <w:sz w:val="21"/>
          <w:szCs w:val="21"/>
        </w:rPr>
        <w:t xml:space="preserve">)：</w:t>
      </w:r>
    </w:p>
    <w:p>
      <w:pPr>
        <w:tabs>
          <w:tab w:val="center" w:pos="4513"/>
          <w:tab w:val="right" w:pos="9026"/>
        </w:tabs>
        <w:spacing w:after="80" w:before="80"/>
      </w:pPr>
      <w:r>
        <w:rPr>
          <w:rFonts w:ascii="Times New Roman" w:cs="Times New Roman" w:eastAsia="楷体" w:hAnsi="Times New Roman"/>
        </w:rPr>
        <w:t xml:space="preserve">	</w:t>
      </w:r>
      <m:oMath>
        <m:sSub>
          <m:sSubPr/>
          <m:e>
            <m:r>
              <m:t>L</m:t>
            </m:r>
          </m:e>
          <m:sub>
            <m:r>
              <m:t>route</m:t>
            </m:r>
          </m:sub>
        </m:sSub>
        <m:r>
          <m:t>=−</m:t>
        </m:r>
        <m:f>
          <m:num>
            <m:r>
              <m:t>1</m:t>
            </m:r>
          </m:num>
          <m:den>
            <m:sSub>
              <m:sSubPr/>
              <m:e>
                <m:r>
                  <m:t>N</m:t>
                </m:r>
              </m:e>
              <m:sub>
                <m:r>
                  <m:t>pos</m:t>
                </m:r>
              </m:sub>
            </m:sSub>
          </m:den>
        </m:f>
        <m:nary>
          <m:naryPr>
            <m:chr m:val="∑"/>
            <m:limLoc m:val="undOvr"/>
          </m:naryPr>
          <m:sub>
            <m:r>
              <m:t>p</m:t>
            </m:r>
          </m:sub>
          <m:sup/>
          <m:e>
            <m:r>
              <m:t>{</m:t>
            </m:r>
            <m:sSup>
              <m:sSupPr/>
              <m:e>
                <m:d>
                  <m:dPr/>
                  <m:e>
                    <m:r>
                      <m:t>1−ŝ</m:t>
                    </m:r>
                  </m:e>
                </m:d>
              </m:e>
              <m:sup>
                <m:r>
                  <m:t>α</m:t>
                </m:r>
              </m:sup>
            </m:sSup>
            <m:r>
              <m:t>log ŝ,  H(p)=1;   </m:t>
            </m:r>
            <m:sSup>
              <m:sSupPr/>
              <m:e>
                <m:d>
                  <m:dPr/>
                  <m:e>
                    <m:r>
                      <m:t>1−H(p)</m:t>
                    </m:r>
                  </m:e>
                </m:d>
              </m:e>
              <m:sup>
                <m:r>
                  <m:t>β</m:t>
                </m:r>
              </m:sup>
            </m:sSup>
            <m:sSup>
              <m:sSupPr/>
              <m:e>
                <m:r>
                  <m:t>ŝ</m:t>
                </m:r>
              </m:e>
              <m:sup>
                <m:r>
                  <m:t>α</m:t>
                </m:r>
              </m:sup>
            </m:sSup>
            <m:r>
              <m:t>log(1−ŝ),  否则}</m:t>
            </m:r>
          </m:e>
        </m:nary>
      </m:oMath>
      <w:r>
        <w:rPr>
          <w:rFonts w:ascii="Times New Roman" w:cs="Times New Roman" w:eastAsia="楷体" w:hAnsi="Times New Roman"/>
          <w:sz w:val="21"/>
          <w:szCs w:val="21"/>
        </w:rPr>
        <w:t xml:space="preserve">	(13)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取 α = 2、β = 4。同时，打分器输出层的 1×1 卷积不施加权重衰减。该监督只在训练时计算，推理图与参数量不变。</w:t>
      </w:r>
    </w:p>
    <w:p>
      <w:pPr>
        <w:spacing w:after="80" w:before="160"/>
      </w:pPr>
      <w:r>
        <w:rPr>
          <w:rFonts w:ascii="Times New Roman" w:cs="Times New Roman" w:eastAsia="楷体" w:hAnsi="Times New Roman"/>
          <w:b/>
          <w:bCs/>
          <w:sz w:val="22"/>
          <w:szCs w:val="22"/>
        </w:rPr>
        <w:t xml:space="preserve">4.7  光照一致的 EMA 路由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DroneVehicle 等数据含大量夜间与低照度图像，我们希望 token 的位置不随光照变化。EMA 教师为打分器的滑动平均副本，动量在前 1000 步内预热：</w:t>
      </w:r>
    </w:p>
    <w:p>
      <w:pPr>
        <w:tabs>
          <w:tab w:val="center" w:pos="4513"/>
          <w:tab w:val="right" w:pos="9026"/>
        </w:tabs>
        <w:spacing w:after="80" w:before="80"/>
      </w:pPr>
      <w:r>
        <w:rPr>
          <w:rFonts w:ascii="Times New Roman" w:cs="Times New Roman" w:eastAsia="楷体" w:hAnsi="Times New Roman"/>
        </w:rPr>
        <w:t xml:space="preserve">	</w:t>
      </w:r>
      <m:oMath>
        <m:sSub>
          <m:sSubPr/>
          <m:e>
            <m:r>
              <m:t>θ</m:t>
            </m:r>
          </m:e>
          <m:sub>
            <m:r>
              <m:t>T</m:t>
            </m:r>
          </m:sub>
        </m:sSub>
        <m:r>
          <m:t>←</m:t>
        </m:r>
        <m:sSub>
          <m:sSubPr/>
          <m:e>
            <m:r>
              <m:t>m</m:t>
            </m:r>
          </m:e>
          <m:sub>
            <m:r>
              <m:t>n</m:t>
            </m:r>
          </m:sub>
        </m:sSub>
        <m:sSub>
          <m:sSubPr/>
          <m:e>
            <m:r>
              <m:t>θ</m:t>
            </m:r>
          </m:e>
          <m:sub>
            <m:r>
              <m:t>T</m:t>
            </m:r>
          </m:sub>
        </m:sSub>
        <m:r>
          <m:t>+</m:t>
        </m:r>
        <m:d>
          <m:dPr/>
          <m:e>
            <m:r>
              <m:t>1−</m:t>
            </m:r>
            <m:sSub>
              <m:sSubPr/>
              <m:e>
                <m:r>
                  <m:t>m</m:t>
                </m:r>
              </m:e>
              <m:sub>
                <m:r>
                  <m:t>n</m:t>
                </m:r>
              </m:sub>
            </m:sSub>
          </m:e>
        </m:d>
        <m:sSub>
          <m:sSubPr/>
          <m:e>
            <m:r>
              <m:t>θ</m:t>
            </m:r>
          </m:e>
          <m:sub>
            <m:r>
              <m:t>S</m:t>
            </m:r>
          </m:sub>
        </m:sSub>
        <m:r>
          <m:t>,   </m:t>
        </m:r>
        <m:sSub>
          <m:sSubPr/>
          <m:e>
            <m:r>
              <m:t>m</m:t>
            </m:r>
          </m:e>
          <m:sub>
            <m:r>
              <m:t>n</m:t>
            </m:r>
          </m:sub>
        </m:sSub>
        <m:r>
          <m:t>=min</m:t>
        </m:r>
        <m:d>
          <m:dPr/>
          <m:e>
            <m:r>
              <m:t>m,</m:t>
            </m:r>
            <m:f>
              <m:num>
                <m:r>
                  <m:t>1+n</m:t>
                </m:r>
              </m:num>
              <m:den>
                <m:r>
                  <m:t>10+n</m:t>
                </m:r>
              </m:den>
            </m:f>
          </m:e>
        </m:d>
        <m:r>
          <m:t>,   m=0.999</m:t>
        </m:r>
      </m:oMath>
      <w:r>
        <w:rPr>
          <w:rFonts w:ascii="Times New Roman" w:cs="Times New Roman" w:eastAsia="楷体" w:hAnsi="Times New Roman"/>
          <w:sz w:val="21"/>
          <w:szCs w:val="21"/>
        </w:rPr>
        <w:t xml:space="preserve">	(14)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学生使用原图，教师使用同一批图像的光照扰动视角：逐样本亮度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b</w:t>
      </w:r>
      <w:r>
        <w:rPr>
          <w:rFonts w:ascii="Times New Roman" w:cs="Times New Roman" w:eastAsia="楷体" w:hAnsi="Times New Roman"/>
          <w:sz w:val="21"/>
          <w:szCs w:val="21"/>
        </w:rPr>
        <w:t xml:space="preserve"> ~ U(0.6, 1.4)、对比度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c</w:t>
      </w:r>
      <w:r>
        <w:rPr>
          <w:rFonts w:ascii="Times New Roman" w:cs="Times New Roman" w:eastAsia="楷体" w:hAnsi="Times New Roman"/>
          <w:sz w:val="21"/>
          <w:szCs w:val="21"/>
        </w:rPr>
        <w:t xml:space="preserve"> ~ U(0.6, 1.4)、gamma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g</w:t>
      </w:r>
      <w:r>
        <w:rPr>
          <w:rFonts w:ascii="Times New Roman" w:cs="Times New Roman" w:eastAsia="楷体" w:hAnsi="Times New Roman"/>
          <w:sz w:val="21"/>
          <w:szCs w:val="21"/>
        </w:rPr>
        <w:t xml:space="preserve"> ~ U(0.7, 1.5)、高斯噪声标准差 ~ U(0, 0.03)，几何不变，因此两张分数图逐像素对齐：</w:t>
      </w:r>
    </w:p>
    <w:p>
      <w:pPr>
        <w:tabs>
          <w:tab w:val="center" w:pos="4513"/>
          <w:tab w:val="right" w:pos="9026"/>
        </w:tabs>
        <w:spacing w:after="80" w:before="80"/>
      </w:pPr>
      <w:r>
        <w:rPr>
          <w:rFonts w:ascii="Times New Roman" w:cs="Times New Roman" w:eastAsia="楷体" w:hAnsi="Times New Roman"/>
        </w:rPr>
        <w:t xml:space="preserve">	</w:t>
      </w:r>
      <m:oMath>
        <m:r>
          <m:t>Ĩ=clip</m:t>
        </m:r>
        <m:d>
          <m:dPr/>
          <m:e>
            <m:sSup>
              <m:sSupPr/>
              <m:e>
                <m:d>
                  <m:dPr/>
                  <m:e>
                    <m:r>
                      <m:t>c(bI−μ)+μ</m:t>
                    </m:r>
                  </m:e>
                </m:d>
              </m:e>
              <m:sup>
                <m:r>
                  <m:t>g</m:t>
                </m:r>
              </m:sup>
            </m:sSup>
            <m:r>
              <m:t>+ε</m:t>
            </m:r>
          </m:e>
        </m:d>
        <m:r>
          <m:t>,   </m:t>
        </m:r>
        <m:sSub>
          <m:sSubPr/>
          <m:e>
            <m:r>
              <m:t>L</m:t>
            </m:r>
          </m:e>
          <m:sub>
            <m:r>
              <m:t>cons</m:t>
            </m:r>
          </m:sub>
        </m:sSub>
        <m:r>
          <m:t>=</m:t>
        </m:r>
        <m:f>
          <m:num>
            <m:r>
              <m:t>1</m:t>
            </m:r>
          </m:num>
          <m:den>
            <m:r>
              <m:t>|L|</m:t>
            </m:r>
          </m:den>
        </m:f>
        <m:nary>
          <m:naryPr>
            <m:chr m:val="∑"/>
            <m:limLoc m:val="undOvr"/>
          </m:naryPr>
          <m:sub>
            <m:r>
              <m:t>l</m:t>
            </m:r>
          </m:sub>
          <m:sup/>
          <m:e>
            <m:r>
              <m:t>KL</m:t>
            </m:r>
            <m:d>
              <m:dPr/>
              <m:e>
                <m:r>
                  <m:t>softmax(</m:t>
                </m:r>
                <m:sSubSup>
                  <m:sSubSupPr/>
                  <m:e>
                    <m:r>
                      <m:t>s</m:t>
                    </m:r>
                  </m:e>
                  <m:sub>
                    <m:r>
                      <m:t>l</m:t>
                    </m:r>
                  </m:sub>
                  <m:sup>
                    <m:r>
                      <m:t>T</m:t>
                    </m:r>
                  </m:sup>
                </m:sSubSup>
                <m:r>
                  <m:t>)‖softmax(</m:t>
                </m:r>
                <m:sSubSup>
                  <m:sSubSupPr/>
                  <m:e>
                    <m:r>
                      <m:t>s</m:t>
                    </m:r>
                  </m:e>
                  <m:sub>
                    <m:r>
                      <m:t>l</m:t>
                    </m:r>
                  </m:sub>
                  <m:sup>
                    <m:r>
                      <m:t>S</m:t>
                    </m:r>
                  </m:sup>
                </m:sSubSup>
                <m:r>
                  <m:t>)</m:t>
                </m:r>
              </m:e>
            </m:d>
          </m:e>
        </m:nary>
      </m:oMath>
      <w:r>
        <w:rPr>
          <w:rFonts w:ascii="Times New Roman" w:cs="Times New Roman" w:eastAsia="楷体" w:hAnsi="Times New Roman"/>
          <w:sz w:val="21"/>
          <w:szCs w:val="21"/>
        </w:rPr>
        <w:t xml:space="preserve">	(15)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教师分支只做一次额外前向，不反传；BN 在该分支中使用批统计但不更新滑动统计量，扰动图像不会影响验证时的统计。有了 4.6 节的监督，分数图不再平坦，“光照变化下保持一致”不再能被平凡满足。</w:t>
      </w:r>
    </w:p>
    <w:p>
      <w:pPr>
        <w:spacing w:after="80" w:before="160"/>
      </w:pPr>
      <w:r>
        <w:rPr>
          <w:rFonts w:ascii="Times New Roman" w:cs="Times New Roman" w:eastAsia="楷体" w:hAnsi="Times New Roman"/>
          <w:b/>
          <w:bCs/>
          <w:sz w:val="22"/>
          <w:szCs w:val="22"/>
        </w:rPr>
        <w:t xml:space="preserve">4.8  训练目标</w:t>
      </w:r>
    </w:p>
    <w:p>
      <w:pPr>
        <w:tabs>
          <w:tab w:val="center" w:pos="4513"/>
          <w:tab w:val="right" w:pos="9026"/>
        </w:tabs>
        <w:spacing w:after="80" w:before="80"/>
      </w:pPr>
      <w:r>
        <w:rPr>
          <w:rFonts w:ascii="Times New Roman" w:cs="Times New Roman" w:eastAsia="楷体" w:hAnsi="Times New Roman"/>
        </w:rPr>
        <w:t xml:space="preserve">	</w:t>
      </w:r>
      <m:oMath>
        <m:r>
          <m:t>L=</m:t>
        </m:r>
        <m:sSub>
          <m:sSubPr/>
          <m:e>
            <m:r>
              <m:t>L</m:t>
            </m:r>
          </m:e>
          <m:sub>
            <m:r>
              <m:t>QFL</m:t>
            </m:r>
          </m:sub>
        </m:sSub>
        <m:r>
          <m:t>+2</m:t>
        </m:r>
        <m:sSub>
          <m:sSubPr/>
          <m:e>
            <m:r>
              <m:t>L</m:t>
            </m:r>
          </m:e>
          <m:sub>
            <m:r>
              <m:t>GIoU</m:t>
            </m:r>
          </m:sub>
        </m:sSub>
        <m:r>
          <m:t>+0.25</m:t>
        </m:r>
        <m:sSub>
          <m:sSubPr/>
          <m:e>
            <m:r>
              <m:t>L</m:t>
            </m:r>
          </m:e>
          <m:sub>
            <m:r>
              <m:t>DFL</m:t>
            </m:r>
          </m:sub>
        </m:sSub>
        <m:r>
          <m:t>+</m:t>
        </m:r>
        <m:sSub>
          <m:sSubPr/>
          <m:e>
            <m:r>
              <m:t>λ</m:t>
            </m:r>
          </m:e>
          <m:sub>
            <m:r>
              <m:t>c</m:t>
            </m:r>
          </m:sub>
        </m:sSub>
        <m:sSub>
          <m:sSubPr/>
          <m:e>
            <m:r>
              <m:t>L</m:t>
            </m:r>
          </m:e>
          <m:sub>
            <m:r>
              <m:t>cons</m:t>
            </m:r>
          </m:sub>
        </m:sSub>
        <m:r>
          <m:t>+</m:t>
        </m:r>
        <m:sSub>
          <m:sSubPr/>
          <m:e>
            <m:r>
              <m:t>λ</m:t>
            </m:r>
          </m:e>
          <m:sub>
            <m:r>
              <m:t>r</m:t>
            </m:r>
          </m:sub>
        </m:sSub>
        <m:sSub>
          <m:sSubPr/>
          <m:e>
            <m:r>
              <m:t>L</m:t>
            </m:r>
          </m:e>
          <m:sub>
            <m:r>
              <m:t>route</m:t>
            </m:r>
          </m:sub>
        </m:sSub>
        <m:r>
          <m:t>,   </m:t>
        </m:r>
        <m:sSub>
          <m:sSubPr/>
          <m:e>
            <m:r>
              <m:t>λ</m:t>
            </m:r>
          </m:e>
          <m:sub>
            <m:r>
              <m:t>c</m:t>
            </m:r>
          </m:sub>
        </m:sSub>
        <m:r>
          <m:t>=</m:t>
        </m:r>
        <m:sSub>
          <m:sSubPr/>
          <m:e>
            <m:r>
              <m:t>λ</m:t>
            </m:r>
          </m:e>
          <m:sub>
            <m:r>
              <m:t>r</m:t>
            </m:r>
          </m:sub>
        </m:sSub>
        <m:r>
          <m:t>=0.5</m:t>
        </m:r>
      </m:oMath>
      <w:r>
        <w:rPr>
          <w:rFonts w:ascii="Times New Roman" w:cs="Times New Roman" w:eastAsia="楷体" w:hAnsi="Times New Roman"/>
          <w:sz w:val="21"/>
          <w:szCs w:val="21"/>
        </w:rPr>
        <w:t xml:space="preserve">	(16)</w:t>
      </w:r>
    </w:p>
    <w:p>
      <w:pPr>
        <w:spacing w:after="80" w:before="160"/>
      </w:pPr>
      <w:r>
        <w:rPr>
          <w:rFonts w:ascii="Times New Roman" w:cs="Times New Roman" w:eastAsia="楷体" w:hAnsi="Times New Roman"/>
          <w:b/>
          <w:bCs/>
          <w:sz w:val="22"/>
          <w:szCs w:val="22"/>
        </w:rPr>
        <w:t xml:space="preserve">4.9  复杂度与部署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P3 在 640 输入下有 6400 个位置。对其做全局自注意力的代价为 O((HW)</w:t>
      </w:r>
      <w:r>
        <w:rPr>
          <w:rFonts w:ascii="Times New Roman" w:cs="Times New Roman" w:eastAsia="楷体" w:hAnsi="Times New Roman"/>
          <w:sz w:val="21"/>
          <w:szCs w:val="21"/>
          <w:vertAlign w:val="superscript"/>
        </w:rPr>
        <w:t xml:space="preserve">2</w:t>
      </w:r>
      <w:r>
        <w:rPr>
          <w:rFonts w:ascii="Times New Roman" w:cs="Times New Roman" w:eastAsia="楷体" w:hAnsi="Times New Roman"/>
          <w:sz w:val="21"/>
          <w:szCs w:val="21"/>
        </w:rPr>
        <w:t xml:space="preserve">C)；LiteGTR 中 token 混合为 O(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N</w:t>
      </w:r>
      <w:r>
        <w:rPr>
          <w:rFonts w:ascii="Times New Roman" w:cs="Times New Roman" w:eastAsia="楷体" w:hAnsi="Times New Roman"/>
          <w:sz w:val="21"/>
          <w:szCs w:val="21"/>
          <w:vertAlign w:val="superscript"/>
        </w:rPr>
        <w:t xml:space="preserve">2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C</w:t>
      </w:r>
      <w:r>
        <w:rPr>
          <w:rFonts w:ascii="Times New Roman" w:cs="Times New Roman" w:eastAsia="楷体" w:hAnsi="Times New Roman"/>
          <w:sz w:val="21"/>
          <w:szCs w:val="21"/>
        </w:rPr>
        <w:t xml:space="preserve">)，写回为 O(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N</w:t>
      </w:r>
      <w:r>
        <w:rPr>
          <w:rFonts w:ascii="Times New Roman" w:cs="Times New Roman" w:eastAsia="楷体" w:hAnsi="Times New Roman"/>
          <w:sz w:val="21"/>
          <w:szCs w:val="21"/>
        </w:rPr>
        <w:t xml:space="preserve">·HW·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C</w:t>
      </w:r>
      <w:r>
        <w:rPr>
          <w:rFonts w:ascii="Times New Roman" w:cs="Times New Roman" w:eastAsia="楷体" w:hAnsi="Times New Roman"/>
          <w:sz w:val="21"/>
          <w:szCs w:val="21"/>
        </w:rPr>
        <w:t xml:space="preserve">)，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N</w:t>
      </w:r>
      <w:r>
        <w:rPr>
          <w:rFonts w:ascii="Times New Roman" w:cs="Times New Roman" w:eastAsia="楷体" w:hAnsi="Times New Roman"/>
          <w:sz w:val="21"/>
          <w:szCs w:val="21"/>
        </w:rPr>
        <w:t xml:space="preserve"> = 56。路由的 </w:t>
      </w:r>
      <w:r>
        <w:rPr>
          <w:rFonts w:ascii="Times New Roman" w:cs="Times New Roman" w:eastAsia="楷体" w:hAnsi="Times New Roman"/>
          <w:i/>
          <w:iCs/>
          <w:sz w:val="21"/>
          <w:szCs w:val="21"/>
        </w:rPr>
        <w:t xml:space="preserve">k</w:t>
      </w:r>
      <w:r>
        <w:rPr>
          <w:rFonts w:ascii="Times New Roman" w:cs="Times New Roman" w:eastAsia="楷体" w:hAnsi="Times New Roman"/>
          <w:sz w:val="21"/>
          <w:szCs w:val="21"/>
        </w:rPr>
        <w:t xml:space="preserve">、网格划分与所有张量形状均为常量，ONNX 以静态形状导出。LiteGTR 共 2.32M 参数、4.93G MACs（≈9.9 GFLOPs，另有注意力矩阵乘约 0.06G）：骨干 2.03M，检测头 74K，打分器 56K，写回 50K，金字塔投影 47K，局部路径 34K，混合器 34K；仅训练使用的 EMA 教师（56K）不计入。LiteGTR-S 将骨干缩为 [24, 48, 96, 160] × [2, 3, 6, 2]、token 预算改为 16 / 16 / 8，共 1.22M 参数、2.49G MACs。</w:t>
      </w:r>
    </w:p>
    <w:p>
      <w:pPr>
        <w:spacing w:after="120" w:before="240"/>
      </w:pPr>
      <w:r>
        <w:rPr>
          <w:rFonts w:ascii="Times New Roman" w:cs="Times New Roman" w:eastAsia="楷体" w:hAnsi="Times New Roman"/>
          <w:b/>
          <w:bCs/>
          <w:sz w:val="26"/>
          <w:szCs w:val="26"/>
        </w:rPr>
        <w:t xml:space="preserve">5  实验</w:t>
      </w:r>
    </w:p>
    <w:p>
      <w:pPr>
        <w:spacing w:after="80" w:before="160"/>
      </w:pPr>
      <w:r>
        <w:rPr>
          <w:rFonts w:ascii="Times New Roman" w:cs="Times New Roman" w:eastAsia="楷体" w:hAnsi="Times New Roman"/>
          <w:b/>
          <w:bCs/>
          <w:sz w:val="22"/>
          <w:szCs w:val="22"/>
        </w:rPr>
        <w:t xml:space="preserve">5.1  数据集与评测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b/>
          <w:bCs/>
          <w:sz w:val="21"/>
          <w:szCs w:val="21"/>
        </w:rPr>
        <w:t xml:space="preserve">VisDrone2019-DET</w:t>
      </w:r>
      <w:r>
        <w:rPr>
          <w:rFonts w:ascii="Times New Roman" w:cs="Times New Roman" w:eastAsia="楷体" w:hAnsi="Times New Roman"/>
          <w:sz w:val="21"/>
          <w:szCs w:val="21"/>
        </w:rPr>
        <w:t xml:space="preserve">：6471 张训练、548 张验证图像，10 类。ignored 区域以填充值屏蔽，others 类剔除。所有消融在 val 上报告。</w:t>
      </w:r>
      <w:r>
        <w:rPr>
          <w:rFonts w:ascii="Times New Roman" w:cs="Times New Roman" w:eastAsia="楷体" w:hAnsi="Times New Roman"/>
          <w:b/>
          <w:bCs/>
          <w:sz w:val="21"/>
          <w:szCs w:val="21"/>
        </w:rPr>
        <w:t xml:space="preserve">DroneVehicle</w:t>
      </w:r>
      <w:r>
        <w:rPr>
          <w:rFonts w:ascii="Times New Roman" w:cs="Times New Roman" w:eastAsia="楷体" w:hAnsi="Times New Roman"/>
          <w:sz w:val="21"/>
          <w:szCs w:val="21"/>
        </w:rPr>
        <w:t xml:space="preserve">：使用 RGB 模态、水平框，按亮度把图像标注为 day / night / dark，用于跨光照分析。评测使用 COCO API（maxDets = 100），另按 3.1 节分档报告 AP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vt</w:t>
      </w:r>
      <w:r>
        <w:rPr>
          <w:rFonts w:ascii="Times New Roman" w:cs="Times New Roman" w:eastAsia="楷体" w:hAnsi="Times New Roman"/>
          <w:sz w:val="21"/>
          <w:szCs w:val="21"/>
        </w:rPr>
        <w:t xml:space="preserve">、AP</w:t>
      </w:r>
      <w:r>
        <w:rPr>
          <w:rFonts w:ascii="Times New Roman" w:cs="Times New Roman" w:eastAsia="楷体" w:hAnsi="Times New Roman"/>
          <w:sz w:val="21"/>
          <w:szCs w:val="21"/>
          <w:vertAlign w:val="subscript"/>
        </w:rPr>
        <w:t xml:space="preserve">t</w:t>
      </w:r>
      <w:r>
        <w:rPr>
          <w:rFonts w:ascii="Times New Roman" w:cs="Times New Roman" w:eastAsia="楷体" w:hAnsi="Times New Roman"/>
          <w:sz w:val="21"/>
          <w:szCs w:val="21"/>
        </w:rPr>
        <w:t xml:space="preserve">。后处理与 RemDet、Ultralytics 的评测设置一致：分数阈值 0.001，每个位置可输出多个类别，按类别做 IoU 阈值 0.7 的 NMS，每图至多保留 300 个框。同量级模型的外部结果评测协议不一，单独标注。</w:t>
      </w:r>
    </w:p>
    <w:p>
      <w:pPr>
        <w:spacing w:after="80" w:before="160"/>
      </w:pPr>
      <w:r>
        <w:rPr>
          <w:rFonts w:ascii="Times New Roman" w:cs="Times New Roman" w:eastAsia="楷体" w:hAnsi="Times New Roman"/>
          <w:b/>
          <w:bCs/>
          <w:sz w:val="22"/>
          <w:szCs w:val="22"/>
        </w:rPr>
        <w:t xml:space="preserve">5.2  实现细节</w:t>
      </w:r>
    </w:p>
    <w:p>
      <w:pPr>
        <w:spacing w:after="60" w:line="300"/>
        <w:ind w:firstLine="420"/>
        <w:jc w:val="both"/>
      </w:pPr>
      <w:r>
        <w:rPr>
          <w:rFonts w:ascii="Times New Roman" w:cs="Times New Roman" w:eastAsia="楷体" w:hAnsi="Times New Roman"/>
          <w:sz w:val="21"/>
          <w:szCs w:val="21"/>
        </w:rPr>
        <w:t xml:space="preserve">所有模型（含基线）从零训练 200 轮，输入 640，batch 16，AdamW（lr = 1×10</w:t>
      </w:r>
      <w:r>
        <w:rPr>
          <w:rFonts w:ascii="Times New Roman" w:cs="Times New Roman" w:eastAsia="楷体" w:hAnsi="Times New Roman"/>
          <w:sz w:val="21"/>
          <w:szCs w:val="21"/>
          <w:vertAlign w:val="superscript"/>
        </w:rPr>
        <w:t xml:space="preserve">−3</w:t>
      </w:r>
      <w:r>
        <w:rPr>
          <w:rFonts w:ascii="Times New Roman" w:cs="Times New Roman" w:eastAsia="楷体" w:hAnsi="Times New Roman"/>
          <w:sz w:val="21"/>
          <w:szCs w:val="21"/>
        </w:rPr>
        <w:t xml:space="preserve">，weight decay = 0.05），梯度裁剪 10。学习率先线性预热 3 轮，保持峰值至第 100 轮，再余弦衰减至 1%。Mosaic 概率 0.5，最后 10 轮关闭。模型权重 EMA 衰减 0.9999，验证与保存均使用 EMA 权重。混合精度训练，单卡 [GPU 型号待补]。基线只替换骨干，复用相同的 neck、检测头、损失、分配器、数据增强与训练日程，并按参数量与 LiteGTR 配对。</w:t>
      </w:r>
    </w:p>
    <w:p>
      <w:pPr>
        <w:spacing w:after="80" w:before="160"/>
      </w:pPr>
      <w:r>
        <w:rPr>
          <w:rFonts w:ascii="Times New Roman" w:cs="Times New Roman" w:eastAsia="楷体" w:hAnsi="Times New Roman"/>
          <w:b/>
          <w:bCs/>
          <w:sz w:val="22"/>
          <w:szCs w:val="22"/>
        </w:rPr>
        <w:t xml:space="preserve">5.3  与现有方法的比较</w:t>
      </w:r>
    </w:p>
    <w:p>
      <w:pPr>
        <w:keepNext/>
        <w:spacing w:after="60" w:before="160"/>
        <w:jc w:val="both"/>
      </w:pPr>
      <w:r>
        <w:rPr>
          <w:rFonts w:ascii="Times New Roman" w:cs="Times New Roman" w:eastAsia="楷体" w:hAnsi="Times New Roman"/>
          <w:b/>
          <w:bCs/>
          <w:sz w:val="18"/>
          <w:szCs w:val="18"/>
        </w:rPr>
        <w:t xml:space="preserve">表 1. </w:t>
      </w:r>
      <w:r>
        <w:rPr>
          <w:rFonts w:ascii="Times New Roman" w:cs="Times New Roman" w:eastAsia="楷体" w:hAnsi="Times New Roman"/>
          <w:sz w:val="18"/>
          <w:szCs w:val="18"/>
        </w:rPr>
        <w:t xml:space="preserve">VisDrone2019-DET val 上的比较。上半部分为引用的已发表结果（协议与训练轮数各不相同，仅供参考）；下半部分在统一协议下训练与评测。AP</w:t>
      </w:r>
      <w:r>
        <w:rPr>
          <w:rFonts w:ascii="Times New Roman" w:cs="Times New Roman" w:eastAsia="楷体" w:hAnsi="Times New Roman"/>
          <w:sz w:val="18"/>
          <w:szCs w:val="18"/>
          <w:vertAlign w:val="subscript"/>
        </w:rPr>
        <w:t xml:space="preserve">vt</w:t>
      </w:r>
      <w:r>
        <w:rPr>
          <w:rFonts w:ascii="Times New Roman" w:cs="Times New Roman" w:eastAsia="楷体" w:hAnsi="Times New Roman"/>
          <w:sz w:val="18"/>
          <w:szCs w:val="18"/>
        </w:rPr>
        <w:t xml:space="preserve"> / AP</w:t>
      </w:r>
      <w:r>
        <w:rPr>
          <w:rFonts w:ascii="Times New Roman" w:cs="Times New Roman" w:eastAsia="楷体" w:hAnsi="Times New Roman"/>
          <w:sz w:val="18"/>
          <w:szCs w:val="18"/>
          <w:vertAlign w:val="subscript"/>
        </w:rPr>
        <w:t xml:space="preserve">t</w:t>
      </w:r>
      <w:r>
        <w:rPr>
          <w:rFonts w:ascii="Times New Roman" w:cs="Times New Roman" w:eastAsia="楷体" w:hAnsi="Times New Roman"/>
          <w:sz w:val="18"/>
          <w:szCs w:val="18"/>
        </w:rPr>
        <w:t xml:space="preserve"> 按边长 [2,8) / [8,16) 像素统计。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82"/>
        <w:gridCol w:w="931"/>
        <w:gridCol w:w="558"/>
        <w:gridCol w:w="837"/>
        <w:gridCol w:w="744"/>
        <w:gridCol w:w="837"/>
        <w:gridCol w:w="744"/>
        <w:gridCol w:w="651"/>
        <w:gridCol w:w="651"/>
        <w:gridCol w:w="651"/>
        <w:gridCol w:w="840"/>
      </w:tblGrid>
      <w:tr>
        <w:trPr>
          <w:tblHeader/>
        </w:trPr>
        <w:tc>
          <w:tcPr>
            <w:tcW w:type="dxa" w:w="158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93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5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轮数</w:t>
            </w:r>
          </w:p>
        </w:tc>
        <w:tc>
          <w:tcPr>
            <w:tcW w:type="dxa" w:w="83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Params(M)</w:t>
            </w:r>
          </w:p>
        </w:tc>
        <w:tc>
          <w:tcPr>
            <w:tcW w:type="dxa" w:w="74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GFLOPs</w:t>
            </w:r>
          </w:p>
        </w:tc>
        <w:tc>
          <w:tcPr>
            <w:tcW w:type="dxa" w:w="83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mAP</w:t>
            </w: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  <w:vertAlign w:val="subscript"/>
              </w:rPr>
              <w:t xml:space="preserve">50:95</w:t>
            </w:r>
          </w:p>
        </w:tc>
        <w:tc>
          <w:tcPr>
            <w:tcW w:type="dxa" w:w="74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mAP</w:t>
            </w: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  <w:vertAlign w:val="subscript"/>
              </w:rPr>
              <w:t xml:space="preserve">50</w:t>
            </w:r>
          </w:p>
        </w:tc>
        <w:tc>
          <w:tcPr>
            <w:tcW w:type="dxa" w:w="65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AP</w:t>
            </w: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  <w:vertAlign w:val="subscript"/>
              </w:rPr>
              <w:t xml:space="preserve">S</w:t>
            </w:r>
          </w:p>
        </w:tc>
        <w:tc>
          <w:tcPr>
            <w:tcW w:type="dxa" w:w="65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AP</w:t>
            </w: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  <w:vertAlign w:val="subscript"/>
              </w:rPr>
              <w:t xml:space="preserve">vt</w:t>
            </w:r>
          </w:p>
        </w:tc>
        <w:tc>
          <w:tcPr>
            <w:tcW w:type="dxa" w:w="65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AP</w:t>
            </w: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  <w:vertAlign w:val="subscript"/>
              </w:rPr>
              <w:t xml:space="preserve">t</w:t>
            </w:r>
          </w:p>
        </w:tc>
        <w:tc>
          <w:tcPr>
            <w:tcW w:type="dxa" w:w="84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延迟(ms)</w:t>
            </w:r>
          </w:p>
        </w:tc>
      </w:tr>
      <w:tr>
        <w:tc>
          <w:tcPr>
            <w:tcW w:type="dxa" w:w="9026"/>
            <w:gridSpan w:val="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引用结果†</w:t>
            </w:r>
          </w:p>
        </w:tc>
      </w:tr>
      <w:tr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LEAF-YOLO-N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ISWA'25</w:t>
            </w:r>
          </w:p>
        </w:tc>
        <w:tc>
          <w:tcPr>
            <w:tcW w:type="dxa" w:w="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1.2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5.6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21.9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39.7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14.0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‡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‡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EDNet-Tiny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UIC'24</w:t>
            </w:r>
          </w:p>
        </w:tc>
        <w:tc>
          <w:tcPr>
            <w:tcW w:type="dxa" w:w="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1.8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19.5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34.1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YOLO26n-P2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DHF-YOLO</w:t>
            </w:r>
          </w:p>
        </w:tc>
        <w:tc>
          <w:tcPr>
            <w:tcW w:type="dxa" w:w="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300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2.40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6.5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19.2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33.1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DHF-YOLO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2026</w:t>
            </w:r>
          </w:p>
        </w:tc>
        <w:tc>
          <w:tcPr>
            <w:tcW w:type="dxa" w:w="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300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2.63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9.9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20.4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34.9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RemDet-Tiny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AAAI'25</w:t>
            </w:r>
          </w:p>
        </w:tc>
        <w:tc>
          <w:tcPr>
            <w:tcW w:type="dxa" w:w="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300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3.2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4.6</w:t>
            </w:r>
            <w:r>
              <w:rPr>
                <w:rFonts w:ascii="Times New Roman" w:cs="Times New Roman" w:eastAsia="楷体" w:hAnsi="Times New Roman"/>
                <w:sz w:val="18"/>
                <w:szCs w:val="18"/>
                <w:vertAlign w:val="superscript"/>
              </w:rPr>
              <w:t xml:space="preserve">a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21.8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37.1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12.7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‡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‡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LEAF-YOLO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ISWA'25</w:t>
            </w:r>
          </w:p>
        </w:tc>
        <w:tc>
          <w:tcPr>
            <w:tcW w:type="dxa" w:w="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4.28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20.9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28.2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48.3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20.0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EdgeYOLO-Tiny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5.5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27.2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21.8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38.5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12.4</w:t>
            </w:r>
            <w:r>
              <w:rPr>
                <w:rFonts w:ascii="Times New Roman" w:cs="Times New Roman" w:eastAsia="楷体" w:hAnsi="Times New Roman"/>
                <w:sz w:val="18"/>
                <w:szCs w:val="18"/>
                <w:vertAlign w:val="superscript"/>
              </w:rPr>
              <w:t xml:space="preserve">b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PDWT-YOLO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6.44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24.5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24.3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42.6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15.9</w:t>
            </w:r>
            <w:r>
              <w:rPr>
                <w:rFonts w:ascii="Times New Roman" w:cs="Times New Roman" w:eastAsia="楷体" w:hAnsi="Times New Roman"/>
                <w:sz w:val="18"/>
                <w:szCs w:val="18"/>
                <w:vertAlign w:val="superscript"/>
              </w:rPr>
              <w:t xml:space="preserve">b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26"/>
            <w:gridSpan w:val="11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统一协议（本文训练，200 轮，从零）</w:t>
            </w:r>
          </w:p>
        </w:tc>
      </w:tr>
      <w:tr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YOLOv8n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复现</w:t>
            </w:r>
          </w:p>
        </w:tc>
        <w:tc>
          <w:tcPr>
            <w:tcW w:type="dxa" w:w="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200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YOLO11n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复现</w:t>
            </w:r>
          </w:p>
        </w:tc>
        <w:tc>
          <w:tcPr>
            <w:tcW w:type="dxa" w:w="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200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CSP-T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基线</w:t>
            </w:r>
          </w:p>
        </w:tc>
        <w:tc>
          <w:tcPr>
            <w:tcW w:type="dxa" w:w="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200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1.17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≈4.4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CSP-N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基线</w:t>
            </w:r>
          </w:p>
        </w:tc>
        <w:tc>
          <w:tcPr>
            <w:tcW w:type="dxa" w:w="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200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2.25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≈7.1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LiteGTR-S（本文）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1.22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≈5.0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58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LiteGTR（本文）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55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2.32</w:t>
            </w: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≈9.9</w:t>
            </w:r>
          </w:p>
        </w:tc>
        <w:tc>
          <w:tcPr>
            <w:tcW w:type="dxa" w:w="83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4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5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after="160" w:before="40"/>
      </w:pPr>
      <w:r>
        <w:rPr>
          <w:rFonts w:ascii="Times New Roman" w:cs="Times New Roman" w:eastAsia="楷体" w:hAnsi="Times New Roman"/>
          <w:sz w:val="16"/>
          <w:szCs w:val="16"/>
        </w:rPr>
        <w:t xml:space="preserve">† 数据取自作者公开的代码仓库 README 或训练日志。‡ 用公开权重以本文评测脚本重新计算。a：mmdet 统计口径，可能为 MACs；b：由 LEAF-YOLO 作者测得。延迟为 [设备] 上 TensorRT FP16、batch 1、640×640，由 tools/benchmark_latency.py 测得。</w:t>
      </w:r>
    </w:p>
    <w:p>
      <w:pPr>
        <w:spacing w:after="60" w:line="300"/>
        <w:jc w:val="both"/>
      </w:pPr>
      <w:r>
        <w:rPr>
          <w:rFonts w:ascii="Times New Roman" w:cs="Times New Roman" w:eastAsia="楷体" w:hAnsi="Times New Roman"/>
          <w:color w:val="C00000"/>
          <w:sz w:val="21"/>
          <w:szCs w:val="21"/>
        </w:rPr>
        <w:t xml:space="preserve">【待补】结果分析：与参数量匹配基线的差距；与引用结果的比较需说明协议差异。</w:t>
      </w:r>
    </w:p>
    <w:p>
      <w:pPr>
        <w:spacing w:after="80" w:before="160"/>
      </w:pPr>
      <w:r>
        <w:rPr>
          <w:rFonts w:ascii="Times New Roman" w:cs="Times New Roman" w:eastAsia="楷体" w:hAnsi="Times New Roman"/>
          <w:b/>
          <w:bCs/>
          <w:sz w:val="22"/>
          <w:szCs w:val="22"/>
        </w:rPr>
        <w:t xml:space="preserve">5.4  消融实验</w:t>
      </w:r>
    </w:p>
    <w:p>
      <w:pPr>
        <w:keepNext/>
        <w:spacing w:after="60" w:before="160"/>
        <w:jc w:val="both"/>
      </w:pPr>
      <w:r>
        <w:rPr>
          <w:rFonts w:ascii="Times New Roman" w:cs="Times New Roman" w:eastAsia="楷体" w:hAnsi="Times New Roman"/>
          <w:b/>
          <w:bCs/>
          <w:sz w:val="18"/>
          <w:szCs w:val="18"/>
        </w:rPr>
        <w:t xml:space="preserve">表 2. </w:t>
      </w:r>
      <w:r>
        <w:rPr>
          <w:rFonts w:ascii="Times New Roman" w:cs="Times New Roman" w:eastAsia="楷体" w:hAnsi="Times New Roman"/>
          <w:sz w:val="18"/>
          <w:szCs w:val="18"/>
        </w:rPr>
        <w:t xml:space="preserve">消融实验（VisDrone val）。每行相对完整模型只改变一项。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49"/>
        <w:gridCol w:w="812"/>
        <w:gridCol w:w="903"/>
        <w:gridCol w:w="812"/>
        <w:gridCol w:w="812"/>
        <w:gridCol w:w="812"/>
        <w:gridCol w:w="812"/>
        <w:gridCol w:w="814"/>
      </w:tblGrid>
      <w:tr>
        <w:trPr>
          <w:tblHeader/>
        </w:trPr>
        <w:tc>
          <w:tcPr>
            <w:tcW w:type="dxa" w:w="324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配置</w:t>
            </w:r>
          </w:p>
        </w:tc>
        <w:tc>
          <w:tcPr>
            <w:tcW w:type="dxa" w:w="81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GFLOPs</w:t>
            </w:r>
          </w:p>
        </w:tc>
        <w:tc>
          <w:tcPr>
            <w:tcW w:type="dxa" w:w="90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mAP</w:t>
            </w: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  <w:vertAlign w:val="subscript"/>
              </w:rPr>
              <w:t xml:space="preserve">50:95</w:t>
            </w:r>
          </w:p>
        </w:tc>
        <w:tc>
          <w:tcPr>
            <w:tcW w:type="dxa" w:w="81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mAP</w:t>
            </w: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  <w:vertAlign w:val="subscript"/>
              </w:rPr>
              <w:t xml:space="preserve">50</w:t>
            </w:r>
          </w:p>
        </w:tc>
        <w:tc>
          <w:tcPr>
            <w:tcW w:type="dxa" w:w="81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AP</w:t>
            </w: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  <w:vertAlign w:val="subscript"/>
              </w:rPr>
              <w:t xml:space="preserve">S</w:t>
            </w:r>
          </w:p>
        </w:tc>
        <w:tc>
          <w:tcPr>
            <w:tcW w:type="dxa" w:w="81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AP</w:t>
            </w: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  <w:vertAlign w:val="subscript"/>
              </w:rPr>
              <w:t xml:space="preserve">vt</w:t>
            </w:r>
          </w:p>
        </w:tc>
        <w:tc>
          <w:tcPr>
            <w:tcW w:type="dxa" w:w="81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AP</w:t>
            </w: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  <w:vertAlign w:val="subscript"/>
              </w:rPr>
              <w:t xml:space="preserve">M</w:t>
            </w:r>
          </w:p>
        </w:tc>
        <w:tc>
          <w:tcPr>
            <w:tcW w:type="dxa" w:w="81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AP</w:t>
            </w: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  <w:vertAlign w:val="subscript"/>
              </w:rPr>
              <w:t xml:space="preserve">L</w:t>
            </w:r>
          </w:p>
        </w:tc>
      </w:tr>
      <w:tr>
        <w:tc>
          <w:tcPr>
            <w:tcW w:type="dxa" w:w="3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LiteGTR（完整）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≈9.9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3249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− Token 路径（仅局部卷积）</w:t>
            </w:r>
          </w:p>
        </w:tc>
        <w:tc>
          <w:tcPr>
            <w:tcW w:type="dxa" w:w="812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3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4"/>
            <w:tcBorders>
              <w:top w:val="single" w:color="000000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3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写回：均匀广播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3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写回：仅内容注意力（− 几何先验）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3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− 路由监督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≈9.9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3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− 光照一致 EMA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≈9.9</w:t>
            </w:r>
          </w:p>
        </w:tc>
        <w:tc>
          <w:tcPr>
            <w:tcW w:type="dxa" w:w="9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3249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Token 预算 56 → 256</w:t>
            </w:r>
          </w:p>
        </w:tc>
        <w:tc>
          <w:tcPr>
            <w:tcW w:type="dxa" w:w="812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03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2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81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after="160" w:before="40"/>
      </w:pPr>
      <w:r>
        <w:rPr>
          <w:rFonts w:ascii="Times New Roman" w:cs="Times New Roman" w:eastAsia="楷体" w:hAnsi="Times New Roman"/>
          <w:sz w:val="16"/>
          <w:szCs w:val="16"/>
        </w:rPr>
        <w:t xml:space="preserve">注：AP</w:t>
      </w:r>
      <w:r>
        <w:rPr>
          <w:rFonts w:ascii="Times New Roman" w:cs="Times New Roman" w:eastAsia="楷体" w:hAnsi="Times New Roman"/>
          <w:sz w:val="16"/>
          <w:szCs w:val="16"/>
          <w:vertAlign w:val="subscript"/>
        </w:rPr>
        <w:t xml:space="preserve">M</w:t>
      </w:r>
      <w:r>
        <w:rPr>
          <w:rFonts w:ascii="Times New Roman" w:cs="Times New Roman" w:eastAsia="楷体" w:hAnsi="Times New Roman"/>
          <w:sz w:val="16"/>
          <w:szCs w:val="16"/>
        </w:rPr>
        <w:t xml:space="preserve"> 与 AP</w:t>
      </w:r>
      <w:r>
        <w:rPr>
          <w:rFonts w:ascii="Times New Roman" w:cs="Times New Roman" w:eastAsia="楷体" w:hAnsi="Times New Roman"/>
          <w:sz w:val="16"/>
          <w:szCs w:val="16"/>
          <w:vertAlign w:val="subscript"/>
        </w:rPr>
        <w:t xml:space="preserve">L</w:t>
      </w:r>
      <w:r>
        <w:rPr>
          <w:rFonts w:ascii="Times New Roman" w:cs="Times New Roman" w:eastAsia="楷体" w:hAnsi="Times New Roman"/>
          <w:sz w:val="16"/>
          <w:szCs w:val="16"/>
        </w:rPr>
        <w:t xml:space="preserve"> 用于量化面向小目标设计对中、大目标的影响；VisDrone val 中大目标仅约占 2.8%。</w:t>
      </w:r>
    </w:p>
    <w:p>
      <w:pPr>
        <w:keepNext/>
        <w:spacing w:after="60" w:before="160"/>
        <w:jc w:val="both"/>
      </w:pPr>
      <w:r>
        <w:rPr>
          <w:rFonts w:ascii="Times New Roman" w:cs="Times New Roman" w:eastAsia="楷体" w:hAnsi="Times New Roman"/>
          <w:b/>
          <w:bCs/>
          <w:sz w:val="18"/>
          <w:szCs w:val="18"/>
        </w:rPr>
        <w:t xml:space="preserve">表 3. </w:t>
      </w:r>
      <w:r>
        <w:rPr>
          <w:rFonts w:ascii="Times New Roman" w:cs="Times New Roman" w:eastAsia="楷体" w:hAnsi="Times New Roman"/>
          <w:sz w:val="18"/>
          <w:szCs w:val="18"/>
        </w:rPr>
        <w:t xml:space="preserve">路由行为分析（P3）。命中率为被选中 token 落在真值框内的比例；随机水平为目标面积占比。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97"/>
        <w:gridCol w:w="1410"/>
        <w:gridCol w:w="1316"/>
        <w:gridCol w:w="1034"/>
        <w:gridCol w:w="1128"/>
        <w:gridCol w:w="941"/>
      </w:tblGrid>
      <w:tr>
        <w:trPr>
          <w:tblHeader/>
        </w:trPr>
        <w:tc>
          <w:tcPr>
            <w:tcW w:type="dxa" w:w="319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路由方式</w:t>
            </w:r>
          </w:p>
        </w:tc>
        <w:tc>
          <w:tcPr>
            <w:tcW w:type="dxa" w:w="14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分数图熵 ↓</w:t>
            </w:r>
          </w:p>
        </w:tc>
        <w:tc>
          <w:tcPr>
            <w:tcW w:type="dxa" w:w="131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Token 命中率 ↑</w:t>
            </w:r>
          </w:p>
        </w:tc>
        <w:tc>
          <w:tcPr>
            <w:tcW w:type="dxa" w:w="10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随机水平</w:t>
            </w:r>
          </w:p>
        </w:tc>
        <w:tc>
          <w:tcPr>
            <w:tcW w:type="dxa" w:w="112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EMA 一致性</w:t>
            </w:r>
          </w:p>
        </w:tc>
        <w:tc>
          <w:tcPr>
            <w:tcW w:type="dxa" w:w="94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AP</w:t>
            </w: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  <w:vertAlign w:val="subscript"/>
              </w:rPr>
              <w:t xml:space="preserve">S</w:t>
            </w:r>
          </w:p>
        </w:tc>
      </w:tr>
      <w:tr>
        <w:tc>
          <w:tcPr>
            <w:tcW w:type="dxa" w:w="31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随机路由（无门控、无监督）</w:t>
            </w:r>
          </w:p>
        </w:tc>
        <w:tc>
          <w:tcPr>
            <w:tcW w:type="dxa" w:w="1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1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9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31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门控 + EMA（无路由监督）</w:t>
            </w:r>
          </w:p>
        </w:tc>
        <w:tc>
          <w:tcPr>
            <w:tcW w:type="dxa" w:w="1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0.99999</w:t>
            </w:r>
            <w:r>
              <w:rPr>
                <w:rFonts w:ascii="Times New Roman" w:cs="Times New Roman" w:eastAsia="楷体" w:hAnsi="Times New Roman"/>
                <w:sz w:val="18"/>
                <w:szCs w:val="18"/>
                <w:vertAlign w:val="superscript"/>
              </w:rPr>
              <w:t xml:space="preserve">*</w:t>
            </w:r>
          </w:p>
        </w:tc>
        <w:tc>
          <w:tcPr>
            <w:tcW w:type="dxa" w:w="1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0.999</w:t>
            </w:r>
            <w:r>
              <w:rPr>
                <w:rFonts w:ascii="Times New Roman" w:cs="Times New Roman" w:eastAsia="楷体" w:hAnsi="Times New Roman"/>
                <w:sz w:val="18"/>
                <w:szCs w:val="18"/>
                <w:vertAlign w:val="superscript"/>
              </w:rPr>
              <w:t xml:space="preserve">*</w:t>
            </w:r>
          </w:p>
        </w:tc>
        <w:tc>
          <w:tcPr>
            <w:tcW w:type="dxa" w:w="9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319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门控 + EMA + 路由监督（本文）</w:t>
            </w:r>
          </w:p>
        </w:tc>
        <w:tc>
          <w:tcPr>
            <w:tcW w:type="dxa" w:w="14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1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3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94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after="160" w:before="40"/>
      </w:pPr>
      <w:r>
        <w:rPr>
          <w:rFonts w:ascii="Times New Roman" w:cs="Times New Roman" w:eastAsia="楷体" w:hAnsi="Times New Roman"/>
          <w:sz w:val="16"/>
          <w:szCs w:val="16"/>
        </w:rPr>
        <w:t xml:space="preserve">注：带星号的数值为无路由监督那次训练第 135 轮的实测值。熵接近 1 表示分数图平坦；EMA 一致性接近 1 是因为教师与学生的分数图都平坦，并非学到了光照不变性。</w:t>
      </w:r>
    </w:p>
    <w:p>
      <w:pPr>
        <w:spacing w:after="60" w:line="300"/>
        <w:jc w:val="both"/>
      </w:pPr>
      <w:r>
        <w:rPr>
          <w:rFonts w:ascii="Times New Roman" w:cs="Times New Roman" w:eastAsia="楷体" w:hAnsi="Times New Roman"/>
          <w:color w:val="C00000"/>
          <w:sz w:val="21"/>
          <w:szCs w:val="21"/>
        </w:rPr>
        <w:t xml:space="preserve">【待补】消融分析。重点：− token 路径时 AP</w:t>
      </w:r>
      <w:r>
        <w:rPr>
          <w:rFonts w:ascii="Times New Roman" w:cs="Times New Roman" w:eastAsia="楷体" w:hAnsi="Times New Roman"/>
          <w:color w:val="C00000"/>
          <w:sz w:val="21"/>
          <w:szCs w:val="21"/>
          <w:vertAlign w:val="subscript"/>
        </w:rPr>
        <w:t xml:space="preserve">S</w:t>
      </w:r>
      <w:r>
        <w:rPr>
          <w:rFonts w:ascii="Times New Roman" w:cs="Times New Roman" w:eastAsia="楷体" w:hAnsi="Times New Roman"/>
          <w:color w:val="C00000"/>
          <w:sz w:val="21"/>
          <w:szCs w:val="21"/>
        </w:rPr>
        <w:t xml:space="preserve"> 与 AP</w:t>
      </w:r>
      <w:r>
        <w:rPr>
          <w:rFonts w:ascii="Times New Roman" w:cs="Times New Roman" w:eastAsia="楷体" w:hAnsi="Times New Roman"/>
          <w:color w:val="C00000"/>
          <w:sz w:val="21"/>
          <w:szCs w:val="21"/>
          <w:vertAlign w:val="subscript"/>
        </w:rPr>
        <w:t xml:space="preserve">L</w:t>
      </w:r>
      <w:r>
        <w:rPr>
          <w:rFonts w:ascii="Times New Roman" w:cs="Times New Roman" w:eastAsia="楷体" w:hAnsi="Times New Roman"/>
          <w:color w:val="C00000"/>
          <w:sz w:val="21"/>
          <w:szCs w:val="21"/>
        </w:rPr>
        <w:t xml:space="preserve"> 的变化方向；无监督路由的命中率是否接近随机。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shd w:fill="F5F5F5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color w:val="7F7F7F"/>
                <w:sz w:val="21"/>
                <w:szCs w:val="21"/>
              </w:rPr>
              <w:t xml:space="preserve">【图 3 占位】</w:t>
            </w:r>
          </w:p>
          <w:p>
            <w:pPr>
              <w:jc w:val="left"/>
            </w:pPr>
            <w:r>
              <w:rPr>
                <w:rFonts w:ascii="Times New Roman" w:cs="Times New Roman" w:eastAsia="楷体" w:hAnsi="Times New Roman"/>
                <w:color w:val="595959"/>
                <w:sz w:val="18"/>
                <w:szCs w:val="18"/>
              </w:rPr>
              <w:t xml:space="preserve">由 tools/visualize_tokens.py 生成：输入+GT | P3 | P4 | P5 分数图。选 2 张目标密集、小目标多的图像。</w:t>
            </w:r>
          </w:p>
          <w:p>
            <w:pPr>
              <w:jc w:val="left"/>
            </w:pPr>
            <w:r>
              <w:rPr>
                <w:rFonts w:ascii="Times New Roman" w:cs="Times New Roman" w:eastAsia="楷体" w:hAnsi="Times New Roman"/>
                <w:color w:val="595959"/>
                <w:sz w:val="18"/>
                <w:szCs w:val="18"/>
              </w:rPr>
              <w:t xml:space="preserve">可在右下角嵌入小图：两次训练的 P3 分数图熵随 epoch 的变化（数据来自 token_stats.csv）。</w:t>
            </w:r>
          </w:p>
        </w:tc>
      </w:tr>
    </w:tbl>
    <w:p>
      <w:pPr>
        <w:spacing w:after="200" w:before="60"/>
        <w:jc w:val="both"/>
      </w:pPr>
      <w:r>
        <w:rPr>
          <w:rFonts w:ascii="Times New Roman" w:cs="Times New Roman" w:eastAsia="楷体" w:hAnsi="Times New Roman"/>
          <w:b/>
          <w:bCs/>
          <w:sz w:val="18"/>
          <w:szCs w:val="18"/>
        </w:rPr>
        <w:t xml:space="preserve">图 3. </w:t>
      </w:r>
      <w:r>
        <w:rPr>
          <w:rFonts w:ascii="Times New Roman" w:cs="Times New Roman" w:eastAsia="楷体" w:hAnsi="Times New Roman"/>
          <w:sz w:val="18"/>
          <w:szCs w:val="18"/>
        </w:rPr>
        <w:t xml:space="preserve">Token 分数图与被选中位置（VisDrone val）。上：无路由监督，分数图平坦，token 近似随机分布；下：本文，token 集中在目标上。颜色为 σ(s)（0–1 绝对刻度），白点为被选中的 token。</w:t>
      </w:r>
    </w:p>
    <w:p>
      <w:pPr>
        <w:spacing w:after="80" w:before="160"/>
      </w:pPr>
      <w:r>
        <w:rPr>
          <w:rFonts w:ascii="Times New Roman" w:cs="Times New Roman" w:eastAsia="楷体" w:hAnsi="Times New Roman"/>
          <w:b/>
          <w:bCs/>
          <w:sz w:val="22"/>
          <w:szCs w:val="22"/>
        </w:rPr>
        <w:t xml:space="preserve">5.5  跨光照分析</w:t>
      </w:r>
    </w:p>
    <w:p>
      <w:pPr>
        <w:keepNext/>
        <w:spacing w:after="60" w:before="160"/>
        <w:jc w:val="both"/>
      </w:pPr>
      <w:r>
        <w:rPr>
          <w:rFonts w:ascii="Times New Roman" w:cs="Times New Roman" w:eastAsia="楷体" w:hAnsi="Times New Roman"/>
          <w:b/>
          <w:bCs/>
          <w:sz w:val="18"/>
          <w:szCs w:val="18"/>
        </w:rPr>
        <w:t xml:space="preserve">表 4. </w:t>
      </w:r>
      <w:r>
        <w:rPr>
          <w:rFonts w:ascii="Times New Roman" w:cs="Times New Roman" w:eastAsia="楷体" w:hAnsi="Times New Roman"/>
          <w:sz w:val="18"/>
          <w:szCs w:val="18"/>
        </w:rPr>
        <w:t xml:space="preserve">DroneVehicle（RGB）上按光照条件拆分的 mAP</w:t>
      </w:r>
      <w:r>
        <w:rPr>
          <w:rFonts w:ascii="Times New Roman" w:cs="Times New Roman" w:eastAsia="楷体" w:hAnsi="Times New Roman"/>
          <w:sz w:val="18"/>
          <w:szCs w:val="18"/>
          <w:vertAlign w:val="subscript"/>
        </w:rPr>
        <w:t xml:space="preserve">50:95</w:t>
      </w:r>
      <w:r>
        <w:rPr>
          <w:rFonts w:ascii="Times New Roman" w:cs="Times New Roman" w:eastAsia="楷体" w:hAnsi="Times New Roman"/>
          <w:sz w:val="18"/>
          <w:szCs w:val="18"/>
        </w:rPr>
        <w:t xml:space="preserve">。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69"/>
        <w:gridCol w:w="1444"/>
        <w:gridCol w:w="1444"/>
        <w:gridCol w:w="1444"/>
        <w:gridCol w:w="1625"/>
      </w:tblGrid>
      <w:tr>
        <w:trPr>
          <w:tblHeader/>
        </w:trPr>
        <w:tc>
          <w:tcPr>
            <w:tcW w:type="dxa" w:w="306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配置</w:t>
            </w:r>
          </w:p>
        </w:tc>
        <w:tc>
          <w:tcPr>
            <w:tcW w:type="dxa" w:w="144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day</w:t>
            </w:r>
          </w:p>
        </w:tc>
        <w:tc>
          <w:tcPr>
            <w:tcW w:type="dxa" w:w="144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night</w:t>
            </w:r>
          </w:p>
        </w:tc>
        <w:tc>
          <w:tcPr>
            <w:tcW w:type="dxa" w:w="144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dark</w:t>
            </w:r>
          </w:p>
        </w:tc>
        <w:tc>
          <w:tcPr>
            <w:tcW w:type="dxa" w:w="162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Δ(night − day)</w:t>
            </w:r>
          </w:p>
        </w:tc>
      </w:tr>
      <w:tr>
        <w:tc>
          <w:tcPr>
            <w:tcW w:type="dxa" w:w="30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b/>
                <w:bCs/>
                <w:sz w:val="18"/>
                <w:szCs w:val="18"/>
              </w:rPr>
              <w:t xml:space="preserve">LiteGTR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30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− Token 路径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楷体" w:hAnsi="Times New Roman"/>
                <w:sz w:val="18"/>
                <w:szCs w:val="18"/>
              </w:rPr>
              <w:t xml:space="preserve">− 光照一致 EMA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2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after="160" w:before="40"/>
      </w:pPr>
      <w:r>
        <w:rPr>
          <w:rFonts w:ascii="Times New Roman" w:cs="Times New Roman" w:eastAsia="楷体" w:hAnsi="Times New Roman"/>
          <w:sz w:val="16"/>
          <w:szCs w:val="16"/>
        </w:rPr>
        <w:t xml:space="preserve">注：图像数 day / night / dark = [待补]。</w:t>
      </w:r>
    </w:p>
    <w:p>
      <w:pPr>
        <w:spacing w:after="120" w:before="240"/>
      </w:pPr>
      <w:r>
        <w:rPr>
          <w:rFonts w:ascii="Times New Roman" w:cs="Times New Roman" w:eastAsia="楷体" w:hAnsi="Times New Roman"/>
          <w:b/>
          <w:bCs/>
          <w:sz w:val="26"/>
          <w:szCs w:val="26"/>
        </w:rPr>
        <w:t xml:space="preserve">6  结论</w:t>
      </w:r>
    </w:p>
    <w:p>
      <w:pPr>
        <w:spacing w:after="60" w:line="300"/>
        <w:jc w:val="both"/>
      </w:pPr>
      <w:r>
        <w:rPr>
          <w:rFonts w:ascii="Times New Roman" w:cs="Times New Roman" w:eastAsia="楷体" w:hAnsi="Times New Roman"/>
          <w:color w:val="C00000"/>
          <w:sz w:val="21"/>
          <w:szCs w:val="21"/>
        </w:rPr>
        <w:t xml:space="preserve">【待补】实验完成后撰写。</w:t>
      </w:r>
    </w:p>
    <w:p>
      <w:pPr>
        <w:spacing w:after="120" w:before="240"/>
      </w:pPr>
      <w:r>
        <w:rPr>
          <w:rFonts w:ascii="Times New Roman" w:cs="Times New Roman" w:eastAsia="楷体" w:hAnsi="Times New Roman"/>
          <w:b/>
          <w:bCs/>
          <w:sz w:val="26"/>
          <w:szCs w:val="26"/>
        </w:rPr>
        <w:t xml:space="preserve">参考文献</w:t>
      </w:r>
    </w:p>
    <w:p>
      <w:pPr>
        <w:spacing w:after="60" w:line="300"/>
        <w:jc w:val="both"/>
      </w:pPr>
      <w:r>
        <w:rPr>
          <w:rFonts w:ascii="Times New Roman" w:cs="Times New Roman" w:eastAsia="楷体" w:hAnsi="Times New Roman"/>
          <w:color w:val="C00000"/>
          <w:sz w:val="21"/>
          <w:szCs w:val="21"/>
        </w:rPr>
        <w:t xml:space="preserve">【待补】RemDet (AAAI 2025)；LEAF-YOLO (ISWA 2025)；FBRT-YOLO (AAAI 2025)；EDNet (UIC 2024)；GFL；ConvNeXt；QueryDet (CVPR 2022)；CEASC (CVPR 2023)；CenterNet；NWD / AI-TOD；DQ-DETR (ECCV 2024)；SimD (IROS 2024)；VisDrone；DroneVehicle；DEIM (CVPR 2025)。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楷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楷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2026-09-23T15:41:25.240Z</dcterms:created>
  <dcterms:modified xsi:type="dcterms:W3CDTF">2026-09-23T15:41:25.243Z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