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32"/>
          <w:szCs w:val="32"/>
        </w:rPr>
        <w:t xml:space="preserve">LiteGTR：面向无人机小目标检测的轻量级全局 Token 精修网络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sz w:val="24"/>
          <w:szCs w:val="24"/>
        </w:rPr>
        <w:t xml:space="preserve">LiteGTR: Lightweight Global-Token Refinement for Small Object Detection in UAV Imagery</w:t>
      </w:r>
    </w:p>
    <w:p>
      <w:pPr>
        <w:spacing w:after="240"/>
        <w:jc w:val="center"/>
      </w:pPr>
      <w:r>
        <w:rPr>
          <w:rFonts w:ascii="Times New Roman" w:cs="Times New Roman" w:eastAsia="楷体" w:hAnsi="Times New Roman"/>
          <w:sz w:val="21"/>
          <w:szCs w:val="21"/>
        </w:rPr>
        <w:t xml:space="preserve">作者（待定）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24"/>
          <w:szCs w:val="24"/>
        </w:rPr>
        <w:t xml:space="preserve">摘  要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图像中的目标以小目标为主且分布密集，而机载平台又要求检测器参数少、延迟低、可部署。轻量检测器依赖局部卷积，难以获得全局上下文；引入全局建模的方法要么计算量随空间分辨率二次增长，要么依赖与数据相关的稀疏计算，导出到推理引擎时形状不固定。本文提出 LiteGTR，一个 2.32M 参数的单模态 RGB 检测器。LiteGTR 在 P3–P5 特征层上以固定预算、分区域的方式选出 56 个 token，经 token 混合建模全局关系后，通过几何感知写回将全局信息以残差形式写回特征图：每个 token 预测自身的各向异性高斯范围，使描述小目标的 token 只作用于其邻域。我们发现，仅靠检测损失和一致性约束训练的打分器会塌缩为平坦分数图，路由退化为随机选择；为此引入基于真值中心热力图的路由监督，并以光照扰动视角下的 EMA 教师约束路由对光照变化保持稳定。整个网络为静态形状，可直接导出 ONNX/TensorRT。在 VisDrone 上，LiteGTR 以 [xx] GFLOPs 取得 [xx]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，[实验结论待补]。</w:t>
      </w:r>
    </w:p>
    <w:p>
      <w:pPr>
        <w:spacing w:after="200" w:line="30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关键词：</w:t>
      </w:r>
      <w:r>
        <w:rPr>
          <w:rFonts w:ascii="Times New Roman" w:cs="Times New Roman" w:eastAsia="楷体" w:hAnsi="Times New Roman"/>
          <w:sz w:val="21"/>
          <w:szCs w:val="21"/>
        </w:rPr>
        <w:t xml:space="preserve">无人机目标检测；小目标检测；轻量级网络；Token 路由；边缘部署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1  引言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无人机航拍在交通监测、应急搜救和巡检中应用广泛。与自然图像不同，航拍图像视场大、目标小且密集：VisDrone 验证集约 68.5% 的实例面积小于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 像素，每张图平均约 71 个目标 [待 3.3 节实测替换]。图像缩放到 640 输入后，大量目标只覆盖一个 stride-8 特征单元的一部分。与此同时，机载计算平台对参数量、延迟和算子兼容性都有严格限制。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现有工作沿两条路线展开。其一是轻量 YOLO 类检测器 [LEAF-YOLO, RemDet, FBRT-YOLO]，通过改进局部特征提取与融合降低计算量，但感受野受限，在密集小目标场景中缺少区分相似目标所需的上下文。其二是引入全局建模：Transformer 类方法的注意力代价随位置数二次增长；QueryDet、CEASC 等稀疏方法只在部分位置计算，但稀疏位置的数量由输入决定，导出到 TensorRT 等引擎时出现动态形状和算子回退，推理端的加速难以兑现。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我们认为全局上下文并不需要在所有位置上计算。只要少量 token 落在目标所在位置，且写回时尊重每个 token 所描述区域的空间范围，就能以很低的代价为小目标补充上下文。基于这一观察，LiteGTR 在每个特征层上把特征图划分为固定网格，每个区域选出固定数量的 token，总预算为 56，所有形状在编译期确定。写回时，每个 token 预测一个各向异性高斯范围，与内容注意力共同决定写回权重。训练中我们观察到打分器会塌缩为平坦的分数图，因此进一步引入路由监督。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本文的贡献如下：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（1）提出固定预算的局部 top-k 路由与几何感知写回，以 O(N·HW) 的代价（N = 56）为特征图引入全局上下文，整网静态形状，可直接部署；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（2）揭示了仅靠门控梯度和一致性约束训练时打分器的塌缩现象（分数图归一化熵趋近 1），提出基于真值中心热力图的路由监督，并以光照扰动视角下的 EMA 教师约束路由的光照不变性；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（3）在 VisDrone 和 DroneVehicle 上，在统一训练协议下与参数量匹配的基线和同量级检测器对比，并按极小、微小、小目标分档报告精度，[实验结论待补]。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4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1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内容：横轴参数量（M，0–7），纵轴 AP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  <w:vertAlign w:val="subscript"/>
              </w:rPr>
              <w:t xml:space="preserve">S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（%）；气泡大小表示 GFLOPs。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点：LEAF-YOLO-N、RemDet-Tiny、EdgeYOLO-Tiny、PDWT-YOLO、LEAF-YOLO（引用值，空心）；YOLOv8n、YOLO11n、CSP-N、CSP-T（同协议复现，实心）；LiteGTR-S、LiteGTR（红色五角星）。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数据来源：表 3。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同量级轻量检测器在 VisDrone val 上的 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18"/>
          <w:szCs w:val="18"/>
        </w:rPr>
        <w:t xml:space="preserve">–参数量对比。LiteGTR 在更少参数下取得更高的小目标精度。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2  相关工作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【待补】轻量无人机检测；小目标 / 极小目标检测（NWD、RFLA、DQ-DETR、SimD）；稀疏与 token 化的全局建模（QueryDet、CEASC、Sparse DETR）。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3  准备工作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3.1  问题定义与记号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输入图像经 letterbox 缩放到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ℝ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3×640×640</w:t>
      </w:r>
      <w:r>
        <w:rPr>
          <w:rFonts w:ascii="Times New Roman" w:cs="Times New Roman" w:eastAsia="楷体" w:hAnsi="Times New Roman"/>
          <w:sz w:val="21"/>
          <w:szCs w:val="21"/>
        </w:rPr>
        <w:t xml:space="preserve">。骨干输出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}，经特征金字塔得到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{2, 3, 4, 5}，步长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= 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的尺寸为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，统一通道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= 64。在 640 输入下，P2–P5 的空间尺寸分别为 160、80、40、20。token 路径只作用于 P3–P5；P2 只经过局部卷积，以控制计算量。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为区分小目标内部的尺度差异，除 COCO 的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（面积 &lt;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）外，本文沿用 AI-TOD 的分档，按目标边长 √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a</w:t>
      </w:r>
      <w:r>
        <w:rPr>
          <w:rFonts w:ascii="Times New Roman" w:cs="Times New Roman" w:eastAsia="楷体" w:hAnsi="Times New Roman"/>
          <w:sz w:val="21"/>
          <w:szCs w:val="21"/>
        </w:rPr>
        <w:t xml:space="preserve"> 统计：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AP</m:t>
            </m:r>
          </m:e>
          <m:sub>
            <m:r>
              <m:t>vt</m:t>
            </m:r>
          </m:sub>
        </m:sSub>
        <m:r>
          <m:t>: √a∈[2,8),  </m:t>
        </m:r>
        <m:sSub>
          <m:sSubPr/>
          <m:e>
            <m:r>
              <m:t>AP</m:t>
            </m:r>
          </m:e>
          <m:sub>
            <m:r>
              <m:t>t</m:t>
            </m:r>
          </m:sub>
        </m:sSub>
        <m:r>
          <m:t>: √a∈[8,16),  </m:t>
        </m:r>
        <m:sSub>
          <m:sSubPr/>
          <m:e>
            <m:r>
              <m:t>AP</m:t>
            </m:r>
          </m:e>
          <m:sub>
            <m:r>
              <m:t>s</m:t>
            </m:r>
          </m:sub>
        </m:sSub>
        <m:r>
          <m:t>: √a∈[16,32),  </m:t>
        </m:r>
        <m:sSub>
          <m:sSubPr/>
          <m:e>
            <m:r>
              <m:t>AP</m:t>
            </m:r>
          </m:e>
          <m:sub>
            <m:r>
              <m:t>m</m:t>
            </m:r>
          </m:sub>
        </m:sSub>
        <m:r>
          <m:t>: √a∈[32,64)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3.2  检测头与训练目标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检测头采用 GFL [Li et al.]，在 P2–P5 的每个位置预测类别质量分数和边框分布。分类使用质量焦点损失（QFL），目标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为预测框与所分配真值的 IoU：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(σ)=−</m:t>
        </m:r>
        <m:sSup>
          <m:sSupPr/>
          <m:e>
            <m:d>
              <m:dPr/>
              <m:e>
                <m:r>
                  <m:t>|y−σ|</m:t>
                </m:r>
              </m:e>
            </m:d>
          </m:e>
          <m:sup>
            <m:r>
              <m:t>β</m:t>
            </m:r>
          </m:sup>
        </m:sSup>
        <m:d>
          <m:dPr/>
          <m:e>
            <m:r>
              <m:t>(1−y)log(1−σ)+y log σ</m:t>
            </m:r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边框的四条边距离各表示为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+ 1 个离散值上的分布（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16），用分布焦点损失（DFL）约束：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=−</m:t>
        </m:r>
        <m:d>
          <m:dPr/>
          <m:e>
            <m:d>
              <m:dPr/>
              <m:e>
                <m:sSub>
                  <m:sSubPr/>
                  <m:e>
                    <m:r>
                      <m:t>y</m:t>
                    </m:r>
                  </m:e>
                  <m:sub>
                    <m:r>
                      <m:t>i+1</m:t>
                    </m:r>
                  </m:sub>
                </m:sSub>
                <m:r>
                  <m:t>−y</m:t>
                </m:r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t>+</m:t>
            </m:r>
            <m:d>
              <m:dPr/>
              <m:e>
                <m:r>
                  <m:t>y−</m:t>
                </m:r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i+1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并与 GIoU 损失共同优化。正样本由 TaskAligned 分配器选取，对齐度量为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 =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α</w:t>
      </w:r>
      <w:r>
        <w:rPr>
          <w:rFonts w:ascii="Times New Roman" w:cs="Times New Roman" w:eastAsia="楷体" w:hAnsi="Times New Roman"/>
          <w:sz w:val="21"/>
          <w:szCs w:val="21"/>
        </w:rPr>
        <w:t xml:space="preserve">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β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为分类分数、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IoU，取 α = 1、β = 6、每个真值取 top-13 候选。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3.3  无人机图像的尺度统计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表 1 给出本文预处理（屏蔽 ignored 区域、去除 others 类）后 VisDrone 的尺度统计，分别在原图尺度和 640 输入尺度下计算。网络实际看到的是后者：在 640 输入下，[xx]% 的目标边长小于一个 P3 单元（8 像素）。这是本文在 P3 上分配最多 token、并用 P2 保留局部细节的依据。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VisDrone 尺度统计（本文预处理后）。按目标边长 √a（像素）分档，分别在原图尺度与 640 输入尺度下统计。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1"/>
        <w:gridCol w:w="913"/>
        <w:gridCol w:w="710"/>
        <w:gridCol w:w="811"/>
        <w:gridCol w:w="2231"/>
        <w:gridCol w:w="710"/>
        <w:gridCol w:w="710"/>
        <w:gridCol w:w="710"/>
        <w:gridCol w:w="710"/>
        <w:gridCol w:w="710"/>
      </w:tblGrid>
      <w:tr>
        <w:trPr>
          <w:tblHeader/>
        </w:trPr>
        <w:tc>
          <w:tcPr>
            <w:tcW w:type="dxa" w:w="81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划分</w:t>
            </w:r>
          </w:p>
        </w:tc>
        <w:tc>
          <w:tcPr>
            <w:tcW w:type="dxa" w:w="91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尺度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图像</w:t>
            </w:r>
          </w:p>
        </w:tc>
        <w:tc>
          <w:tcPr>
            <w:tcW w:type="dxa" w:w="81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实例</w:t>
            </w:r>
          </w:p>
        </w:tc>
        <w:tc>
          <w:tcPr>
            <w:tcW w:type="dxa" w:w="223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目标/图（均值 / 中位 / 最大）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&lt;8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8–16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16–32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32–64</w:t>
            </w:r>
          </w:p>
        </w:tc>
        <w:tc>
          <w:tcPr>
            <w:tcW w:type="dxa" w:w="7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≥64</w:t>
            </w:r>
          </w:p>
        </w:tc>
      </w:tr>
      <w:tr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train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原图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6471</w:t>
            </w:r>
          </w:p>
        </w:tc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2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 / — / 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train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640 输入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6471</w:t>
            </w:r>
          </w:p>
        </w:tc>
        <w:tc>
          <w:tcPr>
            <w:tcW w:type="dxa" w:w="8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22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 / — / 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1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val</w:t>
            </w:r>
          </w:p>
        </w:tc>
        <w:tc>
          <w:tcPr>
            <w:tcW w:type="dxa" w:w="913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原图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548</w:t>
            </w:r>
          </w:p>
        </w:tc>
        <w:tc>
          <w:tcPr>
            <w:tcW w:type="dxa" w:w="81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223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 / — / —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1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val</w:t>
            </w:r>
          </w:p>
        </w:tc>
        <w:tc>
          <w:tcPr>
            <w:tcW w:type="dxa" w:w="9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640 输入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548</w:t>
            </w:r>
          </w:p>
        </w:tc>
        <w:tc>
          <w:tcPr>
            <w:tcW w:type="dxa" w:w="81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223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 / — / 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注：由 tools/analyze_dataset.py 统计。参考值：公开统计中 VisDrone val 面积 &lt; 16² 的目标约占 30.8%，&lt; 32² 的约占 68.5%，大目标约占 2.8%。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0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2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内容：两条直方图（原图 / 640 输入），横轴目标边长（对数坐标），纵轴实例占比；竖虚线标注 stride 4、8、16、32。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数据来源：tools/analyze_dataset.py 输出。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VisDrone 目标边长分布（原图尺度与 640 输入尺度）。竖线标出 P2–P5 的步长 4/8/16/32 像素。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4  方法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4.1  总体结构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LiteGTR 的结构如图 3 所示。TinyNeXt 骨干提取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–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，经金字塔投影与 FPN 得到 P2–P5，每层再经过局部卷积路径。P3–P5 进入 token 路径：固定预算局部路由选出 56 个 token，token 混合器在 token 之间建模全局关系，几何感知写回把结果以残差形式写回 P3–P5。P2 与写回后的 P3′–P5′ 送入 GFL 检测头。路由监督和 EMA 教师只在训练时使用，不参与推理。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3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(a) 输入航拍图 → TinyNeXt Stage1–4（32×160² / 64×80² / 128×40² / 192×20²）→ 1×1+LN → FPN（自顶向下相加）→ DWSep 平滑 → 局部卷积路径（P2 ×1，P3–P5 ×2）。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P3/P4/P5 向下取 token（橙色，32/16/8），经 Token Mixer、几何写回，红色箭头经 ⊕ 写回得到 P3′/P4′/P5′；P2 直连检测头。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(c) 4×4 / 4×4 / 2×2 网格，每区域 top-k 白点。(d) 内容项 ⊕ 高斯先验 → softmax → Σ → γ·Proj → ⊕；配各向异性高斯椭圆示意。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(e) 真值中心热力图 → focal loss 监督分数图；光照扰动图像 → EMA 教师 → KL 一致性。右下角图例。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LiteGTR 总体结构。(a) 整体流程；(b) TinyNeXt Block；(c) 固定预算局部路由；(d) 几何感知写回；(e) 仅训练使用的路由监督与光照一致 EMA 教师（虚线）。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4.2  骨干与特征金字塔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骨干采用 ConvNeXt 风格的 TinyNeXt：4×4 步长为 4 的 stem 后接四个阶段，通道为 [32, 64, 128, 192]，深度为 [2, 4, 8, 2]，阶段间以 LN 加 2×2 步长卷积下采样。每个 block 为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y=x+λ⊙</m:t>
        </m:r>
        <m:sSub>
          <m:sSubPr/>
          <m:e>
            <m:r>
              <m:t>W</m:t>
            </m:r>
          </m:e>
          <m:sub>
            <m:r>
              <m:t>2</m:t>
            </m:r>
          </m:sub>
        </m:sSub>
        <m:r>
          <m:t> GELU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t> LN</m:t>
            </m:r>
            <m:d>
              <m:dPr/>
              <m:e>
                <m:sSub>
                  <m:sSubPr/>
                  <m:e>
                    <m:r>
                      <m:t>DW</m:t>
                    </m:r>
                  </m:e>
                  <m:sub>
                    <m:r>
                      <m:t>7×7</m:t>
                    </m:r>
                  </m:sub>
                </m:sSub>
                <m:r>
                  <m:t>(x)</m:t>
                </m:r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cs="Times New Roman" w:eastAsia="楷体" w:hAnsi="Times New Roman"/>
          <w:sz w:val="21"/>
          <w:szCs w:val="21"/>
        </w:rPr>
        <w:t xml:space="preserve"> 将通道扩展 4 倍，λ 为逐通道缩放系数。相对原始配置，我们缩减了对小目标贡献最小的第 4 阶段，骨干参数由 3.76M 降至 2.03M。金字塔投影将各层统一到 64 通道并自顶向下融合：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=Φ</m:t>
        </m:r>
        <m:d>
          <m:dPr/>
          <m:e>
            <m:r>
              <m:t>LN</m:t>
            </m:r>
            <m:d>
              <m:dPr/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  <m:sSub>
                  <m:sSubPr/>
                  <m:e>
                    <m:r>
                      <m:t>C</m:t>
                    </m:r>
                  </m:e>
                  <m:sub>
                    <m:r>
                      <m:t>l</m:t>
                    </m:r>
                  </m:sub>
                </m:sSub>
              </m:e>
            </m:d>
            <m:r>
              <m:t>+Up</m:t>
            </m:r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l+1</m:t>
                    </m:r>
                  </m:sub>
                </m:sSub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Φ 为深度可分离卷积（DW 3×3 + PW 1×1）。之后每层经过局部卷积路径：P2 使用 1 个深度可分离卷积块，P3–P5 各使用 2 个，负责边缘、纹理与相邻目标的区分。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4.3  固定预算局部路由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对每个 token 层，打分器（3×3 卷积–BN–SiLU–1×1 卷积）输出与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同尺寸（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）的分数图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。全局 top-k 容易集中在少数显著区域，而航拍场景中目标分散，因此我们把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划分为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个区域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}，在每个区域内取前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个位置：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=</m:t>
        </m:r>
        <m:nary>
          <m:naryPr>
            <m:chr m:val="∑"/>
            <m:limLoc m:val="undOvr"/>
          </m:naryPr>
          <m:sub>
            <m:r>
              <m:t>r</m:t>
            </m:r>
          </m:sub>
          <m:sup/>
          <m:e>
            <m:r>
              <m:t>TopK</m:t>
            </m:r>
            <m:d>
              <m:dPr/>
              <m:e>
                <m:sSub>
                  <m:sSubPr/>
                  <m:e>
                    <m:r>
                      <m:t>k</m:t>
                    </m:r>
                  </m:e>
                  <m:sub>
                    <m:r>
                      <m:t>l</m:t>
                    </m:r>
                  </m:sub>
                </m:sSub>
                <m:r>
                  <m:t>,{</m:t>
                </m:r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  <m:r>
                  <m:t>(p)|p∈</m:t>
                </m:r>
                <m:sSub>
                  <m:sSubPr/>
                  <m:e>
                    <m:r>
                      <m:t>R</m:t>
                    </m:r>
                  </m:e>
                  <m:sub>
                    <m:r>
                      <m:t>r</m:t>
                    </m:r>
                  </m:sub>
                </m:sSub>
                <m:r>
                  <m:t>}</m:t>
                </m:r>
              </m:e>
            </m:d>
          </m:e>
        </m:nary>
        <m:r>
          <m:t>,   </m:t>
        </m:r>
        <m:r>
          <m:t>|</m:t>
        </m:r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|=</m:t>
        </m:r>
        <m:sSup>
          <m:sSupPr/>
          <m:e>
            <m:sSub>
              <m:sSubPr/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  <m:sup>
            <m:r>
              <m:t>2</m:t>
            </m:r>
          </m:sup>
        </m:sSup>
        <m:sSub>
          <m:sSubPr/>
          <m:e>
            <m:r>
              <m:t>k</m:t>
            </m:r>
          </m:e>
          <m:sub>
            <m:r>
              <m:t>l</m:t>
            </m:r>
          </m:sub>
        </m:sSub>
      </m:oMath>
      <w:r>
        <w:rPr>
          <w:rFonts w:ascii="Times New Roman" w:cs="Times New Roman" w:eastAsia="楷体" w:hAnsi="Times New Roman"/>
          <w:sz w:val="21"/>
          <w:szCs w:val="21"/>
        </w:rPr>
        <w:t xml:space="preserve">	(6)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P3、P4、P5 的网格与每区域数量分别为 4×4×2、4×4×1、2×2×2，对应 32、16、8 个 token，共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在编译期确定，路由不含数据相关的控制流。top-k 只提供索引，本身不可导；为使检测损失能够影响打分器，被选中的特征乘以分数门控：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=σ</m:t>
        </m:r>
        <m:d>
          <m:dPr/>
          <m:e>
            <m:sSub>
              <m:sSubPr/>
              <m:e>
                <m:r>
                  <m:t>s</m:t>
                </m:r>
              </m:e>
              <m:sub>
                <m:r>
                  <m:t>l</m:t>
                </m:r>
              </m:sub>
            </m:sSub>
            <m:r>
              <m:t>(</m:t>
            </m:r>
            <m:sSub>
              <m:sSubPr/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d>
        <m:r>
          <m:t>·</m:t>
        </m:r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i</m:t>
            </m:r>
          </m:sub>
        </m:sSub>
        <m:r>
          <m:t>),   </m:t>
        </m:r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=</m:t>
        </m:r>
        <m:d>
          <m:dPr/>
          <m:e>
            <m:f>
              <m:num>
                <m:sSub>
                  <m:sSubPr/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f>
              <m:num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H</m:t>
                    </m:r>
                  </m:e>
                  <m:sub>
                    <m:r>
                      <m:t>l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(7)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token 源位置的归一化中心，供后续模块使用。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4.4  Token 混合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56 个 token 拼接后加入坐标嵌入与层级嵌入，经一层单头自注意力与 FFN（扩展比 2）建模全局关系：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z</m:t>
            </m:r>
          </m:e>
          <m:sub>
            <m:r>
              <m:t>i</m:t>
            </m:r>
          </m:sub>
        </m:sSub>
        <m:r>
          <m:t>=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W</m:t>
            </m:r>
          </m:e>
          <m:sub>
            <m:r>
              <m:t>c</m:t>
            </m:r>
          </m:sub>
        </m:sSub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e</m:t>
            </m:r>
          </m:e>
          <m:sub>
            <m:r>
              <m:t>l(i)</m:t>
            </m:r>
          </m:sub>
        </m:sSub>
        <m:r>
          <m:t>,   </m:t>
        </m:r>
        <m:r>
          <m:t>Z′=Z+MHSA(LN Z),   </m:t>
        </m:r>
        <m:r>
          <m:t>Z″=Z′+FFN(LN Z′)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(8)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由于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很小，这一步的代价与特征图分辨率无关。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4.5  几何感知写回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一个 token 概括的是特定尺度上的特定区域。若把它均匀广播或只按内容相似度写回，描述一辆 12 像素汽车的 token 会扩散到整个特征图。我们让每个 token 预测自身在两个轴上的范围：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=softplus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s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d>
        <m:r>
          <m:t>+</m:t>
        </m:r>
        <m:sSub>
          <m:sSubPr/>
          <m:e>
            <m:r>
              <m:t>σ</m:t>
            </m:r>
          </m:e>
          <m:sub>
            <m:r>
              <m:t>min</m:t>
            </m:r>
          </m:sub>
        </m:sSub>
        <m:r>
          <m:t>,   </m:t>
        </m:r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∈</m:t>
        </m:r>
        <m:sSup>
          <m:sSupPr/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楷体" w:hAnsi="Times New Roman"/>
          <w:sz w:val="21"/>
          <w:szCs w:val="21"/>
        </w:rPr>
        <w:t xml:space="preserve">	(9)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对目标层上归一化坐标为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q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的位置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，写回注意力由内容项与高斯几何先验相加得到：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C(p,i)=</m:t>
        </m:r>
        <m:f>
          <m:num>
            <m:r>
              <m:t>⟨</m:t>
            </m:r>
            <m:sSub>
              <m:sSubPr/>
              <m:e>
                <m:r>
                  <m:t>W</m:t>
                </m:r>
              </m:e>
              <m:sub>
                <m:r>
                  <m:t>q</m:t>
                </m:r>
              </m:sub>
            </m:sSub>
            <m:sSub>
              <m:sSubPr/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t>,</m:t>
            </m:r>
            <m:sSub>
              <m:sSubPr/>
              <m:e>
                <m:r>
                  <m:t>W</m:t>
                </m:r>
              </m:e>
              <m:sub>
                <m:r>
                  <m:t>k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t>⟩</m:t>
            </m:r>
          </m:num>
          <m:den>
            <m:r>
              <m:t>√d</m:t>
            </m:r>
          </m:den>
        </m:f>
        <m:r>
          <m:t>,   </m:t>
        </m:r>
        <m:r>
          <m:t>G(p,i)=−</m:t>
        </m:r>
        <m:f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</m:naryPr>
          <m:sub>
            <m:r>
              <m:t>a∈{x,y}</m:t>
            </m:r>
          </m:sub>
          <m:sup/>
          <m:e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p,a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i,a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i,a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(10)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A(p,i)=</m:t>
        </m:r>
        <m:sSub>
          <m:sSubPr/>
          <m:e>
            <m:r>
              <m:t>softmax</m:t>
            </m:r>
          </m:e>
          <m:sub>
            <m:r>
              <m:t>i</m:t>
            </m:r>
          </m:sub>
        </m:sSub>
        <m:d>
          <m:dPr/>
          <m:e>
            <m:r>
              <m:t>C(p,i)+G(p,i)</m:t>
            </m:r>
          </m:e>
        </m:d>
        <m:r>
          <m:t>,   </m:t>
        </m:r>
        <m:sSub>
          <m:sSubPr/>
          <m:e>
            <m:r>
              <m:t>f′</m:t>
            </m:r>
          </m:e>
          <m:sub>
            <m:r>
              <m:t>p</m:t>
            </m:r>
          </m:sub>
        </m:sSub>
        <m:r>
          <m:t>=</m:t>
        </m:r>
        <m:sSub>
          <m:sSubPr/>
          <m:e>
            <m:r>
              <m:t>f</m:t>
            </m:r>
          </m:e>
          <m:sub>
            <m:r>
              <m:t>p</m:t>
            </m:r>
          </m:sub>
        </m:sSub>
        <m:r>
          <m:t>+γ </m:t>
        </m:r>
        <m:sSub>
          <m:sSubPr/>
          <m:e>
            <m:r>
              <m:t>W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A(p,i) </m:t>
            </m:r>
            <m:sSub>
              <m:sSubPr/>
              <m:e>
                <m:r>
                  <m:t>W</m:t>
                </m:r>
              </m:e>
              <m:sub>
                <m:r>
                  <m:t>v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(11)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γ 为可学习标量并初始化为 0，训练从纯局部卷积的解出发，逐步引入全局路径；残差形式保证小目标的局部细节不会被替换。σ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0.02（归一化坐标）。写回作用于 P3–P5，各层权重独立。去掉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即退化为内容注意力，这是 5.4 节检验几何先验的消融。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4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4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内容：一张 P3 特征图网格上叠加若干高斯椭圆（窄：车辆、行人；宽：道路、建筑），每个椭圆中心为 token 位置 c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  <w:vertAlign w:val="subscript"/>
              </w:rPr>
              <w:t xml:space="preserve">i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，标注 σ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  <w:vertAlign w:val="subscript"/>
              </w:rPr>
              <w:t xml:space="preserve">i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右侧：同一位置 p 的写回权重分解为 内容项 C(p,i) + 几何项 G(p,i)。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4. </w:t>
      </w:r>
      <w:r>
        <w:rPr>
          <w:rFonts w:ascii="Times New Roman" w:cs="Times New Roman" w:eastAsia="楷体" w:hAnsi="Times New Roman"/>
          <w:sz w:val="18"/>
          <w:szCs w:val="18"/>
        </w:rPr>
        <w:t xml:space="preserve">几何感知写回示意。不同 token 预测的高斯范围不同：落在小目标上的 token 范围窄，只作用于邻域；描述背景与场景的 token 范围宽。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4.6  路由监督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仅靠分数门控，打分器得不到“该选哪里”的明确信号：门控只是逐 token 的缩放，后续层可以吸收；一致性约束（4.7 节）在两个分数图相同时即为零，平坦分数图也满足这一条件；打分器输出层的权重衰减又持续把分数拉向常数。实测中，未加监督的模型训练到第 135 轮时 P3 分数图的归一化熵为 0.999997（分数标准差约 0.01），且随训练单调上升，路由退化为随机选择。为此，我们用真值中心热力图监督每层分数图：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H</m:t>
            </m:r>
          </m:e>
          <m:sub>
            <m:r>
              <m:t>l</m:t>
            </m:r>
          </m:sub>
        </m:sSub>
        <m:r>
          <m:t>(p)=</m:t>
        </m:r>
        <m:sSub>
          <m:sSubPr/>
          <m:e>
            <m:r>
              <m:t>max</m:t>
            </m:r>
          </m:e>
          <m:sub>
            <m:r>
              <m:t>j</m:t>
            </m:r>
          </m:sub>
        </m:sSub>
        <m:r>
          <m:t> exp</m:t>
        </m:r>
        <m:d>
          <m:dPr/>
          <m:e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j,x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j,y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,   </m:t>
        </m:r>
        <m:sSub>
          <m:sSubPr/>
          <m:e>
            <m:r>
              <m:t>σ</m:t>
            </m:r>
          </m:e>
          <m:sub>
            <m:r>
              <m:t>j,x</m:t>
            </m:r>
          </m:sub>
        </m:sSub>
        <m:r>
          <m:t>=max</m:t>
        </m:r>
        <m:d>
          <m:dPr/>
          <m:e>
            <m:r>
              <m:t>ρ</m:t>
            </m:r>
            <m:f>
              <m:num>
                <m:sSub>
                  <m:sSubPr/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</m:num>
              <m:den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sSub>
              <m:sSubPr/>
              <m:e>
                <m:r>
                  <m:t>σ</m:t>
                </m:r>
              </m:e>
              <m:sub>
                <m:r>
                  <m:t>min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(12)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x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,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) 为第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个真值框中心在该层网格上的坐标，ρ = 1/6，σ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0.5 个单元，σ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j,y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同理；中心所在单元置 1 作为正样本。每层都监督全部目标，极小目标在粗层上也保有最小半径，因此路由由目标密度驱动。损失采用 CenterNet 的惩罚衰减焦点损失，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ŝ</w:t>
      </w:r>
      <w:r>
        <w:rPr>
          <w:rFonts w:ascii="Times New Roman" w:cs="Times New Roman" w:eastAsia="楷体" w:hAnsi="Times New Roman"/>
          <w:sz w:val="21"/>
          <w:szCs w:val="21"/>
        </w:rPr>
        <w:t xml:space="preserve"> = σ(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)：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=−</m:t>
        </m:r>
        <m:f>
          <m:num>
            <m:r>
              <m:t>1</m:t>
            </m:r>
          </m:num>
          <m:den>
            <m:sSub>
              <m:sSubPr/>
              <m:e>
                <m:r>
                  <m:t>N</m:t>
                </m:r>
              </m:e>
              <m:sub>
                <m:r>
                  <m:t>pos</m:t>
                </m:r>
              </m:sub>
            </m:sSub>
          </m:den>
        </m:f>
        <m:nary>
          <m:naryPr>
            <m:chr m:val="∑"/>
            <m:limLoc m:val="undOvr"/>
          </m:naryPr>
          <m:sub>
            <m:r>
              <m:t>p</m:t>
            </m:r>
          </m:sub>
          <m:sup/>
          <m:e>
            <m:r>
              <m:t>{</m:t>
            </m:r>
            <m:sSup>
              <m:sSupPr/>
              <m:e>
                <m:d>
                  <m:dPr/>
                  <m:e>
                    <m:r>
                      <m:t>1−ŝ</m:t>
                    </m:r>
                  </m:e>
                </m:d>
              </m:e>
              <m:sup>
                <m:r>
                  <m:t>α</m:t>
                </m:r>
              </m:sup>
            </m:sSup>
            <m:r>
              <m:t>log ŝ,  H(p)=1;   </m:t>
            </m:r>
            <m:sSup>
              <m:sSupPr/>
              <m:e>
                <m:d>
                  <m:dPr/>
                  <m:e>
                    <m:r>
                      <m:t>1−H(p)</m:t>
                    </m:r>
                  </m:e>
                </m:d>
              </m:e>
              <m:sup>
                <m:r>
                  <m:t>β</m:t>
                </m:r>
              </m:sup>
            </m:sSup>
            <m:sSup>
              <m:sSupPr/>
              <m:e>
                <m:r>
                  <m:t>ŝ</m:t>
                </m:r>
              </m:e>
              <m:sup>
                <m:r>
                  <m:t>α</m:t>
                </m:r>
              </m:sup>
            </m:sSup>
            <m:r>
              <m:t>log(1−ŝ),  否则}</m:t>
            </m:r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取 α = 2、β = 4。同时，打分器输出层的 1×1 卷积不施加权重衰减。该监督只在训练时计算，推理图与参数量不变。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4.7  光照一致的 EMA 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DroneVehicle 等数据含大量夜间与低照度图像，我们希望 token 的位置不随光照变化。EMA 教师为打分器的滑动平均副本，动量在前 1000 步内预热：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←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+</m:t>
        </m:r>
        <m:d>
          <m:dPr/>
          <m:e>
            <m:r>
              <m:t>1−</m:t>
            </m:r>
            <m:sSub>
              <m:sSubPr/>
              <m:e>
                <m:r>
                  <m:t>m</m:t>
                </m:r>
              </m:e>
              <m:sub>
                <m:r>
                  <m:t>n</m:t>
                </m:r>
              </m:sub>
            </m:sSub>
          </m:e>
        </m:d>
        <m:sSub>
          <m:sSubPr/>
          <m:e>
            <m:r>
              <m:t>θ</m:t>
            </m:r>
          </m:e>
          <m:sub>
            <m:r>
              <m:t>S</m:t>
            </m:r>
          </m:sub>
        </m:sSub>
        <m:r>
          <m:t>,   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r>
          <m:t>=min</m:t>
        </m:r>
        <m:d>
          <m:dPr/>
          <m:e>
            <m:r>
              <m:t>m,</m:t>
            </m:r>
            <m:f>
              <m:num>
                <m:r>
                  <m:t>1+n</m:t>
                </m:r>
              </m:num>
              <m:den>
                <m:r>
                  <m:t>10+n</m:t>
                </m:r>
              </m:den>
            </m:f>
          </m:e>
        </m:d>
        <m:r>
          <m:t>,   m=0.999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学生使用原图，教师使用同一批图像的光照扰动视角：逐样本亮度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b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1.4)、对比度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1.4)、gamma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U(0.7, 1.5)、高斯噪声标准差 ~ U(0, 0.03)，几何不变，因此两张分数图逐像素对齐：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Ĩ=clip</m:t>
        </m:r>
        <m:d>
          <m:dPr/>
          <m:e>
            <m:sSup>
              <m:sSupPr/>
              <m:e>
                <m:d>
                  <m:dPr/>
                  <m:e>
                    <m:r>
                      <m:t>c(bI−μ)+μ</m:t>
                    </m:r>
                  </m:e>
                </m:d>
              </m:e>
              <m:sup>
                <m:r>
                  <m:t>g</m:t>
                </m:r>
              </m:sup>
            </m:sSup>
            <m:r>
              <m:t>+ε</m:t>
            </m:r>
          </m:e>
        </m:d>
        <m:r>
          <m:t>,   </m:t>
        </m:r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=</m:t>
        </m:r>
        <m:f>
          <m:num>
            <m:r>
              <m:t>1</m:t>
            </m:r>
          </m:num>
          <m:den>
            <m:r>
              <m:t>|L|</m:t>
            </m:r>
          </m:den>
        </m:f>
        <m:nary>
          <m:naryPr>
            <m:chr m:val="∑"/>
            <m:limLoc m:val="undOvr"/>
          </m:naryPr>
          <m:sub>
            <m:r>
              <m:t>l</m:t>
            </m:r>
          </m:sub>
          <m:sup/>
          <m:e>
            <m:r>
              <m:t>KL</m:t>
            </m:r>
            <m:d>
              <m:dPr/>
              <m:e>
                <m:r>
                  <m:t>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T</m:t>
                    </m:r>
                  </m:sup>
                </m:sSubSup>
                <m:r>
                  <m:t>)‖softmax(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S</m:t>
                    </m:r>
                  </m:sup>
                </m:sSubSup>
                <m:r>
                  <m:t>)</m:t>
                </m:r>
              </m:e>
            </m:d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教师分支只做一次额外前向，不反传；BN 在该分支中使用批统计但不更新滑动统计量，扰动图像不会影响验证时的统计。有了 4.6 节的监督，分数图不再平坦，“光照变化下保持一致”不再能被平凡满足。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4.8  训练目标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L=</m:t>
        </m:r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+2</m:t>
        </m:r>
        <m:sSub>
          <m:sSubPr/>
          <m:e>
            <m:r>
              <m:t>L</m:t>
            </m:r>
          </m:e>
          <m:sub>
            <m:r>
              <m:t>GIoU</m:t>
            </m:r>
          </m:sub>
        </m:sSub>
        <m:r>
          <m:t>+0.25</m:t>
        </m:r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,   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r>
          <m:t>=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r>
          <m:t>=0.5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(16)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4.9  复杂度与部署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 在 640 输入下有 6400 个位置。对其做全局自注意力的代价为 O((HW)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C)；LiteGTR 中 token 混合为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)，写回为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·HW·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56。路由的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</w:rPr>
        <w:t xml:space="preserve">、网格划分与所有张量形状均为常量，ONNX 以静态形状导出，测试中若出现动态维度即判为失败。表 2 给出各模块的参数与计算量。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LiteGTR 各模块参数量（640×640 输入）。参数量不含仅训练使用的 EMA 教师（56K）。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7"/>
        <w:gridCol w:w="1264"/>
        <w:gridCol w:w="5415"/>
      </w:tblGrid>
      <w:tr>
        <w:trPr>
          <w:tblHeader/>
        </w:trPr>
        <w:tc>
          <w:tcPr>
            <w:tcW w:type="dxa" w:w="234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模块</w:t>
            </w:r>
          </w:p>
        </w:tc>
        <w:tc>
          <w:tcPr>
            <w:tcW w:type="dxa" w:w="126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参数量</w:t>
            </w:r>
          </w:p>
        </w:tc>
        <w:tc>
          <w:tcPr>
            <w:tcW w:type="dxa" w:w="541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TinyNeXt 骨干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2.03M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[32,64,128,192] × [2,4,8,2]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金字塔投影 + FPN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47K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64 通道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局部卷积路径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P2 ×1，P3–P5 ×2 DWSep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Token 打分器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56K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P3/P4/P5 各一个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Token 混合器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 层，单头，FFN ×2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几何写回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50K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P3–P5，各层独立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GFL 检测头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74K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P2–P5，reg_max = 16</w:t>
            </w:r>
          </w:p>
        </w:tc>
      </w:tr>
      <w:tr>
        <w:tc>
          <w:tcPr>
            <w:tcW w:type="dxa" w:w="2347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合计（LiteGTR）</w:t>
            </w:r>
          </w:p>
        </w:tc>
        <w:tc>
          <w:tcPr>
            <w:tcW w:type="dxa" w:w="1264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2.32M</w:t>
            </w:r>
          </w:p>
        </w:tc>
        <w:tc>
          <w:tcPr>
            <w:tcW w:type="dxa" w:w="5415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4.93G MACs（≈9.9 GFLOPs），另含注意力矩阵乘约 0.06G</w:t>
            </w:r>
          </w:p>
        </w:tc>
      </w:tr>
      <w:tr>
        <w:tc>
          <w:tcPr>
            <w:tcW w:type="dxa" w:w="23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合计（LiteGTR-S）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1.22M</w:t>
            </w:r>
          </w:p>
        </w:tc>
        <w:tc>
          <w:tcPr>
            <w:tcW w:type="dxa" w:w="54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2.49G MACs（≈5.0 GFLOPs）</w:t>
            </w: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注：由 tools/profile_model.py（thop）测得；thop 不统计注意力中的矩阵乘，已单独给出。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5  实验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5.1  数据集与评测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VisDrone2019-DET</w:t>
      </w:r>
      <w:r>
        <w:rPr>
          <w:rFonts w:ascii="Times New Roman" w:cs="Times New Roman" w:eastAsia="楷体" w:hAnsi="Times New Roman"/>
          <w:sz w:val="21"/>
          <w:szCs w:val="21"/>
        </w:rPr>
        <w:t xml:space="preserve">：6471 张训练、548 张验证图像，10 类。ignored 区域以填充值屏蔽，others 类剔除。所有消融在 val 上报告。</w:t>
      </w: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DroneVehicle</w:t>
      </w:r>
      <w:r>
        <w:rPr>
          <w:rFonts w:ascii="Times New Roman" w:cs="Times New Roman" w:eastAsia="楷体" w:hAnsi="Times New Roman"/>
          <w:sz w:val="21"/>
          <w:szCs w:val="21"/>
        </w:rPr>
        <w:t xml:space="preserve">：使用 RGB 模态、水平框，按亮度把图像标注为 day / night / dark，用于跨光照分析。评测使用 COCO API（maxDets = 100），另按 3.1 节分档报告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21"/>
          <w:szCs w:val="21"/>
        </w:rPr>
        <w:t xml:space="preserve">、AP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。同量级模型的外部结果评测协议不一，单独标注。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5.2  实现细节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所有模型（含基线）从零训练 200 轮，输入 640，batch 16，AdamW（lr = 1×10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cs="Times New Roman" w:eastAsia="楷体" w:hAnsi="Times New Roman"/>
          <w:sz w:val="21"/>
          <w:szCs w:val="21"/>
        </w:rPr>
        <w:t xml:space="preserve">，weight decay = 0.05），梯度裁剪 10。学习率先线性预热 3 轮，保持峰值至第 100 轮，再余弦衰减至 1%。Mosaic 概率 0.5，最后 10 轮关闭。模型权重 EMA 衰减 0.9999，验证与保存均使用 EMA 权重。混合精度训练，单卡 [GPU 型号待补]。基线只替换骨干，复用相同的 neck、检测头、损失、分配器、数据增强与训练日程，并按参数量与 LiteGTR 配对。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5.3  与现有方法的比较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VisDrone2019-DET val 上的比较。上半部分为引用的已发表结果（评测协议与训练轮数各不相同，仅供参考）；下半部分为本文在统一协议下训练与评测。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1045"/>
        <w:gridCol w:w="665"/>
        <w:gridCol w:w="950"/>
        <w:gridCol w:w="855"/>
        <w:gridCol w:w="1045"/>
        <w:gridCol w:w="855"/>
        <w:gridCol w:w="760"/>
        <w:gridCol w:w="951"/>
      </w:tblGrid>
      <w:tr>
        <w:trPr>
          <w:tblHeader/>
        </w:trPr>
        <w:tc>
          <w:tcPr>
            <w:tcW w:type="dxa" w:w="19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104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66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轮数</w:t>
            </w:r>
          </w:p>
        </w:tc>
        <w:tc>
          <w:tcPr>
            <w:tcW w:type="dxa" w:w="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85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104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85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76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9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延迟(ms)</w:t>
            </w:r>
          </w:p>
        </w:tc>
      </w:tr>
      <w:tr>
        <w:tc>
          <w:tcPr>
            <w:tcW w:type="dxa" w:w="9026"/>
            <w:gridSpan w:val="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引用结果†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LEAF-YOLO-N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5.6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21.9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39.7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14.0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16.2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a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EDNet-Tiny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UIC'24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1.8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19.5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34.1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2.0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b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YOLO26n-P2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2.40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6.5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33.1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2026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2.63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9.9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20.4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34.9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RemDet-Tiny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AAAI'25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3.2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4.6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c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37.1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12.7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4.28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20.9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28.2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48.3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20.0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21.7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a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EdgeYOLO-Tiny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5.5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27.2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38.5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12.4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d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PDWT-YOLO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6.44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24.5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24.3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42.6</w:t>
            </w: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15.9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d</w:t>
            </w: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26"/>
            <w:gridSpan w:val="9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统一协议（本文训练，200 轮，从零）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YOLOv8n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YOLO11n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CSP-T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1.17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≈4.4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CSP-N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2.25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≈7.1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LiteGTR-S（本文）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1.22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≈5.0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LiteGTR（本文）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10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5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† 数据取自作者公开的代码仓库 README 或训练日志。a：RTX 3090，PyTorch FP16，batch 1；b：A100，TensorRT；c：mmdet 统计口径，可能为 MACs；d：由 LEAF-YOLO 作者测得。YOLOv8n/YOLO11n 的 Params/GFLOPs 按 10 类模型实测填写。空白处待实验填写。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4. </w:t>
      </w:r>
      <w:r>
        <w:rPr>
          <w:rFonts w:ascii="Times New Roman" w:cs="Times New Roman" w:eastAsia="楷体" w:hAnsi="Times New Roman"/>
          <w:sz w:val="18"/>
          <w:szCs w:val="18"/>
        </w:rPr>
        <w:t xml:space="preserve">细分尺度精度（VisDrone val）。所有模型用同一评测脚本计算；外部模型使用其公开权重重新评测。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21"/>
        <w:gridCol w:w="1128"/>
        <w:gridCol w:w="940"/>
        <w:gridCol w:w="940"/>
        <w:gridCol w:w="940"/>
        <w:gridCol w:w="940"/>
        <w:gridCol w:w="1317"/>
      </w:tblGrid>
      <w:tr>
        <w:trPr>
          <w:tblHeader/>
        </w:trPr>
        <w:tc>
          <w:tcPr>
            <w:tcW w:type="dxa" w:w="282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11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9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9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t</w:t>
            </w:r>
          </w:p>
        </w:tc>
        <w:tc>
          <w:tcPr>
            <w:tcW w:type="dxa" w:w="9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9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m</w:t>
            </w:r>
          </w:p>
        </w:tc>
        <w:tc>
          <w:tcPr>
            <w:tcW w:type="dxa" w:w="131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（COCO）</w:t>
            </w:r>
          </w:p>
        </w:tc>
      </w:tr>
      <w:tr>
        <w:tc>
          <w:tcPr>
            <w:tcW w:type="dxa" w:w="2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LEAF-YOLO-N（公开权重）</w:t>
            </w: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</w:t>
            </w: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RemDet-Tiny（公开权重）</w:t>
            </w: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3.2</w:t>
            </w: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2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CSP-N</w:t>
            </w:r>
          </w:p>
        </w:tc>
        <w:tc>
          <w:tcPr>
            <w:tcW w:type="dxa" w:w="1128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2.25</w:t>
            </w:r>
          </w:p>
        </w:tc>
        <w:tc>
          <w:tcPr>
            <w:tcW w:type="dxa" w:w="94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7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LiteGTR w/o token</w:t>
            </w: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82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</w:t>
            </w: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16"/>
          <w:szCs w:val="16"/>
        </w:rPr>
        <w:t xml:space="preserve"> /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16"/>
          <w:szCs w:val="16"/>
        </w:rPr>
        <w:t xml:space="preserve"> /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16"/>
          <w:szCs w:val="16"/>
        </w:rPr>
        <w:t xml:space="preserve"> /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m</w:t>
      </w:r>
      <w:r>
        <w:rPr>
          <w:rFonts w:ascii="Times New Roman" w:cs="Times New Roman" w:eastAsia="楷体" w:hAnsi="Times New Roman"/>
          <w:sz w:val="16"/>
          <w:szCs w:val="16"/>
        </w:rPr>
        <w:t xml:space="preserve"> 按边长 [2,8) / [8,16) / [16,32) / [32,64) 像素分档（AI-TOD 定义），按原图坐标统计。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【待补】结果分析：与参数量匹配基线的差距；与引用结果的比较需说明协议差异。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5.4  消融实验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5. </w:t>
      </w:r>
      <w:r>
        <w:rPr>
          <w:rFonts w:ascii="Times New Roman" w:cs="Times New Roman" w:eastAsia="楷体" w:hAnsi="Times New Roman"/>
          <w:sz w:val="18"/>
          <w:szCs w:val="18"/>
        </w:rPr>
        <w:t xml:space="preserve">组件消融（VisDrone val）。每行相对完整模型只改变一项。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9"/>
        <w:gridCol w:w="903"/>
        <w:gridCol w:w="812"/>
        <w:gridCol w:w="993"/>
        <w:gridCol w:w="812"/>
        <w:gridCol w:w="812"/>
        <w:gridCol w:w="812"/>
        <w:gridCol w:w="813"/>
      </w:tblGrid>
      <w:tr>
        <w:trPr>
          <w:tblHeader/>
        </w:trPr>
        <w:tc>
          <w:tcPr>
            <w:tcW w:type="dxa" w:w="306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90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99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M</w:t>
            </w:r>
          </w:p>
        </w:tc>
        <w:tc>
          <w:tcPr>
            <w:tcW w:type="dxa" w:w="81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L</w:t>
            </w: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LiteGTR（完整）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路径（仅局部卷积）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几何先验（仅内容注意力）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2.32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路由监督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2.32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2.32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M</w:t>
      </w:r>
      <w:r>
        <w:rPr>
          <w:rFonts w:ascii="Times New Roman" w:cs="Times New Roman" w:eastAsia="楷体" w:hAnsi="Times New Roman"/>
          <w:sz w:val="16"/>
          <w:szCs w:val="16"/>
        </w:rPr>
        <w:t xml:space="preserve"> 与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16"/>
          <w:szCs w:val="16"/>
        </w:rPr>
        <w:t xml:space="preserve"> 在此给出，用于量化面向小目标设计对中、大目标的影响；VisDrone val 中大目标仅约占 2.8%。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6. </w:t>
      </w:r>
      <w:r>
        <w:rPr>
          <w:rFonts w:ascii="Times New Roman" w:cs="Times New Roman" w:eastAsia="楷体" w:hAnsi="Times New Roman"/>
          <w:sz w:val="18"/>
          <w:szCs w:val="18"/>
        </w:rPr>
        <w:t xml:space="preserve">路由行为分析。命中率为被选中 token 落在真值框内的比例；随机水平为目标面积占比。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97"/>
        <w:gridCol w:w="1410"/>
        <w:gridCol w:w="1316"/>
        <w:gridCol w:w="1034"/>
        <w:gridCol w:w="1128"/>
        <w:gridCol w:w="941"/>
      </w:tblGrid>
      <w:tr>
        <w:trPr>
          <w:tblHeader/>
        </w:trPr>
        <w:tc>
          <w:tcPr>
            <w:tcW w:type="dxa" w:w="319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路由方式</w:t>
            </w:r>
          </w:p>
        </w:tc>
        <w:tc>
          <w:tcPr>
            <w:tcW w:type="dxa" w:w="14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分数图熵（P3）↓</w:t>
            </w:r>
          </w:p>
        </w:tc>
        <w:tc>
          <w:tcPr>
            <w:tcW w:type="dxa" w:w="131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Token 命中率 ↑</w:t>
            </w:r>
          </w:p>
        </w:tc>
        <w:tc>
          <w:tcPr>
            <w:tcW w:type="dxa" w:w="103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随机水平</w:t>
            </w:r>
          </w:p>
        </w:tc>
        <w:tc>
          <w:tcPr>
            <w:tcW w:type="dxa" w:w="11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EMA 一致性</w:t>
            </w:r>
          </w:p>
        </w:tc>
        <w:tc>
          <w:tcPr>
            <w:tcW w:type="dxa" w:w="94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随机路由（无门控、无监督）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门控 + EMA（无路由监督）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门控 + EMA + 路由监督（本文）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注：带星号的数值为无路由监督那次训练第 135 轮的实测值。熵接近 1 表示分数图平坦，EMA 一致性接近 1 是因为教师与学生的分数图都平坦，并非学到了光照不变性。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7. </w:t>
      </w:r>
      <w:r>
        <w:rPr>
          <w:rFonts w:ascii="Times New Roman" w:cs="Times New Roman" w:eastAsia="楷体" w:hAnsi="Times New Roman"/>
          <w:sz w:val="18"/>
          <w:szCs w:val="18"/>
        </w:rPr>
        <w:t xml:space="preserve">写回方式对比。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10"/>
        <w:gridCol w:w="1354"/>
        <w:gridCol w:w="1354"/>
        <w:gridCol w:w="1354"/>
        <w:gridCol w:w="1354"/>
      </w:tblGrid>
      <w:tr>
        <w:trPr>
          <w:tblHeader/>
        </w:trPr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写回方式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L</w:t>
            </w:r>
          </w:p>
        </w:tc>
      </w:tr>
      <w:t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均匀广播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内容注意力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内容 + 高斯几何先验（本文）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20"/>
      </w:pP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8. </w:t>
      </w:r>
      <w:r>
        <w:rPr>
          <w:rFonts w:ascii="Times New Roman" w:cs="Times New Roman" w:eastAsia="楷体" w:hAnsi="Times New Roman"/>
          <w:sz w:val="18"/>
          <w:szCs w:val="18"/>
        </w:rPr>
        <w:t xml:space="preserve">Token 预算。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8"/>
        <w:gridCol w:w="903"/>
        <w:gridCol w:w="1264"/>
        <w:gridCol w:w="1264"/>
        <w:gridCol w:w="1444"/>
        <w:gridCol w:w="1443"/>
      </w:tblGrid>
      <w:tr>
        <w:trPr>
          <w:tblHeader/>
        </w:trPr>
        <w:tc>
          <w:tcPr>
            <w:tcW w:type="dxa" w:w="270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预算（P3 / P4 / P5）</w:t>
            </w:r>
          </w:p>
        </w:tc>
        <w:tc>
          <w:tcPr>
            <w:tcW w:type="dxa" w:w="90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26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126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延迟(ms)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144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</w:tr>
      <w:tr>
        <w:tc>
          <w:tcPr>
            <w:tcW w:type="dxa" w:w="27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32 / 16 / 8（本文）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56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27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128 / 96 / 32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256</w:t>
            </w: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20"/>
      </w:pP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【待补】消融分析。重点：− token 路径时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与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的变化方向；无监督路由的命中率是否接近随机。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5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由 tools/visualize_tokens.py 生成：输入+GT | P3 | P4 | P5 分数图 | 写回变化量。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选 2–3 张目标密集、小目标多的图像。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5. </w:t>
      </w:r>
      <w:r>
        <w:rPr>
          <w:rFonts w:ascii="Times New Roman" w:cs="Times New Roman" w:eastAsia="楷体" w:hAnsi="Times New Roman"/>
          <w:sz w:val="18"/>
          <w:szCs w:val="18"/>
        </w:rPr>
        <w:t xml:space="preserve">Token 分数图与被选中位置的可视化（VisDrone val）。上：无路由监督；下：本文。颜色为 σ(s) 的绝对值（0–1），白点为被选中的 token。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18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6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数据来源：两次训练的 token_stats.csv（epoch, score_entropy）。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6. </w:t>
      </w:r>
      <w:r>
        <w:rPr>
          <w:rFonts w:ascii="Times New Roman" w:cs="Times New Roman" w:eastAsia="楷体" w:hAnsi="Times New Roman"/>
          <w:sz w:val="18"/>
          <w:szCs w:val="18"/>
        </w:rPr>
        <w:t xml:space="preserve">训练过程中 P3 分数图归一化熵的变化。无监督时熵单调趋近 1。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5.5  跨光照分析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9. </w:t>
      </w:r>
      <w:r>
        <w:rPr>
          <w:rFonts w:ascii="Times New Roman" w:cs="Times New Roman" w:eastAsia="楷体" w:hAnsi="Times New Roman"/>
          <w:sz w:val="18"/>
          <w:szCs w:val="18"/>
        </w:rPr>
        <w:t xml:space="preserve">DroneVehicle（RGB）上按光照条件拆分的 mAP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50:95</w:t>
      </w:r>
      <w:r>
        <w:rPr>
          <w:rFonts w:ascii="Times New Roman" w:cs="Times New Roman" w:eastAsia="楷体" w:hAnsi="Times New Roman"/>
          <w:sz w:val="18"/>
          <w:szCs w:val="18"/>
        </w:rPr>
        <w:t xml:space="preserve">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9"/>
        <w:gridCol w:w="1444"/>
        <w:gridCol w:w="1444"/>
        <w:gridCol w:w="1444"/>
        <w:gridCol w:w="1625"/>
      </w:tblGrid>
      <w:tr>
        <w:trPr>
          <w:tblHeader/>
        </w:trPr>
        <w:tc>
          <w:tcPr>
            <w:tcW w:type="dxa" w:w="306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night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dark</w:t>
            </w:r>
          </w:p>
        </w:tc>
        <w:tc>
          <w:tcPr>
            <w:tcW w:type="dxa" w:w="16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Δ(night − day)</w:t>
            </w: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仅 IR（参考）</w:t>
            </w:r>
          </w:p>
        </w:tc>
        <w:tc>
          <w:tcPr>
            <w:tcW w:type="dxa" w:w="1444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注：图像数 day / night / dark = [待补]。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5.6  部署效率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10. </w:t>
      </w:r>
      <w:r>
        <w:rPr>
          <w:rFonts w:ascii="Times New Roman" w:cs="Times New Roman" w:eastAsia="楷体" w:hAnsi="Times New Roman"/>
          <w:sz w:val="18"/>
          <w:szCs w:val="18"/>
        </w:rPr>
        <w:t xml:space="preserve">推理效率（640×640，batch 1）。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25"/>
        <w:gridCol w:w="993"/>
        <w:gridCol w:w="903"/>
        <w:gridCol w:w="1354"/>
        <w:gridCol w:w="1354"/>
        <w:gridCol w:w="1354"/>
        <w:gridCol w:w="1443"/>
      </w:tblGrid>
      <w:tr>
        <w:trPr>
          <w:tblHeader/>
        </w:trPr>
        <w:tc>
          <w:tcPr>
            <w:tcW w:type="dxa" w:w="16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模型</w:t>
            </w:r>
          </w:p>
        </w:tc>
        <w:tc>
          <w:tcPr>
            <w:tcW w:type="dxa" w:w="99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90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PyTorch FP32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ONNX Runtime</w:t>
            </w:r>
          </w:p>
        </w:tc>
        <w:tc>
          <w:tcPr>
            <w:tcW w:type="dxa" w:w="135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TensorRT FP16</w:t>
            </w:r>
          </w:p>
        </w:tc>
        <w:tc>
          <w:tcPr>
            <w:tcW w:type="dxa" w:w="144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Jetson [型号]</w:t>
            </w:r>
          </w:p>
        </w:tc>
      </w:tr>
      <w:tr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CSP-N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2.25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≈7.1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LiteGTR-S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1.22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≈5.0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6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</w:t>
            </w:r>
          </w:p>
        </w:tc>
        <w:tc>
          <w:tcPr>
            <w:tcW w:type="dxa" w:w="9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注：由 tools/benchmark_latency.py 测得，单位 ms；是否包含 NMS 需注明。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2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7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每列同一张图；红框标注漏检区域的放大图。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7. </w:t>
      </w:r>
      <w:r>
        <w:rPr>
          <w:rFonts w:ascii="Times New Roman" w:cs="Times New Roman" w:eastAsia="楷体" w:hAnsi="Times New Roman"/>
          <w:sz w:val="18"/>
          <w:szCs w:val="18"/>
        </w:rPr>
        <w:t xml:space="preserve">定性结果对比（VisDrone val，密集小目标场景）。从左到右：GT、CSP-N、LiteGTR w/o token、LiteGTR。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6  结论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【待补】实验完成后撰写。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参考文献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【待补】RemDet (AAAI 2025)；LEAF-YOLO (ISWA 2025)；FBRT-YOLO (AAAI 2025)；EDNet (UIC 2024)；GFL；ConvNeXt；QueryDet (CVPR 2022)；CEASC (CVPR 2023)；CenterNet；NWD / AI-TOD；DQ-DETR (ECCV 2024)；SimD (IROS 2024)；VisDrone；DroneVehicle；DEIM (CVPR 2025)。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楷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楷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2026-09-23T15:12:33.477Z</dcterms:created>
  <dcterms:modified xsi:type="dcterms:W3CDTF">2026-09-23T15:12:33.477Z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