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54" w:rsidRDefault="00E23A54" w:rsidP="00E23A54">
      <w:pPr>
        <w:pStyle w:val="2"/>
      </w:pPr>
      <w:bookmarkStart w:id="0" w:name="title"/>
      <w:bookmarkEnd w:id="0"/>
    </w:p>
    <w:p w:rsidR="00E23A54" w:rsidRDefault="00E23A54" w:rsidP="00E23A54">
      <w:pPr>
        <w:pStyle w:val="a6"/>
        <w:ind w:firstLine="480"/>
      </w:pPr>
      <w:r>
        <w:rPr>
          <w:rFonts w:hint="eastAsia"/>
        </w:rPr>
        <w:t>1.</w:t>
      </w:r>
      <w:r>
        <w:rPr>
          <w:rFonts w:hint="eastAsia"/>
        </w:rPr>
        <w:t>项目概况</w:t>
      </w:r>
    </w:p>
    <w:p w:rsidR="00904ECC" w:rsidRPr="00796CED" w:rsidRDefault="00E23A54" w:rsidP="00904ECC">
      <w:pPr>
        <w:rPr>
          <w:color w:val="0000CC"/>
        </w:rPr>
      </w:pPr>
      <w:r w:rsidRPr="00164D0B">
        <w:rPr>
          <w:rFonts w:hint="eastAsia"/>
        </w:rPr>
        <w:t>表</w:t>
      </w:r>
      <w:r w:rsidR="006D2E2A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6D2E2A">
        <w:fldChar w:fldCharType="end"/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8"/>
        <w:gridCol w:w="2862"/>
        <w:gridCol w:w="1640"/>
        <w:gridCol w:w="3156"/>
      </w:tblGrid>
      <w:tr w:rsidR="00904ECC" w:rsidRPr="00184347" w:rsidTr="007558B8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04ECC" w:rsidRPr="00184347" w:rsidRDefault="00904ECC" w:rsidP="00427E39">
            <w:pPr>
              <w:rPr>
                <w:rFonts w:hAnsi="Arial"/>
              </w:rPr>
            </w:pPr>
            <w:r w:rsidRPr="00184347">
              <w:t>分类</w:t>
            </w:r>
            <w:bookmarkStart w:id="1" w:name="Sewage_Table_1"/>
            <w:bookmarkEnd w:id="1"/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904ECC" w:rsidRPr="00184347" w:rsidRDefault="00904ECC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904ECC" w:rsidRPr="00184347" w:rsidTr="007558B8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04ECC" w:rsidRPr="00184347" w:rsidRDefault="00904ECC" w:rsidP="00427E39">
            <w:r>
              <w:rPr>
                <w:rFonts w:hint="eastAsia"/>
              </w:rPr>
              <w:t>项目模式</w:t>
            </w:r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04ECC" w:rsidRPr="00184347" w:rsidRDefault="007558B8" w:rsidP="007558B8">
            <w:pPr>
              <w:rPr>
                <w:b/>
              </w:rPr>
            </w:pPr>
            <w:r>
              <w:rPr>
                <w:rFonts w:hint="eastAsia"/>
              </w:rPr>
              <w:t>污水</w:t>
            </w:r>
            <w:r w:rsidR="00904ECC">
              <w:rPr>
                <w:rFonts w:hint="eastAsia"/>
              </w:rPr>
              <w:t>TOT</w:t>
            </w:r>
          </w:p>
        </w:tc>
      </w:tr>
      <w:tr w:rsidR="00904ECC" w:rsidRPr="00184347" w:rsidTr="007558B8">
        <w:trPr>
          <w:trHeight w:val="75"/>
          <w:jc w:val="center"/>
        </w:trPr>
        <w:tc>
          <w:tcPr>
            <w:tcW w:w="845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904ECC" w:rsidRDefault="00904ECC" w:rsidP="00427E39">
            <w:r>
              <w:rPr>
                <w:rFonts w:hint="eastAsia"/>
              </w:rPr>
              <w:t>服务范围</w:t>
            </w:r>
          </w:p>
        </w:tc>
        <w:tc>
          <w:tcPr>
            <w:tcW w:w="4155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904ECC" w:rsidRPr="00854CCC" w:rsidRDefault="007558B8" w:rsidP="00427E39">
            <w:proofErr w:type="spellStart"/>
            <w:r w:rsidRPr="007F48D5">
              <w:t>serviceArea</w:t>
            </w:r>
            <w:proofErr w:type="spellEnd"/>
          </w:p>
        </w:tc>
      </w:tr>
      <w:tr w:rsidR="00904ECC" w:rsidRPr="00184347" w:rsidTr="007558B8">
        <w:trPr>
          <w:trHeight w:val="75"/>
          <w:jc w:val="center"/>
        </w:trPr>
        <w:tc>
          <w:tcPr>
            <w:tcW w:w="845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904ECC" w:rsidRDefault="00904ECC" w:rsidP="00427E39">
            <w:r>
              <w:rPr>
                <w:rFonts w:hint="eastAsia"/>
              </w:rPr>
              <w:t>项目运营状况</w:t>
            </w:r>
          </w:p>
        </w:tc>
        <w:tc>
          <w:tcPr>
            <w:tcW w:w="4155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904ECC" w:rsidRDefault="00AE3864" w:rsidP="00427E39">
            <w:pPr>
              <w:rPr>
                <w:rFonts w:hAnsi="Arial"/>
              </w:rPr>
            </w:pPr>
            <w:proofErr w:type="spellStart"/>
            <w:r w:rsidRPr="00AE3864">
              <w:t>projectRunState</w:t>
            </w:r>
            <w:proofErr w:type="spellEnd"/>
          </w:p>
        </w:tc>
      </w:tr>
      <w:tr w:rsidR="00904ECC" w:rsidRPr="00184347" w:rsidTr="007558B8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904ECC" w:rsidRPr="002D4D0D" w:rsidRDefault="00904ECC" w:rsidP="00427E39">
            <w:pPr>
              <w:rPr>
                <w:rFonts w:hAnsi="Arial"/>
              </w:rPr>
            </w:pPr>
            <w:r w:rsidRPr="002D4D0D">
              <w:t>特许经营期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04ECC" w:rsidRPr="00854CCC" w:rsidRDefault="00AE3864" w:rsidP="00427E39">
            <w:pPr>
              <w:rPr>
                <w:rFonts w:hAnsi="Arial"/>
              </w:rPr>
            </w:pPr>
            <w:proofErr w:type="spellStart"/>
            <w:r w:rsidRPr="00AE3864">
              <w:t>concessionaryTime</w:t>
            </w:r>
            <w:proofErr w:type="spellEnd"/>
            <w:r w:rsidR="00904ECC">
              <w:rPr>
                <w:rFonts w:hint="eastAsia"/>
              </w:rPr>
              <w:t>年</w:t>
            </w:r>
          </w:p>
        </w:tc>
      </w:tr>
      <w:tr w:rsidR="007558B8" w:rsidRPr="00184347" w:rsidTr="007558B8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Pr="002D4D0D" w:rsidRDefault="007558B8" w:rsidP="00427E39">
            <w:r>
              <w:rPr>
                <w:rFonts w:hint="eastAsia"/>
              </w:rPr>
              <w:t>项目工艺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proofErr w:type="spellStart"/>
            <w:r w:rsidRPr="007F48D5">
              <w:t>projectCraft</w:t>
            </w:r>
            <w:proofErr w:type="spellEnd"/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Default="007558B8" w:rsidP="00427E39">
            <w:r>
              <w:rPr>
                <w:rFonts w:hint="eastAsia"/>
              </w:rPr>
              <w:t>出水标准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854CCC" w:rsidRDefault="007558B8" w:rsidP="00427E39">
            <w:proofErr w:type="spellStart"/>
            <w:r w:rsidRPr="007F48D5">
              <w:t>waterStandard</w:t>
            </w:r>
            <w:proofErr w:type="spellEnd"/>
          </w:p>
        </w:tc>
      </w:tr>
      <w:tr w:rsidR="007558B8" w:rsidRPr="00184347" w:rsidTr="007558B8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Pr="002D4D0D" w:rsidRDefault="007558B8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协议</w:t>
            </w:r>
            <w:r w:rsidRPr="002D4D0D">
              <w:t>水价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854CCC" w:rsidRDefault="007558B8" w:rsidP="00427E39">
            <w:proofErr w:type="spellStart"/>
            <w:r w:rsidRPr="00EF3434">
              <w:t>agreementWaterprice</w:t>
            </w:r>
            <w:proofErr w:type="spellEnd"/>
            <w:r w:rsidRPr="00854CCC">
              <w:rPr>
                <w:rFonts w:hint="eastAsia"/>
              </w:rPr>
              <w:t>元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吨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2D4D0D" w:rsidRDefault="007558B8" w:rsidP="00427E39">
            <w:pPr>
              <w:rPr>
                <w:rFonts w:hAnsi="Arial"/>
              </w:rPr>
            </w:pPr>
            <w:r w:rsidRPr="002D4D0D">
              <w:t>调价</w:t>
            </w:r>
            <w:r>
              <w:rPr>
                <w:rFonts w:hint="eastAsia"/>
              </w:rPr>
              <w:t>周期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proofErr w:type="spellStart"/>
            <w:r w:rsidRPr="00EF3434">
              <w:t>priceCicle</w:t>
            </w:r>
            <w:proofErr w:type="spellEnd"/>
          </w:p>
        </w:tc>
      </w:tr>
      <w:tr w:rsidR="007558B8" w:rsidRPr="00184347" w:rsidTr="007558B8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Default="007558B8" w:rsidP="00427E39">
            <w:r>
              <w:rPr>
                <w:rFonts w:hint="eastAsia"/>
              </w:rPr>
              <w:t>保底水量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proofErr w:type="spellStart"/>
            <w:r w:rsidRPr="00EF3434">
              <w:t>guaranteedWater</w:t>
            </w:r>
            <w:proofErr w:type="spellEnd"/>
            <w:r w:rsidRPr="00854CCC">
              <w:rPr>
                <w:rFonts w:hint="eastAsia"/>
              </w:rPr>
              <w:t>万吨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42492C" w:rsidRDefault="007558B8" w:rsidP="00427E39">
            <w:r w:rsidRPr="0042492C">
              <w:rPr>
                <w:rFonts w:hint="eastAsia"/>
              </w:rPr>
              <w:t>测算水量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558B8" w:rsidRPr="00854CCC" w:rsidRDefault="007558B8" w:rsidP="00427E39">
            <w:proofErr w:type="spellStart"/>
            <w:r w:rsidRPr="00EF3434">
              <w:t>measuringWater</w:t>
            </w:r>
            <w:proofErr w:type="spellEnd"/>
            <w:r>
              <w:rPr>
                <w:rFonts w:hint="eastAsia"/>
              </w:rPr>
              <w:t>万吨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</w:tr>
      <w:tr w:rsidR="007558B8" w:rsidRPr="00184347" w:rsidTr="007558B8">
        <w:trPr>
          <w:trHeight w:val="69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Pr="002D4D0D" w:rsidRDefault="007558B8" w:rsidP="00427E39">
            <w:r>
              <w:rPr>
                <w:rFonts w:hint="eastAsia"/>
              </w:rPr>
              <w:t>合同规模</w:t>
            </w:r>
          </w:p>
        </w:tc>
        <w:tc>
          <w:tcPr>
            <w:tcW w:w="1553" w:type="pct"/>
            <w:tcBorders>
              <w:left w:val="single" w:sz="12" w:space="0" w:color="auto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proofErr w:type="spellStart"/>
            <w:r w:rsidRPr="00EF3434">
              <w:t>projectScale</w:t>
            </w:r>
            <w:proofErr w:type="spellEnd"/>
            <w:r w:rsidRPr="00854CCC">
              <w:rPr>
                <w:rFonts w:hint="eastAsia"/>
              </w:rPr>
              <w:t>万吨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7558B8" w:rsidRDefault="007558B8" w:rsidP="00427E39">
            <w:r>
              <w:rPr>
                <w:rFonts w:hint="eastAsia"/>
              </w:rPr>
              <w:t>评审规模</w:t>
            </w:r>
          </w:p>
        </w:tc>
        <w:tc>
          <w:tcPr>
            <w:tcW w:w="1713" w:type="pct"/>
            <w:tcBorders>
              <w:left w:val="single" w:sz="12" w:space="0" w:color="auto"/>
              <w:right w:val="nil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proofErr w:type="spellStart"/>
            <w:r w:rsidRPr="00EF3434">
              <w:t>reviewScale</w:t>
            </w:r>
            <w:proofErr w:type="spellEnd"/>
            <w:r w:rsidRPr="00854CCC">
              <w:rPr>
                <w:rFonts w:hint="eastAsia"/>
              </w:rPr>
              <w:t>万吨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日</w:t>
            </w:r>
          </w:p>
        </w:tc>
      </w:tr>
    </w:tbl>
    <w:p w:rsidR="00C62094" w:rsidRDefault="00C62094" w:rsidP="00904ECC"/>
    <w:p w:rsidR="00904ECC" w:rsidRPr="00796CED" w:rsidRDefault="00904ECC" w:rsidP="00904ECC">
      <w:pPr>
        <w:rPr>
          <w:color w:val="0000CC"/>
        </w:rPr>
      </w:pPr>
      <w:r w:rsidRPr="00164D0B">
        <w:rPr>
          <w:rFonts w:hint="eastAsia"/>
        </w:rPr>
        <w:t>表</w:t>
      </w:r>
      <w:r w:rsidR="006D2E2A">
        <w:fldChar w:fldCharType="begin"/>
      </w:r>
      <w:r w:rsidR="00B2263C">
        <w:instrText xml:space="preserve"> </w:instrText>
      </w:r>
      <w:r w:rsidR="00B2263C">
        <w:rPr>
          <w:rFonts w:hint="eastAsia"/>
        </w:rPr>
        <w:instrText>AUTONUM  \* Arabic</w:instrText>
      </w:r>
      <w:r w:rsidR="00B2263C">
        <w:instrText xml:space="preserve"> </w:instrText>
      </w:r>
      <w:r w:rsidR="006D2E2A">
        <w:fldChar w:fldCharType="end"/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8"/>
        <w:gridCol w:w="2862"/>
        <w:gridCol w:w="1640"/>
        <w:gridCol w:w="3156"/>
      </w:tblGrid>
      <w:tr w:rsidR="00904ECC" w:rsidRPr="00184347" w:rsidTr="007558B8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04ECC" w:rsidRPr="00184347" w:rsidRDefault="00904ECC" w:rsidP="00427E39">
            <w:pPr>
              <w:rPr>
                <w:rFonts w:hAnsi="Arial"/>
              </w:rPr>
            </w:pPr>
            <w:r w:rsidRPr="00184347">
              <w:t>分类</w:t>
            </w:r>
            <w:bookmarkStart w:id="2" w:name="Sewage_Table_2"/>
            <w:bookmarkEnd w:id="2"/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904ECC" w:rsidRPr="00184347" w:rsidRDefault="00904ECC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7558B8" w:rsidRPr="00184347" w:rsidTr="007558B8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Default="007558B8" w:rsidP="00427E39">
            <w:r>
              <w:rPr>
                <w:rFonts w:hint="eastAsia"/>
              </w:rPr>
              <w:t>投资主体</w:t>
            </w:r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proofErr w:type="spellStart"/>
            <w:r w:rsidR="00471C39" w:rsidRPr="00471C39">
              <w:rPr>
                <w:rFonts w:hAnsi="Arial"/>
              </w:rPr>
              <w:t>tenderCompany</w:t>
            </w:r>
            <w:proofErr w:type="spellEnd"/>
            <w:r>
              <w:rPr>
                <w:rFonts w:hint="eastAsia"/>
              </w:rPr>
              <w:t>，北控水务持股比例</w:t>
            </w:r>
            <w:proofErr w:type="spellStart"/>
            <w:r w:rsidRPr="0052496A">
              <w:t>bewg</w:t>
            </w:r>
            <w:proofErr w:type="spellEnd"/>
            <w:r w:rsidRPr="00854CCC">
              <w:rPr>
                <w:rFonts w:hint="eastAsia"/>
              </w:rPr>
              <w:t>%</w:t>
            </w:r>
          </w:p>
        </w:tc>
      </w:tr>
      <w:tr w:rsidR="007558B8" w:rsidRPr="00184347" w:rsidTr="007558B8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Default="007558B8" w:rsidP="00427E39">
            <w:r>
              <w:rPr>
                <w:rFonts w:hint="eastAsia"/>
              </w:rPr>
              <w:t>资金来源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proofErr w:type="spellStart"/>
            <w:r w:rsidRPr="0052496A">
              <w:t>bankLoan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proofErr w:type="spellStart"/>
            <w:r w:rsidRPr="00E56538">
              <w:t>annualInterestRate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proofErr w:type="spellStart"/>
            <w:r w:rsidRPr="0052496A">
              <w:t>oweMoney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904ECC" w:rsidRPr="00184347" w:rsidTr="007558B8">
        <w:trPr>
          <w:trHeight w:val="120"/>
          <w:jc w:val="center"/>
        </w:trPr>
        <w:tc>
          <w:tcPr>
            <w:tcW w:w="845" w:type="pct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904ECC" w:rsidRPr="002D4D0D" w:rsidRDefault="00904ECC" w:rsidP="00427E39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04ECC" w:rsidRPr="00854CCC" w:rsidRDefault="00904ECC" w:rsidP="00427E39">
            <w:r>
              <w:rPr>
                <w:rFonts w:hint="eastAsia"/>
              </w:rPr>
              <w:t>投资总额：</w:t>
            </w:r>
            <w:proofErr w:type="spellStart"/>
            <w:r w:rsidR="00AE3864" w:rsidRPr="00AE3864">
              <w:t>totleMoney</w:t>
            </w:r>
            <w:proofErr w:type="spellEnd"/>
            <w:r>
              <w:rPr>
                <w:rFonts w:hint="eastAsia"/>
              </w:rPr>
              <w:t>万元，其中：</w:t>
            </w:r>
          </w:p>
        </w:tc>
      </w:tr>
      <w:tr w:rsidR="00904ECC" w:rsidRPr="00184347" w:rsidTr="007558B8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904ECC" w:rsidRPr="002D4D0D" w:rsidRDefault="00904ECC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04ECC" w:rsidRDefault="00904ECC" w:rsidP="00427E39">
            <w:r>
              <w:rPr>
                <w:rFonts w:hint="eastAsia"/>
              </w:rPr>
              <w:t>TOT</w:t>
            </w:r>
            <w:r>
              <w:rPr>
                <w:rFonts w:hint="eastAsia"/>
              </w:rPr>
              <w:t>转让款：</w:t>
            </w:r>
            <w:proofErr w:type="spellStart"/>
            <w:r w:rsidR="00AE3864" w:rsidRPr="00AE3864">
              <w:t>totMoney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904ECC" w:rsidRPr="00184347" w:rsidTr="007558B8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904ECC" w:rsidRPr="002D4D0D" w:rsidRDefault="00904ECC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04ECC" w:rsidRDefault="00904ECC" w:rsidP="00427E39">
            <w:r>
              <w:rPr>
                <w:rFonts w:hint="eastAsia"/>
              </w:rPr>
              <w:t>改造费用：</w:t>
            </w:r>
            <w:proofErr w:type="spellStart"/>
            <w:r w:rsidR="00AE3864" w:rsidRPr="00AE3864">
              <w:t>modificationCost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904ECC" w:rsidRPr="00184347" w:rsidTr="007558B8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904ECC" w:rsidRPr="002D4D0D" w:rsidRDefault="00904ECC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04ECC" w:rsidRDefault="00904ECC" w:rsidP="00427E39">
            <w:r>
              <w:rPr>
                <w:rFonts w:hint="eastAsia"/>
              </w:rPr>
              <w:t>其他：</w:t>
            </w:r>
            <w:r w:rsidR="00AE3864" w:rsidRPr="00AE3864">
              <w:t>other</w:t>
            </w:r>
            <w:r>
              <w:rPr>
                <w:rFonts w:hint="eastAsia"/>
              </w:rPr>
              <w:t>万元</w:t>
            </w:r>
          </w:p>
        </w:tc>
      </w:tr>
      <w:tr w:rsidR="00904ECC" w:rsidRPr="00184347" w:rsidTr="007558B8">
        <w:trPr>
          <w:trHeight w:val="120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904ECC" w:rsidRPr="002D4D0D" w:rsidRDefault="00904ECC" w:rsidP="00427E39">
            <w:r>
              <w:rPr>
                <w:rFonts w:hint="eastAsia"/>
              </w:rPr>
              <w:t>人员安置方案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04ECC" w:rsidRDefault="00AE3864" w:rsidP="00427E39">
            <w:proofErr w:type="spellStart"/>
            <w:r w:rsidRPr="00AE3864">
              <w:t>personnelPlacement</w:t>
            </w:r>
            <w:proofErr w:type="spellEnd"/>
          </w:p>
        </w:tc>
      </w:tr>
      <w:tr w:rsidR="007558B8" w:rsidRPr="00987EAB" w:rsidTr="007558B8">
        <w:trPr>
          <w:trHeight w:val="1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7558B8" w:rsidRPr="002D4D0D" w:rsidRDefault="007558B8" w:rsidP="00427E39">
            <w:pPr>
              <w:rPr>
                <w:rFonts w:hAnsi="Arial"/>
              </w:rPr>
            </w:pPr>
            <w:r w:rsidRPr="002D4D0D">
              <w:lastRenderedPageBreak/>
              <w:t>吨水经营成本</w:t>
            </w:r>
          </w:p>
        </w:tc>
        <w:tc>
          <w:tcPr>
            <w:tcW w:w="155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558B8" w:rsidRPr="00854CCC" w:rsidRDefault="007558B8" w:rsidP="00427E39">
            <w:proofErr w:type="spellStart"/>
            <w:r w:rsidRPr="00317B56">
              <w:t>operatingCost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r w:rsidRPr="00854CCC">
              <w:t>吨水总成本</w:t>
            </w:r>
          </w:p>
        </w:tc>
        <w:tc>
          <w:tcPr>
            <w:tcW w:w="17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7558B8" w:rsidRPr="00854CCC" w:rsidRDefault="007558B8" w:rsidP="00427E39">
            <w:proofErr w:type="spellStart"/>
            <w:r w:rsidRPr="00317B56">
              <w:t>totalCost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7558B8" w:rsidRPr="00987EAB" w:rsidTr="007558B8">
        <w:trPr>
          <w:trHeight w:val="151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Pr="002D4D0D" w:rsidRDefault="007558B8" w:rsidP="00427E39">
            <w:pPr>
              <w:rPr>
                <w:rFonts w:hAnsi="Arial"/>
              </w:rPr>
            </w:pPr>
            <w:r w:rsidRPr="002D4D0D">
              <w:t>吨水管理费用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7558B8" w:rsidRPr="00854CCC" w:rsidRDefault="007558B8" w:rsidP="00427E39">
            <w:proofErr w:type="spellStart"/>
            <w:r w:rsidRPr="00317B56">
              <w:t>managementFees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7558B8" w:rsidRPr="00854CCC" w:rsidRDefault="007558B8" w:rsidP="00427E39">
            <w:pPr>
              <w:rPr>
                <w:rFonts w:hAnsi="Arial"/>
              </w:rPr>
            </w:pPr>
            <w:r w:rsidRPr="00854CCC">
              <w:t>吨水利润</w:t>
            </w:r>
          </w:p>
        </w:tc>
        <w:tc>
          <w:tcPr>
            <w:tcW w:w="1712" w:type="pct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7558B8" w:rsidRPr="00987EAB" w:rsidRDefault="007558B8" w:rsidP="00427E39">
            <w:pPr>
              <w:rPr>
                <w:color w:val="000000" w:themeColor="text1"/>
              </w:rPr>
            </w:pPr>
            <w:r w:rsidRPr="00317B56">
              <w:t>profits</w:t>
            </w:r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7558B8" w:rsidRPr="00987EAB" w:rsidTr="007558B8">
        <w:trPr>
          <w:trHeight w:val="151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7558B8" w:rsidRPr="002D4D0D" w:rsidRDefault="007558B8" w:rsidP="00427E39">
            <w:pPr>
              <w:rPr>
                <w:rFonts w:hAnsi="Arial"/>
              </w:rPr>
            </w:pPr>
            <w:r w:rsidRPr="002D4D0D">
              <w:t>吨水人工成本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7558B8" w:rsidRPr="00854CCC" w:rsidRDefault="007558B8" w:rsidP="00427E39">
            <w:proofErr w:type="spellStart"/>
            <w:r w:rsidRPr="00317B56">
              <w:t>laborCost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7558B8" w:rsidRPr="00854CCC" w:rsidRDefault="007558B8" w:rsidP="00427E39">
            <w:r w:rsidRPr="00854CCC">
              <w:rPr>
                <w:rFonts w:hint="eastAsia"/>
              </w:rPr>
              <w:t>年度人均创利</w:t>
            </w:r>
          </w:p>
        </w:tc>
        <w:tc>
          <w:tcPr>
            <w:tcW w:w="1712" w:type="pct"/>
            <w:tcBorders>
              <w:left w:val="single" w:sz="12" w:space="0" w:color="auto"/>
              <w:right w:val="nil"/>
            </w:tcBorders>
            <w:vAlign w:val="center"/>
          </w:tcPr>
          <w:p w:rsidR="007558B8" w:rsidRPr="00987EAB" w:rsidRDefault="007558B8" w:rsidP="00427E39">
            <w:pPr>
              <w:rPr>
                <w:color w:val="000000" w:themeColor="text1"/>
              </w:rPr>
            </w:pPr>
            <w:proofErr w:type="spellStart"/>
            <w:r w:rsidRPr="00317B56">
              <w:t>laborCreate</w:t>
            </w:r>
            <w:proofErr w:type="spellEnd"/>
            <w:r w:rsidRPr="00854CCC">
              <w:rPr>
                <w:rFonts w:hint="eastAsia"/>
              </w:rPr>
              <w:t>万元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人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年</w:t>
            </w:r>
          </w:p>
        </w:tc>
      </w:tr>
    </w:tbl>
    <w:p w:rsidR="007558B8" w:rsidRDefault="007558B8" w:rsidP="007558B8">
      <w:pPr>
        <w:pStyle w:val="a6"/>
        <w:ind w:firstLine="480"/>
      </w:pPr>
      <w:bookmarkStart w:id="3" w:name="_Toc458072842"/>
      <w:bookmarkStart w:id="4" w:name="_Toc439687217"/>
      <w:r>
        <w:rPr>
          <w:rFonts w:hint="eastAsia"/>
        </w:rPr>
        <w:t>2.</w:t>
      </w:r>
      <w:r>
        <w:rPr>
          <w:rFonts w:hint="eastAsia"/>
        </w:rPr>
        <w:t>收益评估</w:t>
      </w:r>
      <w:bookmarkEnd w:id="3"/>
    </w:p>
    <w:p w:rsidR="007558B8" w:rsidRPr="002961DF" w:rsidRDefault="007558B8" w:rsidP="007558B8">
      <w:pPr>
        <w:rPr>
          <w:rFonts w:hAnsi="Arial"/>
          <w:b/>
        </w:rPr>
      </w:pPr>
      <w:bookmarkStart w:id="5" w:name="incomeEvaluation"/>
      <w:bookmarkEnd w:id="4"/>
      <w:bookmarkEnd w:id="5"/>
    </w:p>
    <w:p w:rsidR="007558B8" w:rsidRPr="0086011B" w:rsidRDefault="007558B8" w:rsidP="007558B8">
      <w:bookmarkStart w:id="6" w:name="_Toc424826976"/>
      <w:r w:rsidRPr="00D41A66">
        <w:rPr>
          <w:rFonts w:hint="eastAsia"/>
        </w:rPr>
        <w:t>表</w:t>
      </w:r>
      <w:r w:rsidR="006D2E2A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6D2E2A">
        <w:fldChar w:fldCharType="end"/>
      </w:r>
      <w:r w:rsidRPr="00D41A66">
        <w:rPr>
          <w:rFonts w:hint="eastAsia"/>
        </w:rPr>
        <w:t>——</w:t>
      </w:r>
      <w:r>
        <w:rPr>
          <w:rFonts w:hint="eastAsia"/>
        </w:rPr>
        <w:t>项目各项财务指标</w:t>
      </w:r>
      <w:r w:rsidRPr="00D03D88">
        <w:rPr>
          <w:rFonts w:hint="eastAsia"/>
        </w:rPr>
        <w:t>表</w:t>
      </w:r>
      <w:bookmarkEnd w:id="6"/>
    </w:p>
    <w:tbl>
      <w:tblPr>
        <w:tblW w:w="4902" w:type="pct"/>
        <w:jc w:val="center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7"/>
        <w:gridCol w:w="3467"/>
        <w:gridCol w:w="3411"/>
      </w:tblGrid>
      <w:tr w:rsidR="007558B8" w:rsidRPr="009E3468" w:rsidTr="00427E39">
        <w:trPr>
          <w:trHeight w:val="67"/>
          <w:jc w:val="center"/>
        </w:trPr>
        <w:tc>
          <w:tcPr>
            <w:tcW w:w="8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7558B8" w:rsidRPr="009E3468" w:rsidRDefault="007558B8" w:rsidP="00427E39">
            <w:r>
              <w:rPr>
                <w:rFonts w:hint="eastAsia"/>
              </w:rPr>
              <w:t>指标分类</w:t>
            </w:r>
            <w:bookmarkStart w:id="7" w:name="Sewage_Table_3"/>
            <w:bookmarkEnd w:id="7"/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</w:tcPr>
          <w:p w:rsidR="007558B8" w:rsidRPr="009E3468" w:rsidRDefault="007558B8" w:rsidP="00427E39">
            <w:r>
              <w:rPr>
                <w:rFonts w:hint="eastAsia"/>
              </w:rPr>
              <w:t>指标名称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:rsidR="007558B8" w:rsidRPr="009E3468" w:rsidRDefault="007558B8" w:rsidP="00427E39">
            <w:r>
              <w:rPr>
                <w:rFonts w:hint="eastAsia"/>
              </w:rPr>
              <w:t>本项目指标</w:t>
            </w:r>
          </w:p>
        </w:tc>
      </w:tr>
      <w:tr w:rsidR="007558B8" w:rsidRPr="00981554" w:rsidTr="00427E39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7558B8" w:rsidRPr="009E3468" w:rsidRDefault="007558B8" w:rsidP="00427E39">
            <w:r>
              <w:rPr>
                <w:rFonts w:hint="eastAsia"/>
              </w:rPr>
              <w:t>投资指标</w:t>
            </w:r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7558B8" w:rsidRPr="009E3468" w:rsidRDefault="007558B8" w:rsidP="00427E39">
            <w:r>
              <w:rPr>
                <w:rFonts w:hint="eastAsia"/>
              </w:rPr>
              <w:t>全投资内部收益率</w:t>
            </w:r>
            <w:r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7558B8" w:rsidRPr="001D728C" w:rsidRDefault="007558B8" w:rsidP="00427E39">
            <w:proofErr w:type="spellStart"/>
            <w:r w:rsidRPr="00C549AE">
              <w:t>investmentProfitIRR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7558B8" w:rsidRPr="00193136" w:rsidTr="00427E39">
        <w:trPr>
          <w:trHeight w:val="67"/>
          <w:jc w:val="center"/>
        </w:trPr>
        <w:tc>
          <w:tcPr>
            <w:tcW w:w="884" w:type="pct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7558B8" w:rsidRDefault="007558B8" w:rsidP="00427E39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7558B8" w:rsidRPr="00BD54F3" w:rsidRDefault="007558B8" w:rsidP="00427E39">
            <w:r w:rsidRPr="00BD54F3">
              <w:rPr>
                <w:rFonts w:hint="eastAsia"/>
              </w:rPr>
              <w:t>自有资金内部收益率</w:t>
            </w:r>
            <w:r w:rsidRPr="00BD54F3"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7558B8" w:rsidRPr="001D728C" w:rsidRDefault="007558B8" w:rsidP="00427E39">
            <w:proofErr w:type="spellStart"/>
            <w:r w:rsidRPr="00C549AE">
              <w:t>owninvestmentProfitIRR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7558B8" w:rsidRPr="00981554" w:rsidTr="00427E39">
        <w:trPr>
          <w:trHeight w:val="61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7558B8" w:rsidRDefault="007558B8" w:rsidP="00427E39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7558B8" w:rsidRPr="005543AB" w:rsidRDefault="007558B8" w:rsidP="00427E39">
            <w:r w:rsidRPr="005543AB">
              <w:rPr>
                <w:rFonts w:hint="eastAsia"/>
              </w:rPr>
              <w:t>全投资静态回收期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7558B8" w:rsidRPr="001D728C" w:rsidRDefault="007558B8" w:rsidP="00427E39">
            <w:proofErr w:type="spellStart"/>
            <w:r w:rsidRPr="00C549AE">
              <w:t>staticInvestmentProfit</w:t>
            </w:r>
            <w:proofErr w:type="spellEnd"/>
            <w:r w:rsidRPr="001D728C">
              <w:rPr>
                <w:rFonts w:hint="eastAsia"/>
              </w:rPr>
              <w:t>年</w:t>
            </w:r>
          </w:p>
        </w:tc>
      </w:tr>
      <w:tr w:rsidR="007558B8" w:rsidRPr="00981554" w:rsidTr="00427E39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7558B8" w:rsidRPr="009E3468" w:rsidRDefault="007558B8" w:rsidP="00427E39">
            <w:r>
              <w:rPr>
                <w:rFonts w:hint="eastAsia"/>
              </w:rPr>
              <w:t>财务指标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7558B8" w:rsidRPr="005543AB" w:rsidRDefault="007558B8" w:rsidP="00427E39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ROE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7558B8" w:rsidRPr="001D728C" w:rsidRDefault="007558B8" w:rsidP="00427E39">
            <w:proofErr w:type="spellStart"/>
            <w:r w:rsidRPr="006112FC">
              <w:t>averageROE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7558B8" w:rsidRPr="00981554" w:rsidTr="00427E39">
        <w:trPr>
          <w:trHeight w:val="67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7558B8" w:rsidRDefault="007558B8" w:rsidP="00427E39"/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7558B8" w:rsidRPr="005543AB" w:rsidRDefault="007558B8" w:rsidP="00427E39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ROI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7558B8" w:rsidRPr="001D728C" w:rsidRDefault="007558B8" w:rsidP="00427E39">
            <w:proofErr w:type="spellStart"/>
            <w:r w:rsidRPr="006112FC">
              <w:t>averageROI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7558B8" w:rsidRPr="00981554" w:rsidTr="00427E39">
        <w:trPr>
          <w:trHeight w:val="67"/>
          <w:jc w:val="center"/>
        </w:trPr>
        <w:tc>
          <w:tcPr>
            <w:tcW w:w="884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558B8" w:rsidRDefault="007558B8" w:rsidP="00427E39">
            <w:r>
              <w:rPr>
                <w:rFonts w:hint="eastAsia"/>
              </w:rPr>
              <w:t>现金流指标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7558B8" w:rsidRPr="002D674C" w:rsidRDefault="007558B8" w:rsidP="00427E39"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noWrap/>
            <w:vAlign w:val="bottom"/>
          </w:tcPr>
          <w:p w:rsidR="007558B8" w:rsidRPr="001D728C" w:rsidRDefault="007558B8" w:rsidP="00427E39">
            <w:proofErr w:type="spellStart"/>
            <w:r w:rsidRPr="00C549AE">
              <w:t>profitsOne</w:t>
            </w:r>
            <w:proofErr w:type="spellEnd"/>
          </w:p>
        </w:tc>
      </w:tr>
    </w:tbl>
    <w:p w:rsidR="007558B8" w:rsidRPr="00806399" w:rsidRDefault="007558B8" w:rsidP="007558B8">
      <w:bookmarkStart w:id="8" w:name="_Toc424826975"/>
      <w:r w:rsidRPr="009E117D">
        <w:rPr>
          <w:rFonts w:hint="eastAsia"/>
        </w:rPr>
        <w:t>表</w:t>
      </w:r>
      <w:r w:rsidR="006D2E2A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6D2E2A">
        <w:fldChar w:fldCharType="end"/>
      </w:r>
      <w:r w:rsidRPr="009E117D">
        <w:rPr>
          <w:rFonts w:hint="eastAsia"/>
        </w:rPr>
        <w:t>——项目运营前</w:t>
      </w:r>
      <w:r w:rsidRPr="009E117D">
        <w:rPr>
          <w:rFonts w:hint="eastAsia"/>
        </w:rPr>
        <w:t>5</w:t>
      </w:r>
      <w:r w:rsidRPr="009E117D">
        <w:rPr>
          <w:rFonts w:hint="eastAsia"/>
        </w:rPr>
        <w:t>年关键财务指标汇总表</w:t>
      </w:r>
      <w:bookmarkEnd w:id="8"/>
      <w:r w:rsidRPr="009E117D">
        <w:rPr>
          <w:rFonts w:hint="eastAsia"/>
        </w:rPr>
        <w:t>（单位：人民币万元）</w:t>
      </w:r>
    </w:p>
    <w:tbl>
      <w:tblPr>
        <w:tblW w:w="5000" w:type="pct"/>
        <w:jc w:val="center"/>
        <w:tblLook w:val="04A0"/>
      </w:tblPr>
      <w:tblGrid>
        <w:gridCol w:w="287"/>
        <w:gridCol w:w="287"/>
        <w:gridCol w:w="352"/>
        <w:gridCol w:w="1147"/>
        <w:gridCol w:w="1275"/>
        <w:gridCol w:w="1281"/>
        <w:gridCol w:w="1330"/>
        <w:gridCol w:w="1289"/>
        <w:gridCol w:w="1274"/>
      </w:tblGrid>
      <w:tr w:rsidR="007558B8" w:rsidRPr="006C0202" w:rsidTr="00427E39">
        <w:trPr>
          <w:trHeight w:val="44"/>
          <w:jc w:val="center"/>
        </w:trPr>
        <w:tc>
          <w:tcPr>
            <w:tcW w:w="337" w:type="pct"/>
            <w:gridSpan w:val="2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7558B8" w:rsidRPr="00FF0A7C" w:rsidRDefault="007558B8" w:rsidP="00427E39">
            <w:r w:rsidRPr="00FF0A7C">
              <w:t>分类</w:t>
            </w:r>
            <w:bookmarkStart w:id="9" w:name="Sewage_Table_4"/>
            <w:bookmarkEnd w:id="9"/>
          </w:p>
        </w:tc>
        <w:tc>
          <w:tcPr>
            <w:tcW w:w="207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58B8" w:rsidRPr="00FF0A7C" w:rsidRDefault="007558B8" w:rsidP="00427E39">
            <w:r w:rsidRPr="00FF0A7C">
              <w:t>财务指标</w:t>
            </w:r>
          </w:p>
        </w:tc>
        <w:tc>
          <w:tcPr>
            <w:tcW w:w="67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58B8" w:rsidRPr="00A145FF" w:rsidRDefault="007558B8" w:rsidP="00427E39">
            <w:r>
              <w:rPr>
                <w:rFonts w:hint="eastAsia"/>
              </w:rPr>
              <w:t>投资期</w:t>
            </w:r>
          </w:p>
        </w:tc>
        <w:tc>
          <w:tcPr>
            <w:tcW w:w="74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7558B8" w:rsidRPr="00A145FF" w:rsidRDefault="007558B8" w:rsidP="00427E39">
            <w:r w:rsidRPr="00A145FF">
              <w:t>第一年</w:t>
            </w:r>
          </w:p>
        </w:tc>
        <w:tc>
          <w:tcPr>
            <w:tcW w:w="75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58B8" w:rsidRPr="00A145FF" w:rsidRDefault="007558B8" w:rsidP="00427E39">
            <w:r w:rsidRPr="00A145FF">
              <w:t>第二年</w:t>
            </w:r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58B8" w:rsidRPr="00A145FF" w:rsidRDefault="007558B8" w:rsidP="00427E39">
            <w:r w:rsidRPr="00A145FF">
              <w:t>第三年</w:t>
            </w:r>
          </w:p>
        </w:tc>
        <w:tc>
          <w:tcPr>
            <w:tcW w:w="756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58B8" w:rsidRPr="00A145FF" w:rsidRDefault="007558B8" w:rsidP="00427E39">
            <w:r w:rsidRPr="00A145FF">
              <w:t>第四年</w:t>
            </w:r>
          </w:p>
        </w:tc>
        <w:tc>
          <w:tcPr>
            <w:tcW w:w="747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7558B8" w:rsidRPr="00A145FF" w:rsidRDefault="007558B8" w:rsidP="00427E39">
            <w:r w:rsidRPr="00A145FF">
              <w:t>第五年</w:t>
            </w:r>
          </w:p>
        </w:tc>
      </w:tr>
      <w:tr w:rsidR="007558B8" w:rsidRPr="00BB2658" w:rsidTr="00427E39">
        <w:trPr>
          <w:trHeight w:val="44"/>
          <w:jc w:val="center"/>
        </w:trPr>
        <w:tc>
          <w:tcPr>
            <w:tcW w:w="168" w:type="pct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>
            <w:r w:rsidRPr="00BB2658">
              <w:t>全投资</w:t>
            </w:r>
          </w:p>
        </w:tc>
        <w:tc>
          <w:tcPr>
            <w:tcW w:w="168" w:type="pc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>
            <w:r w:rsidRPr="00BB2658">
              <w:t>旧准则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>
            <w:r w:rsidRPr="00BB2658">
              <w:t>净利润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F035B3" w:rsidRDefault="007558B8" w:rsidP="00427E39">
            <w:r w:rsidRPr="005E586B">
              <w:t>investment</w:t>
            </w:r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F035B3" w:rsidRDefault="007558B8" w:rsidP="00427E39">
            <w:proofErr w:type="spellStart"/>
            <w:r w:rsidRPr="005E586B">
              <w:t>investmentOne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035B3" w:rsidRDefault="007558B8" w:rsidP="00427E39">
            <w:proofErr w:type="spellStart"/>
            <w:r w:rsidRPr="005E586B">
              <w:t>investmentTwo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035B3" w:rsidRDefault="007558B8" w:rsidP="00427E39">
            <w:proofErr w:type="spellStart"/>
            <w:r w:rsidRPr="005E586B">
              <w:t>investmentThree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035B3" w:rsidRDefault="007558B8" w:rsidP="00427E39">
            <w:proofErr w:type="spellStart"/>
            <w:r w:rsidRPr="005E586B">
              <w:t>investmentFour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Pr="00F035B3" w:rsidRDefault="007558B8" w:rsidP="00427E39">
            <w:proofErr w:type="spellStart"/>
            <w:r w:rsidRPr="005E586B">
              <w:t>investmentFive</w:t>
            </w:r>
            <w:proofErr w:type="spellEnd"/>
          </w:p>
        </w:tc>
      </w:tr>
      <w:tr w:rsidR="007558B8" w:rsidRPr="00BB2658" w:rsidTr="00427E39">
        <w:trPr>
          <w:trHeight w:val="4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vAlign w:val="center"/>
            <w:hideMark/>
          </w:tcPr>
          <w:p w:rsidR="007558B8" w:rsidRPr="00BB2658" w:rsidRDefault="007558B8" w:rsidP="00427E39"/>
        </w:tc>
        <w:tc>
          <w:tcPr>
            <w:tcW w:w="168" w:type="pct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二号</w:t>
            </w:r>
          </w:p>
          <w:p w:rsidR="007558B8" w:rsidRPr="00685995" w:rsidRDefault="007558B8" w:rsidP="00427E39">
            <w:r w:rsidRPr="00685995">
              <w:t>解释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净利润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891C1F" w:rsidRDefault="007558B8" w:rsidP="00427E39">
            <w:proofErr w:type="spellStart"/>
            <w:r w:rsidRPr="00891C1F">
              <w:t>investmentAll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891C1F" w:rsidRDefault="007558B8" w:rsidP="00427E39">
            <w:proofErr w:type="spellStart"/>
            <w:r w:rsidRPr="00891C1F">
              <w:t>investmentAllOne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891C1F" w:rsidRDefault="007558B8" w:rsidP="00427E39">
            <w:proofErr w:type="spellStart"/>
            <w:r w:rsidRPr="00891C1F">
              <w:t>investmentAllTwo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891C1F" w:rsidRDefault="007558B8" w:rsidP="00427E39">
            <w:proofErr w:type="spellStart"/>
            <w:r w:rsidRPr="00891C1F">
              <w:t>investmentAllThree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891C1F" w:rsidRDefault="007558B8" w:rsidP="00427E39">
            <w:proofErr w:type="spellStart"/>
            <w:r w:rsidRPr="00891C1F">
              <w:t>investmentAllFour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891C1F">
              <w:t>investmentAllFive</w:t>
            </w:r>
            <w:proofErr w:type="spellEnd"/>
          </w:p>
        </w:tc>
      </w:tr>
      <w:tr w:rsidR="007558B8" w:rsidRPr="00BB2658" w:rsidTr="00427E39">
        <w:trPr>
          <w:trHeight w:val="5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vAlign w:val="center"/>
            <w:hideMark/>
          </w:tcPr>
          <w:p w:rsidR="007558B8" w:rsidRPr="00BB2658" w:rsidRDefault="007558B8" w:rsidP="00427E39"/>
        </w:tc>
        <w:tc>
          <w:tcPr>
            <w:tcW w:w="168" w:type="pct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58B8" w:rsidRPr="00685995" w:rsidRDefault="007558B8" w:rsidP="00427E39"/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ROI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7409C3" w:rsidRDefault="007558B8" w:rsidP="00427E39">
            <w:proofErr w:type="spellStart"/>
            <w:r>
              <w:rPr>
                <w:rFonts w:hint="eastAsia"/>
              </w:rPr>
              <w:t>roi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7409C3" w:rsidRDefault="007558B8" w:rsidP="00427E39">
            <w:proofErr w:type="spellStart"/>
            <w:r w:rsidRPr="007409C3">
              <w:t>ROIOne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7409C3" w:rsidRDefault="007558B8" w:rsidP="00427E39">
            <w:proofErr w:type="spellStart"/>
            <w:r w:rsidRPr="007409C3">
              <w:t>ROITwo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7409C3" w:rsidRDefault="007558B8" w:rsidP="00427E39">
            <w:proofErr w:type="spellStart"/>
            <w:r w:rsidRPr="007409C3">
              <w:t>ROIThree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7409C3" w:rsidRDefault="007558B8" w:rsidP="00427E39">
            <w:proofErr w:type="spellStart"/>
            <w:r w:rsidRPr="007409C3">
              <w:t>ROIFour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7409C3">
              <w:t>ROIFive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7558B8" w:rsidRPr="00BB2658" w:rsidTr="00427E39">
        <w:trPr>
          <w:trHeight w:val="4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vAlign w:val="center"/>
            <w:hideMark/>
          </w:tcPr>
          <w:p w:rsidR="007558B8" w:rsidRPr="00BB2658" w:rsidRDefault="007558B8" w:rsidP="00427E39"/>
        </w:tc>
        <w:tc>
          <w:tcPr>
            <w:tcW w:w="375" w:type="pct"/>
            <w:gridSpan w:val="2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58B8" w:rsidRPr="00E42B3D" w:rsidRDefault="007558B8" w:rsidP="00427E39">
            <w:r w:rsidRPr="00E42B3D">
              <w:rPr>
                <w:rFonts w:hint="eastAsia"/>
              </w:rPr>
              <w:t>投资活动现金净流量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C228E2" w:rsidRDefault="007558B8" w:rsidP="00427E39">
            <w:proofErr w:type="spellStart"/>
            <w:r w:rsidRPr="00C228E2">
              <w:t>investmentActivitesFlow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C228E2" w:rsidRDefault="007558B8" w:rsidP="00427E39">
            <w:proofErr w:type="spellStart"/>
            <w:r w:rsidRPr="00C228E2">
              <w:t>investmentActivitesFlowOne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C228E2" w:rsidRDefault="007558B8" w:rsidP="00427E39">
            <w:proofErr w:type="spellStart"/>
            <w:r w:rsidRPr="00C228E2">
              <w:t>investmentActivitesFlowTwo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C228E2" w:rsidRDefault="007558B8" w:rsidP="00427E39">
            <w:proofErr w:type="spellStart"/>
            <w:r w:rsidRPr="00C228E2">
              <w:t>investmentActivitesFlowThree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C228E2" w:rsidRDefault="007558B8" w:rsidP="00427E39">
            <w:proofErr w:type="spellStart"/>
            <w:r w:rsidRPr="00C228E2">
              <w:t>investmentActivitesFlowFour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C228E2">
              <w:t>investmentActivitesFlowFive</w:t>
            </w:r>
            <w:proofErr w:type="spellEnd"/>
          </w:p>
        </w:tc>
      </w:tr>
      <w:tr w:rsidR="007558B8" w:rsidRPr="00BB2658" w:rsidTr="00427E39">
        <w:trPr>
          <w:trHeight w:val="272"/>
          <w:jc w:val="center"/>
        </w:trPr>
        <w:tc>
          <w:tcPr>
            <w:tcW w:w="168" w:type="pct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7558B8" w:rsidRPr="00BB2658" w:rsidRDefault="007558B8" w:rsidP="00427E39"/>
        </w:tc>
        <w:tc>
          <w:tcPr>
            <w:tcW w:w="37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58B8" w:rsidRPr="00E42B3D" w:rsidRDefault="007558B8" w:rsidP="00427E39">
            <w:r w:rsidRPr="00E42B3D">
              <w:rPr>
                <w:rFonts w:hint="eastAsia"/>
              </w:rPr>
              <w:t>经营活动现金净流量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F01E0E" w:rsidRDefault="007558B8" w:rsidP="00427E39">
            <w:proofErr w:type="spellStart"/>
            <w:r w:rsidRPr="00F01E0E">
              <w:t>investmentActivitesCleanFlow</w:t>
            </w:r>
            <w:proofErr w:type="spellEnd"/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7558B8" w:rsidRPr="00F01E0E" w:rsidRDefault="007558B8" w:rsidP="00427E39">
            <w:proofErr w:type="spellStart"/>
            <w:r w:rsidRPr="00F01E0E">
              <w:t>investmentActivitesCleanFlowOne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01E0E" w:rsidRDefault="007558B8" w:rsidP="00427E39">
            <w:proofErr w:type="spellStart"/>
            <w:r w:rsidRPr="00F01E0E">
              <w:t>investmentActivitesCleanFlowTwo</w:t>
            </w:r>
            <w:proofErr w:type="spellEnd"/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01E0E" w:rsidRDefault="007558B8" w:rsidP="00427E39">
            <w:proofErr w:type="spellStart"/>
            <w:r w:rsidRPr="00F01E0E">
              <w:t>investmentActivitesCleanFlowThree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01E0E" w:rsidRDefault="007558B8" w:rsidP="00427E39">
            <w:proofErr w:type="spellStart"/>
            <w:r w:rsidRPr="00F01E0E">
              <w:t>investmentActivitesCleanFlowFour</w:t>
            </w:r>
            <w:proofErr w:type="spellEnd"/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F01E0E">
              <w:t>investmentActivitesCleanFlowFive</w:t>
            </w:r>
            <w:proofErr w:type="spellEnd"/>
          </w:p>
        </w:tc>
      </w:tr>
      <w:tr w:rsidR="007558B8" w:rsidRPr="00BB2658" w:rsidTr="00427E39">
        <w:trPr>
          <w:trHeight w:val="44"/>
          <w:jc w:val="center"/>
        </w:trPr>
        <w:tc>
          <w:tcPr>
            <w:tcW w:w="168" w:type="pct"/>
            <w:vMerge w:val="restart"/>
            <w:tcBorders>
              <w:top w:val="nil"/>
              <w:right w:val="single" w:sz="12" w:space="0" w:color="auto"/>
            </w:tcBorders>
            <w:vAlign w:val="center"/>
            <w:hideMark/>
          </w:tcPr>
          <w:p w:rsidR="007558B8" w:rsidRPr="00BB2658" w:rsidRDefault="007558B8" w:rsidP="00427E39">
            <w:r w:rsidRPr="00BB2658">
              <w:t>自有</w:t>
            </w:r>
          </w:p>
          <w:p w:rsidR="007558B8" w:rsidRPr="00BB2658" w:rsidRDefault="007558B8" w:rsidP="00427E39">
            <w:r w:rsidRPr="00BB2658">
              <w:t>资金</w:t>
            </w:r>
          </w:p>
        </w:tc>
        <w:tc>
          <w:tcPr>
            <w:tcW w:w="4832" w:type="pct"/>
            <w:gridSpan w:val="8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558B8" w:rsidRPr="00F035B3" w:rsidRDefault="007558B8" w:rsidP="00427E39">
            <w:proofErr w:type="spellStart"/>
            <w:r w:rsidRPr="009E269A">
              <w:t>ownFunds</w:t>
            </w:r>
            <w:proofErr w:type="spellEnd"/>
          </w:p>
        </w:tc>
      </w:tr>
      <w:tr w:rsidR="007558B8" w:rsidRPr="00BB2658" w:rsidTr="00427E39">
        <w:trPr>
          <w:trHeight w:val="6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/>
        </w:tc>
        <w:tc>
          <w:tcPr>
            <w:tcW w:w="168" w:type="pct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旧准则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净利润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8A6B21" w:rsidRDefault="007558B8" w:rsidP="00427E39">
            <w:proofErr w:type="spellStart"/>
            <w:r w:rsidRPr="008A6B21">
              <w:t>cleanIncome</w:t>
            </w:r>
            <w:proofErr w:type="spellEnd"/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8A6B21" w:rsidRDefault="007558B8" w:rsidP="00427E39">
            <w:proofErr w:type="spellStart"/>
            <w:r w:rsidRPr="008A6B21">
              <w:t>cleanIncomeOne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8A6B21" w:rsidRDefault="007558B8" w:rsidP="00427E39">
            <w:proofErr w:type="spellStart"/>
            <w:r w:rsidRPr="008A6B21">
              <w:t>cleanIncomeTwo</w:t>
            </w:r>
            <w:proofErr w:type="spellEnd"/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8A6B21" w:rsidRDefault="007558B8" w:rsidP="00427E39">
            <w:proofErr w:type="spellStart"/>
            <w:r w:rsidRPr="008A6B21">
              <w:t>cleanIncomeThree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8A6B21" w:rsidRDefault="007558B8" w:rsidP="00427E39">
            <w:proofErr w:type="spellStart"/>
            <w:r w:rsidRPr="008A6B21">
              <w:t>cleanIncomeFour</w:t>
            </w:r>
            <w:proofErr w:type="spellEnd"/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8A6B21">
              <w:t>cleanIncomeFive</w:t>
            </w:r>
            <w:proofErr w:type="spellEnd"/>
          </w:p>
        </w:tc>
      </w:tr>
      <w:tr w:rsidR="007558B8" w:rsidRPr="00BB2658" w:rsidTr="00427E39">
        <w:trPr>
          <w:trHeight w:val="5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/>
        </w:tc>
        <w:tc>
          <w:tcPr>
            <w:tcW w:w="168" w:type="pct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二号</w:t>
            </w:r>
          </w:p>
          <w:p w:rsidR="007558B8" w:rsidRPr="00685995" w:rsidRDefault="007558B8" w:rsidP="00427E39">
            <w:r w:rsidRPr="00685995">
              <w:t>解释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净利润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704E48" w:rsidRDefault="007558B8" w:rsidP="00427E39">
            <w:proofErr w:type="spellStart"/>
            <w:r w:rsidRPr="00704E48">
              <w:t>othercleanIncome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704E48" w:rsidRDefault="007558B8" w:rsidP="00427E39">
            <w:proofErr w:type="spellStart"/>
            <w:r w:rsidRPr="00704E48">
              <w:t>othercleanIncomeOne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704E48" w:rsidRDefault="007558B8" w:rsidP="00427E39">
            <w:proofErr w:type="spellStart"/>
            <w:r w:rsidRPr="00704E48">
              <w:t>othercleanIncomeTwo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704E48" w:rsidRDefault="007558B8" w:rsidP="00427E39">
            <w:proofErr w:type="spellStart"/>
            <w:r w:rsidRPr="00704E48">
              <w:t>othercleanIncomeThree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704E48" w:rsidRDefault="007558B8" w:rsidP="00427E39">
            <w:proofErr w:type="spellStart"/>
            <w:r w:rsidRPr="00704E48">
              <w:t>othercleanIncomeFour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704E48">
              <w:t>othercleanIncomeFive</w:t>
            </w:r>
            <w:proofErr w:type="spellEnd"/>
          </w:p>
        </w:tc>
      </w:tr>
      <w:tr w:rsidR="007558B8" w:rsidRPr="00BB2658" w:rsidTr="00427E39">
        <w:trPr>
          <w:trHeight w:val="5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/>
        </w:tc>
        <w:tc>
          <w:tcPr>
            <w:tcW w:w="168" w:type="pct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558B8" w:rsidRPr="00685995" w:rsidRDefault="007558B8" w:rsidP="00427E39"/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58B8" w:rsidRPr="00685995" w:rsidRDefault="007558B8" w:rsidP="00427E39">
            <w:r w:rsidRPr="00685995">
              <w:t>ROE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9B5E3C" w:rsidRDefault="007558B8" w:rsidP="00427E39">
            <w:r>
              <w:rPr>
                <w:rFonts w:hint="eastAsia"/>
              </w:rPr>
              <w:t>roe</w:t>
            </w:r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558B8" w:rsidRPr="009B5E3C" w:rsidRDefault="007558B8" w:rsidP="00427E39">
            <w:proofErr w:type="spellStart"/>
            <w:r w:rsidRPr="009B5E3C">
              <w:t>ROEOne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9B5E3C" w:rsidRDefault="007558B8" w:rsidP="00427E39">
            <w:proofErr w:type="spellStart"/>
            <w:r w:rsidRPr="009B5E3C">
              <w:t>ROETwo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9B5E3C" w:rsidRDefault="007558B8" w:rsidP="00427E39">
            <w:proofErr w:type="spellStart"/>
            <w:r w:rsidRPr="009B5E3C">
              <w:t>ROEThree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9B5E3C" w:rsidRDefault="007558B8" w:rsidP="00427E39">
            <w:proofErr w:type="spellStart"/>
            <w:r w:rsidRPr="009B5E3C">
              <w:t>ROEFour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9B5E3C">
              <w:t>ROEFive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7558B8" w:rsidRPr="00BB2658" w:rsidTr="00427E39">
        <w:trPr>
          <w:trHeight w:val="54"/>
          <w:jc w:val="center"/>
        </w:trPr>
        <w:tc>
          <w:tcPr>
            <w:tcW w:w="168" w:type="pct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558B8" w:rsidRPr="00BB2658" w:rsidRDefault="007558B8" w:rsidP="00427E39"/>
        </w:tc>
        <w:tc>
          <w:tcPr>
            <w:tcW w:w="375" w:type="pct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58B8" w:rsidRPr="00BB2658" w:rsidRDefault="007558B8" w:rsidP="00427E39">
            <w:r w:rsidRPr="0076394C">
              <w:t>自有资金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lastRenderedPageBreak/>
              <w:t>净流量</w:t>
            </w:r>
          </w:p>
        </w:tc>
        <w:tc>
          <w:tcPr>
            <w:tcW w:w="67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E30B8A" w:rsidRDefault="007558B8" w:rsidP="00427E39">
            <w:proofErr w:type="spellStart"/>
            <w:r w:rsidRPr="00E30B8A">
              <w:lastRenderedPageBreak/>
              <w:t>ownFundsInCashFlows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7558B8" w:rsidRPr="00E30B8A" w:rsidRDefault="007558B8" w:rsidP="00427E39">
            <w:proofErr w:type="spellStart"/>
            <w:r w:rsidRPr="00E30B8A">
              <w:t>ownFundsInCashFlowsOne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E30B8A" w:rsidRDefault="007558B8" w:rsidP="00427E39">
            <w:proofErr w:type="spellStart"/>
            <w:r w:rsidRPr="00E30B8A">
              <w:t>ownFundsInCashFlowsTwo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E30B8A" w:rsidRDefault="007558B8" w:rsidP="00427E39">
            <w:proofErr w:type="spellStart"/>
            <w:r w:rsidRPr="00E30B8A">
              <w:t>ownFundsInCashFlowsThree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E30B8A" w:rsidRDefault="007558B8" w:rsidP="00427E39">
            <w:proofErr w:type="spellStart"/>
            <w:r w:rsidRPr="00E30B8A">
              <w:t>ownFundsInCashFlowsFour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E30B8A">
              <w:t>ownFundsInCashFlowsFive</w:t>
            </w:r>
            <w:proofErr w:type="spellEnd"/>
          </w:p>
        </w:tc>
      </w:tr>
      <w:tr w:rsidR="007558B8" w:rsidRPr="00BB2658" w:rsidTr="00427E39">
        <w:trPr>
          <w:trHeight w:val="54"/>
          <w:jc w:val="center"/>
        </w:trPr>
        <w:tc>
          <w:tcPr>
            <w:tcW w:w="543" w:type="pct"/>
            <w:gridSpan w:val="3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58B8" w:rsidRPr="0076394C" w:rsidRDefault="007558B8" w:rsidP="00427E39">
            <w:r w:rsidRPr="004B70CA">
              <w:rPr>
                <w:rFonts w:hint="eastAsia"/>
              </w:rPr>
              <w:lastRenderedPageBreak/>
              <w:t>北控水务分红现金流</w:t>
            </w:r>
          </w:p>
        </w:tc>
        <w:tc>
          <w:tcPr>
            <w:tcW w:w="67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7558B8" w:rsidRPr="00F10DFD" w:rsidRDefault="007558B8" w:rsidP="00427E39">
            <w:proofErr w:type="spellStart"/>
            <w:r w:rsidRPr="00F10DFD">
              <w:t>dividendCashFlow</w:t>
            </w:r>
            <w:proofErr w:type="spellEnd"/>
          </w:p>
        </w:tc>
        <w:tc>
          <w:tcPr>
            <w:tcW w:w="74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7558B8" w:rsidRPr="00F10DFD" w:rsidRDefault="007558B8" w:rsidP="00427E39">
            <w:proofErr w:type="spellStart"/>
            <w:r w:rsidRPr="00F10DFD">
              <w:t>dividendCashFlowOne</w:t>
            </w:r>
            <w:proofErr w:type="spellEnd"/>
          </w:p>
        </w:tc>
        <w:tc>
          <w:tcPr>
            <w:tcW w:w="75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10DFD" w:rsidRDefault="007558B8" w:rsidP="00427E39">
            <w:proofErr w:type="spellStart"/>
            <w:r w:rsidRPr="00F10DFD">
              <w:t>dividendCashFlowTwo</w:t>
            </w:r>
            <w:proofErr w:type="spellEnd"/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10DFD" w:rsidRDefault="007558B8" w:rsidP="00427E39">
            <w:proofErr w:type="spellStart"/>
            <w:r w:rsidRPr="00F10DFD">
              <w:t>dividendCashFlowThree</w:t>
            </w:r>
            <w:proofErr w:type="spellEnd"/>
          </w:p>
        </w:tc>
        <w:tc>
          <w:tcPr>
            <w:tcW w:w="756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558B8" w:rsidRPr="00F10DFD" w:rsidRDefault="007558B8" w:rsidP="00427E39">
            <w:proofErr w:type="spellStart"/>
            <w:r w:rsidRPr="00F10DFD">
              <w:t>dividendCashFlowFour</w:t>
            </w:r>
            <w:proofErr w:type="spellEnd"/>
          </w:p>
        </w:tc>
        <w:tc>
          <w:tcPr>
            <w:tcW w:w="747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7558B8" w:rsidRDefault="007558B8" w:rsidP="00427E39">
            <w:proofErr w:type="spellStart"/>
            <w:r w:rsidRPr="00F10DFD">
              <w:t>dividendCashFlowFive</w:t>
            </w:r>
            <w:proofErr w:type="spellEnd"/>
          </w:p>
        </w:tc>
      </w:tr>
    </w:tbl>
    <w:p w:rsidR="007558B8" w:rsidRDefault="007558B8" w:rsidP="007558B8">
      <w:r>
        <w:rPr>
          <w:rFonts w:hint="eastAsia"/>
        </w:rPr>
        <w:t>备注：</w:t>
      </w:r>
      <w:bookmarkStart w:id="10" w:name="content"/>
      <w:bookmarkEnd w:id="10"/>
    </w:p>
    <w:p w:rsidR="007558B8" w:rsidRPr="00F035B3" w:rsidRDefault="007558B8" w:rsidP="007558B8">
      <w:r w:rsidRPr="00F035B3">
        <w:rPr>
          <w:rFonts w:hint="eastAsia"/>
        </w:rPr>
        <w:t>注：</w:t>
      </w:r>
      <w:r w:rsidRPr="00F035B3">
        <w:rPr>
          <w:rFonts w:hint="eastAsia"/>
        </w:rPr>
        <w:t>1</w:t>
      </w:r>
      <w:r w:rsidRPr="00F035B3">
        <w:rPr>
          <w:rFonts w:hint="eastAsia"/>
        </w:rPr>
        <w:t>）</w:t>
      </w:r>
      <w:r w:rsidRPr="00F035B3">
        <w:t>如果不适用项目借款，自有资金部分划横线，并在表下加注说明</w:t>
      </w:r>
      <w:r w:rsidRPr="00F035B3">
        <w:rPr>
          <w:rFonts w:hint="eastAsia"/>
        </w:rPr>
        <w:t>；</w:t>
      </w:r>
    </w:p>
    <w:p w:rsidR="007558B8" w:rsidRDefault="007558B8" w:rsidP="007558B8">
      <w:r w:rsidRPr="00F035B3">
        <w:rPr>
          <w:rFonts w:hint="eastAsia"/>
        </w:rPr>
        <w:t>2</w:t>
      </w:r>
      <w:r w:rsidRPr="00F035B3">
        <w:rPr>
          <w:rFonts w:hint="eastAsia"/>
        </w:rPr>
        <w:t>）表</w:t>
      </w:r>
      <w:r w:rsidRPr="00F035B3">
        <w:rPr>
          <w:rFonts w:hint="eastAsia"/>
        </w:rPr>
        <w:t xml:space="preserve">2 </w:t>
      </w:r>
      <w:r w:rsidRPr="00F035B3">
        <w:rPr>
          <w:rFonts w:hint="eastAsia"/>
        </w:rPr>
        <w:t>数据应统一保留两位小数，并将负数标注红色；</w:t>
      </w:r>
    </w:p>
    <w:p w:rsidR="004358AB" w:rsidRDefault="007558B8" w:rsidP="007558B8">
      <w:r>
        <w:rPr>
          <w:rFonts w:hint="eastAsia"/>
        </w:rPr>
        <w:t>3</w:t>
      </w:r>
      <w:r>
        <w:rPr>
          <w:rFonts w:hint="eastAsia"/>
        </w:rPr>
        <w:t>）</w:t>
      </w:r>
      <w:r w:rsidRPr="00F035B3">
        <w:rPr>
          <w:rFonts w:hint="eastAsia"/>
        </w:rPr>
        <w:t>若</w:t>
      </w:r>
      <w:r w:rsidRPr="00F035B3">
        <w:t>前</w:t>
      </w:r>
      <w:r w:rsidRPr="00F035B3">
        <w:rPr>
          <w:rFonts w:hint="eastAsia"/>
        </w:rPr>
        <w:t>三</w:t>
      </w:r>
      <w:r w:rsidRPr="00F035B3">
        <w:t>年自有现金流</w:t>
      </w:r>
      <w:r w:rsidRPr="00F035B3">
        <w:rPr>
          <w:rFonts w:hint="eastAsia"/>
        </w:rPr>
        <w:t>为</w:t>
      </w:r>
      <w:r w:rsidRPr="00F035B3">
        <w:t>负</w:t>
      </w:r>
      <w:r w:rsidRPr="00F035B3">
        <w:rPr>
          <w:rFonts w:hint="eastAsia"/>
        </w:rPr>
        <w:t>，</w:t>
      </w:r>
      <w:r w:rsidRPr="00F035B3">
        <w:t>提示项目初期财务生存能力差</w:t>
      </w:r>
      <w:r w:rsidRPr="00F035B3">
        <w:rPr>
          <w:rFonts w:hint="eastAsia"/>
        </w:rPr>
        <w:t>，可能</w:t>
      </w:r>
      <w:r w:rsidRPr="00F035B3">
        <w:t>需集团提供流动资金</w:t>
      </w:r>
      <w:r w:rsidRPr="00F035B3"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E40" w:rsidRDefault="00FF3E40" w:rsidP="00904ECC">
      <w:pPr>
        <w:spacing w:after="0"/>
      </w:pPr>
      <w:r>
        <w:separator/>
      </w:r>
    </w:p>
  </w:endnote>
  <w:endnote w:type="continuationSeparator" w:id="0">
    <w:p w:rsidR="00FF3E40" w:rsidRDefault="00FF3E40" w:rsidP="00904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E40" w:rsidRDefault="00FF3E40" w:rsidP="00904ECC">
      <w:pPr>
        <w:spacing w:after="0"/>
      </w:pPr>
      <w:r>
        <w:separator/>
      </w:r>
    </w:p>
  </w:footnote>
  <w:footnote w:type="continuationSeparator" w:id="0">
    <w:p w:rsidR="00FF3E40" w:rsidRDefault="00FF3E40" w:rsidP="00904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4971"/>
    <w:rsid w:val="00323B43"/>
    <w:rsid w:val="003D37D8"/>
    <w:rsid w:val="00426133"/>
    <w:rsid w:val="004358AB"/>
    <w:rsid w:val="00471C39"/>
    <w:rsid w:val="004B70CA"/>
    <w:rsid w:val="006D2E2A"/>
    <w:rsid w:val="007558B8"/>
    <w:rsid w:val="00805842"/>
    <w:rsid w:val="008B7726"/>
    <w:rsid w:val="00904ECC"/>
    <w:rsid w:val="00AE3864"/>
    <w:rsid w:val="00B2263C"/>
    <w:rsid w:val="00C62094"/>
    <w:rsid w:val="00D31D50"/>
    <w:rsid w:val="00DB6CAA"/>
    <w:rsid w:val="00E23A54"/>
    <w:rsid w:val="00E85DA0"/>
    <w:rsid w:val="00FF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E23A54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E23A54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E23A54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E23A54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E23A54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E23A54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E23A54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E23A54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E23A54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E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E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E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ECC"/>
    <w:rPr>
      <w:rFonts w:ascii="Tahoma" w:hAnsi="Tahoma"/>
      <w:sz w:val="18"/>
      <w:szCs w:val="18"/>
    </w:rPr>
  </w:style>
  <w:style w:type="paragraph" w:styleId="a5">
    <w:name w:val="List Paragraph"/>
    <w:aliases w:val="List,Num Bullet 1,Bullet Number,lp1,List Paragraph1,List Paragraph11,Liste à puce - Normal,Use Case List Paragraph,lp11,Bulletted,Table Number Paragraph,Bullet List,FooterText,numbered,Paragraphe de liste1,Bulletr List Paragraph,列出段落1"/>
    <w:basedOn w:val="a"/>
    <w:link w:val="Char1"/>
    <w:uiPriority w:val="34"/>
    <w:qFormat/>
    <w:rsid w:val="00904ECC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1">
    <w:name w:val="列出段落 Char"/>
    <w:aliases w:val="List Char,Num Bullet 1 Char,Bullet Number Char,lp1 Char,List Paragraph1 Char,List Paragraph11 Char,Liste à puce - Normal Char,Use Case List Paragraph Char,lp11 Char,Bulletted Char,Table Number Paragraph Char,Bullet List Char,FooterText Char"/>
    <w:basedOn w:val="a0"/>
    <w:link w:val="a5"/>
    <w:uiPriority w:val="34"/>
    <w:locked/>
    <w:rsid w:val="00904ECC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E23A54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E23A54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E23A54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E23A54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E23A54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E23A54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E23A54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E23A54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E23A54"/>
    <w:rPr>
      <w:rFonts w:ascii="Arial" w:eastAsia="宋体" w:hAnsi="Arial" w:cs="Times New Roman"/>
      <w:b/>
      <w:kern w:val="2"/>
      <w:sz w:val="24"/>
      <w:szCs w:val="21"/>
    </w:rPr>
  </w:style>
  <w:style w:type="paragraph" w:customStyle="1" w:styleId="a6">
    <w:name w:val="缩进正文"/>
    <w:basedOn w:val="a"/>
    <w:autoRedefine/>
    <w:rsid w:val="00E23A54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2016-11-09T07:38:00Z</dcterms:modified>
</cp:coreProperties>
</file>