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1F75" w14:textId="77777777" w:rsidR="00972519" w:rsidRDefault="00B140AE">
      <w:pPr>
        <w:spacing w:beforeLines="50" w:before="156" w:afterLines="20" w:after="62" w:line="360" w:lineRule="auto"/>
        <w:jc w:val="center"/>
        <w:rPr>
          <w:rFonts w:ascii="Times New Roman" w:eastAsia="楷体_GB2312" w:hAnsi="Times New Roman" w:cs="Times New Roman"/>
          <w:color w:val="0000FF"/>
          <w:sz w:val="60"/>
          <w:szCs w:val="24"/>
        </w:rPr>
      </w:pPr>
      <w:r>
        <w:rPr>
          <w:rFonts w:ascii="Times New Roman" w:eastAsia="楷体_GB2312" w:hAnsi="Times New Roman" w:cs="Times New Roman" w:hint="eastAsia"/>
          <w:noProof/>
          <w:sz w:val="60"/>
          <w:szCs w:val="24"/>
        </w:rPr>
        <w:drawing>
          <wp:inline distT="0" distB="0" distL="114300" distR="114300" wp14:anchorId="71C1E8F3" wp14:editId="371294A9">
            <wp:extent cx="2512695" cy="594360"/>
            <wp:effectExtent l="0" t="0" r="0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6457" w14:textId="77777777" w:rsidR="002A5883" w:rsidRDefault="002A5883">
      <w:pPr>
        <w:spacing w:beforeLines="50" w:before="156" w:afterLines="20" w:after="62" w:line="360" w:lineRule="auto"/>
        <w:jc w:val="center"/>
        <w:rPr>
          <w:rFonts w:ascii="Times New Roman" w:eastAsia="楷体_GB2312" w:hAnsi="Times New Roman" w:cs="Times New Roman" w:hint="eastAsia"/>
          <w:color w:val="0000FF"/>
          <w:sz w:val="60"/>
          <w:szCs w:val="24"/>
        </w:rPr>
      </w:pPr>
    </w:p>
    <w:p w14:paraId="2E118E7E" w14:textId="77777777" w:rsidR="00972519" w:rsidRDefault="00C40C8D">
      <w:pPr>
        <w:spacing w:beforeLines="50" w:before="156" w:afterLines="100" w:after="312" w:line="800" w:lineRule="exact"/>
        <w:jc w:val="center"/>
        <w:rPr>
          <w:rFonts w:ascii="黑体" w:eastAsia="黑体" w:hAnsi="Times New Roman" w:cs="Times New Roman"/>
          <w:sz w:val="48"/>
          <w:szCs w:val="44"/>
        </w:rPr>
      </w:pPr>
      <w:r>
        <w:rPr>
          <w:rFonts w:ascii="黑体" w:eastAsia="黑体" w:hAnsi="Times New Roman" w:cs="Times New Roman" w:hint="eastAsia"/>
          <w:sz w:val="48"/>
          <w:szCs w:val="44"/>
        </w:rPr>
        <w:t>课程设计</w:t>
      </w:r>
      <w:r w:rsidR="00B140AE">
        <w:rPr>
          <w:rFonts w:ascii="黑体" w:eastAsia="黑体" w:hAnsi="Times New Roman" w:cs="Times New Roman" w:hint="eastAsia"/>
          <w:sz w:val="48"/>
          <w:szCs w:val="44"/>
        </w:rPr>
        <w:t>报告</w:t>
      </w:r>
    </w:p>
    <w:p w14:paraId="72943A15" w14:textId="77777777" w:rsidR="00972519" w:rsidRDefault="00972519">
      <w:pPr>
        <w:spacing w:beforeLines="50" w:before="156" w:afterLines="100" w:after="312" w:line="800" w:lineRule="exact"/>
        <w:jc w:val="center"/>
        <w:rPr>
          <w:rFonts w:ascii="黑体" w:eastAsia="黑体" w:hAnsi="Times New Roman" w:cs="Times New Roman"/>
          <w:sz w:val="44"/>
          <w:szCs w:val="44"/>
        </w:rPr>
      </w:pPr>
    </w:p>
    <w:p w14:paraId="3B852E51" w14:textId="77777777" w:rsidR="00972519" w:rsidRDefault="00B140AE">
      <w:pPr>
        <w:spacing w:line="800" w:lineRule="exact"/>
        <w:ind w:leftChars="400" w:left="840" w:rightChars="350" w:right="735"/>
        <w:rPr>
          <w:rFonts w:ascii="Times New Roman" w:eastAsia="宋体" w:hAnsi="Times New Roman" w:cs="Times New Roman"/>
          <w:sz w:val="30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30"/>
          <w:szCs w:val="24"/>
        </w:rPr>
        <w:t>课程名称：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          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    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  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        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</w:t>
      </w:r>
    </w:p>
    <w:p w14:paraId="7F4EA879" w14:textId="77777777" w:rsidR="00972519" w:rsidRDefault="00B140AE">
      <w:pPr>
        <w:spacing w:line="800" w:lineRule="exact"/>
        <w:ind w:leftChars="400" w:left="840" w:rightChars="350" w:right="735"/>
        <w:rPr>
          <w:rFonts w:ascii="Times New Roman" w:eastAsia="宋体" w:hAnsi="Times New Roman" w:cs="Times New Roman"/>
          <w:sz w:val="30"/>
          <w:szCs w:val="24"/>
        </w:rPr>
      </w:pPr>
      <w:r>
        <w:rPr>
          <w:rFonts w:ascii="Times New Roman" w:eastAsia="宋体" w:hAnsi="Times New Roman" w:cs="Times New Roman" w:hint="eastAsia"/>
          <w:sz w:val="30"/>
          <w:szCs w:val="24"/>
        </w:rPr>
        <w:t>班级名称</w:t>
      </w:r>
      <w:r>
        <w:rPr>
          <w:rFonts w:ascii="Times New Roman" w:eastAsia="宋体" w:hAnsi="Times New Roman" w:cs="Times New Roman" w:hint="eastAsia"/>
          <w:kern w:val="0"/>
          <w:sz w:val="30"/>
          <w:szCs w:val="24"/>
        </w:rPr>
        <w:t>：</w:t>
      </w:r>
      <w:r>
        <w:rPr>
          <w:rFonts w:ascii="楷体_GB2312" w:eastAsia="楷体_GB2312" w:hAnsi="Times New Roman" w:cs="Times New Roman" w:hint="eastAsia"/>
          <w:b/>
          <w:bCs/>
          <w:sz w:val="32"/>
          <w:szCs w:val="24"/>
          <w:u w:val="single"/>
        </w:rPr>
        <w:t xml:space="preserve">   </w:t>
      </w:r>
      <w:r>
        <w:rPr>
          <w:rFonts w:ascii="宋体" w:eastAsia="宋体" w:hAnsi="宋体" w:cs="宋体" w:hint="eastAsia"/>
          <w:sz w:val="32"/>
          <w:szCs w:val="24"/>
          <w:u w:val="single"/>
        </w:rPr>
        <w:t xml:space="preserve"> </w:t>
      </w:r>
      <w:r>
        <w:rPr>
          <w:rFonts w:ascii="宋体" w:eastAsia="宋体" w:hAnsi="宋体" w:cs="宋体"/>
          <w:sz w:val="32"/>
          <w:szCs w:val="24"/>
          <w:u w:val="single"/>
        </w:rPr>
        <w:t xml:space="preserve">                               </w:t>
      </w:r>
    </w:p>
    <w:p w14:paraId="07A21C00" w14:textId="77777777" w:rsidR="00972519" w:rsidRDefault="00B140AE">
      <w:pPr>
        <w:spacing w:line="800" w:lineRule="exact"/>
        <w:ind w:leftChars="400" w:left="840" w:rightChars="350" w:right="735"/>
        <w:rPr>
          <w:rFonts w:ascii="Times New Roman" w:eastAsia="宋体" w:hAnsi="Times New Roman" w:cs="Times New Roman"/>
          <w:sz w:val="30"/>
          <w:szCs w:val="24"/>
          <w:u w:val="single"/>
        </w:rPr>
      </w:pPr>
      <w:r>
        <w:rPr>
          <w:rFonts w:ascii="Times New Roman" w:eastAsia="宋体" w:hAnsi="Times New Roman" w:cs="Times New Roman" w:hint="eastAsia"/>
          <w:kern w:val="0"/>
          <w:sz w:val="30"/>
          <w:szCs w:val="24"/>
        </w:rPr>
        <w:t>学生姓名：</w:t>
      </w:r>
      <w:r>
        <w:rPr>
          <w:rFonts w:ascii="楷体_GB2312" w:eastAsia="楷体_GB2312" w:hAnsi="Times New Roman" w:cs="Times New Roman" w:hint="eastAsia"/>
          <w:b/>
          <w:bCs/>
          <w:sz w:val="32"/>
          <w:szCs w:val="24"/>
          <w:u w:val="single"/>
        </w:rPr>
        <w:t xml:space="preserve">       </w:t>
      </w:r>
      <w:r>
        <w:rPr>
          <w:rFonts w:ascii="楷体_GB2312" w:eastAsia="楷体_GB2312" w:hAnsi="Times New Roman" w:cs="Times New Roman"/>
          <w:b/>
          <w:bCs/>
          <w:sz w:val="32"/>
          <w:szCs w:val="24"/>
          <w:u w:val="single"/>
        </w:rPr>
        <w:t xml:space="preserve"> </w:t>
      </w:r>
      <w:r>
        <w:rPr>
          <w:rFonts w:ascii="楷体_GB2312" w:eastAsia="楷体_GB2312" w:hAnsi="Times New Roman" w:cs="Times New Roman" w:hint="eastAsia"/>
          <w:b/>
          <w:bCs/>
          <w:sz w:val="32"/>
          <w:szCs w:val="24"/>
          <w:u w:val="single"/>
        </w:rPr>
        <w:t xml:space="preserve"> </w:t>
      </w:r>
      <w:r>
        <w:rPr>
          <w:rFonts w:ascii="楷体_GB2312" w:eastAsia="楷体_GB2312" w:hAnsi="Times New Roman" w:cs="Times New Roman"/>
          <w:b/>
          <w:bCs/>
          <w:sz w:val="32"/>
          <w:szCs w:val="24"/>
          <w:u w:val="single"/>
        </w:rPr>
        <w:t xml:space="preserve"> </w:t>
      </w:r>
      <w:r>
        <w:rPr>
          <w:rFonts w:ascii="宋体" w:eastAsia="宋体" w:hAnsi="宋体" w:cs="Times New Roman" w:hint="eastAsia"/>
          <w:bCs/>
          <w:sz w:val="32"/>
          <w:szCs w:val="24"/>
          <w:u w:val="single"/>
        </w:rPr>
        <w:t xml:space="preserve">  </w:t>
      </w:r>
      <w:r>
        <w:rPr>
          <w:rFonts w:ascii="宋体" w:eastAsia="宋体" w:hAnsi="宋体" w:cs="Times New Roman"/>
          <w:bCs/>
          <w:sz w:val="32"/>
          <w:szCs w:val="24"/>
          <w:u w:val="single"/>
        </w:rPr>
        <w:t xml:space="preserve">          </w:t>
      </w:r>
      <w:r>
        <w:rPr>
          <w:rFonts w:ascii="宋体" w:eastAsia="宋体" w:hAnsi="宋体" w:cs="Times New Roman" w:hint="eastAsia"/>
          <w:bCs/>
          <w:sz w:val="32"/>
          <w:szCs w:val="24"/>
          <w:u w:val="single"/>
        </w:rPr>
        <w:t xml:space="preserve">  </w:t>
      </w:r>
      <w:r>
        <w:rPr>
          <w:rFonts w:ascii="宋体" w:eastAsia="宋体" w:hAnsi="宋体" w:cs="Times New Roman"/>
          <w:bCs/>
          <w:sz w:val="32"/>
          <w:szCs w:val="24"/>
          <w:u w:val="single"/>
        </w:rPr>
        <w:t xml:space="preserve"> </w:t>
      </w:r>
      <w:r>
        <w:rPr>
          <w:rFonts w:ascii="宋体" w:eastAsia="宋体" w:hAnsi="宋体" w:cs="Times New Roman" w:hint="eastAsia"/>
          <w:bCs/>
          <w:sz w:val="32"/>
          <w:szCs w:val="24"/>
          <w:u w:val="single"/>
        </w:rPr>
        <w:t xml:space="preserve">     </w:t>
      </w:r>
      <w:r>
        <w:rPr>
          <w:rFonts w:ascii="宋体" w:eastAsia="宋体" w:hAnsi="宋体" w:cs="Times New Roman"/>
          <w:bCs/>
          <w:sz w:val="32"/>
          <w:szCs w:val="24"/>
          <w:u w:val="single"/>
        </w:rPr>
        <w:t xml:space="preserve">  </w:t>
      </w:r>
      <w:r>
        <w:rPr>
          <w:rFonts w:ascii="宋体" w:eastAsia="宋体" w:hAnsi="宋体" w:cs="Times New Roman" w:hint="eastAsia"/>
          <w:bCs/>
          <w:sz w:val="32"/>
          <w:szCs w:val="24"/>
          <w:u w:val="single"/>
        </w:rPr>
        <w:t xml:space="preserve">   </w:t>
      </w:r>
    </w:p>
    <w:p w14:paraId="7118F128" w14:textId="77777777" w:rsidR="00972519" w:rsidRDefault="00B140AE">
      <w:pPr>
        <w:spacing w:line="800" w:lineRule="exact"/>
        <w:ind w:leftChars="400" w:left="840" w:rightChars="350" w:right="735"/>
        <w:rPr>
          <w:rFonts w:ascii="宋体" w:eastAsia="宋体" w:hAnsi="宋体" w:cs="宋体" w:hint="eastAsia"/>
          <w:bCs/>
          <w:w w:val="66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kern w:val="0"/>
          <w:sz w:val="30"/>
          <w:szCs w:val="24"/>
        </w:rPr>
        <w:t>学生学号：</w:t>
      </w:r>
      <w:r>
        <w:rPr>
          <w:rFonts w:ascii="宋体" w:eastAsia="宋体" w:hAnsi="宋体" w:cs="宋体" w:hint="eastAsia"/>
          <w:bCs/>
          <w:w w:val="90"/>
          <w:szCs w:val="21"/>
          <w:u w:val="single"/>
        </w:rPr>
        <w:t xml:space="preserve"> </w:t>
      </w:r>
      <w:r>
        <w:rPr>
          <w:rFonts w:ascii="宋体" w:eastAsia="宋体" w:hAnsi="宋体" w:cs="宋体" w:hint="eastAsia"/>
          <w:bCs/>
          <w:w w:val="90"/>
          <w:sz w:val="32"/>
          <w:szCs w:val="32"/>
          <w:u w:val="single"/>
        </w:rPr>
        <w:t xml:space="preserve"> </w:t>
      </w:r>
      <w:r>
        <w:rPr>
          <w:rFonts w:ascii="宋体" w:eastAsia="宋体" w:hAnsi="宋体" w:cs="宋体"/>
          <w:bCs/>
          <w:w w:val="90"/>
          <w:sz w:val="32"/>
          <w:szCs w:val="32"/>
          <w:u w:val="single"/>
        </w:rPr>
        <w:t xml:space="preserve">                                    </w:t>
      </w:r>
      <w:r>
        <w:rPr>
          <w:rFonts w:ascii="宋体" w:eastAsia="宋体" w:hAnsi="宋体" w:cs="宋体" w:hint="eastAsia"/>
          <w:bCs/>
          <w:w w:val="60"/>
          <w:sz w:val="32"/>
          <w:szCs w:val="32"/>
          <w:u w:val="single"/>
        </w:rPr>
        <w:t xml:space="preserve"> </w:t>
      </w:r>
      <w:r>
        <w:rPr>
          <w:rFonts w:ascii="宋体" w:eastAsia="宋体" w:hAnsi="宋体" w:cs="宋体" w:hint="eastAsia"/>
          <w:bCs/>
          <w:w w:val="66"/>
          <w:sz w:val="28"/>
          <w:szCs w:val="28"/>
          <w:u w:val="single"/>
        </w:rPr>
        <w:t xml:space="preserve"> </w:t>
      </w:r>
    </w:p>
    <w:p w14:paraId="64E87E78" w14:textId="77777777" w:rsidR="00972519" w:rsidRDefault="00B140AE">
      <w:pPr>
        <w:spacing w:line="800" w:lineRule="exact"/>
        <w:ind w:leftChars="400" w:left="840" w:rightChars="350" w:right="735"/>
        <w:rPr>
          <w:rFonts w:ascii="宋体" w:eastAsia="宋体" w:hAnsi="宋体" w:cs="宋体" w:hint="eastAsia"/>
          <w:sz w:val="32"/>
          <w:szCs w:val="24"/>
          <w:u w:val="single"/>
        </w:rPr>
      </w:pPr>
      <w:r>
        <w:rPr>
          <w:rFonts w:ascii="Times New Roman" w:eastAsia="宋体" w:hAnsi="Times New Roman" w:cs="Times New Roman" w:hint="eastAsia"/>
          <w:kern w:val="0"/>
          <w:sz w:val="30"/>
          <w:szCs w:val="24"/>
        </w:rPr>
        <w:t>任课教师：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       </w:t>
      </w:r>
      <w:r>
        <w:rPr>
          <w:rFonts w:ascii="宋体" w:eastAsia="宋体" w:hAnsi="宋体" w:cs="宋体" w:hint="eastAsia"/>
          <w:sz w:val="32"/>
          <w:szCs w:val="24"/>
          <w:u w:val="single"/>
        </w:rPr>
        <w:t xml:space="preserve"> </w:t>
      </w:r>
      <w:r>
        <w:rPr>
          <w:rFonts w:ascii="宋体" w:eastAsia="宋体" w:hAnsi="宋体" w:cs="宋体"/>
          <w:sz w:val="32"/>
          <w:szCs w:val="24"/>
          <w:u w:val="single"/>
        </w:rPr>
        <w:t xml:space="preserve">                 </w:t>
      </w:r>
      <w:r>
        <w:rPr>
          <w:rFonts w:ascii="宋体" w:eastAsia="宋体" w:hAnsi="宋体" w:cs="宋体" w:hint="eastAsia"/>
          <w:sz w:val="32"/>
          <w:szCs w:val="24"/>
          <w:u w:val="single"/>
        </w:rPr>
        <w:t xml:space="preserve"> </w:t>
      </w:r>
      <w:r>
        <w:rPr>
          <w:rFonts w:ascii="宋体" w:eastAsia="宋体" w:hAnsi="宋体" w:cs="宋体"/>
          <w:sz w:val="32"/>
          <w:szCs w:val="24"/>
          <w:u w:val="single"/>
        </w:rPr>
        <w:t xml:space="preserve">  </w:t>
      </w:r>
      <w:r>
        <w:rPr>
          <w:rFonts w:ascii="宋体" w:eastAsia="宋体" w:hAnsi="宋体" w:cs="宋体" w:hint="eastAsia"/>
          <w:sz w:val="32"/>
          <w:szCs w:val="24"/>
          <w:u w:val="single"/>
        </w:rPr>
        <w:t xml:space="preserve">   </w:t>
      </w:r>
      <w:r>
        <w:rPr>
          <w:rFonts w:ascii="宋体" w:eastAsia="宋体" w:hAnsi="宋体" w:cs="宋体"/>
          <w:sz w:val="32"/>
          <w:szCs w:val="24"/>
          <w:u w:val="single"/>
        </w:rPr>
        <w:t xml:space="preserve">  </w:t>
      </w:r>
      <w:r>
        <w:rPr>
          <w:rFonts w:ascii="宋体" w:eastAsia="宋体" w:hAnsi="宋体" w:cs="宋体" w:hint="eastAsia"/>
          <w:sz w:val="32"/>
          <w:szCs w:val="24"/>
          <w:u w:val="single"/>
        </w:rPr>
        <w:t xml:space="preserve"> </w:t>
      </w:r>
    </w:p>
    <w:p w14:paraId="4648B402" w14:textId="77777777" w:rsidR="00972519" w:rsidRDefault="00972519">
      <w:pPr>
        <w:spacing w:line="800" w:lineRule="exact"/>
        <w:ind w:rightChars="350" w:right="735"/>
        <w:rPr>
          <w:rFonts w:ascii="楷体_GB2312" w:eastAsia="宋体" w:hAnsi="Times New Roman" w:cs="Times New Roman"/>
          <w:sz w:val="32"/>
          <w:szCs w:val="24"/>
          <w:u w:val="single"/>
        </w:rPr>
      </w:pPr>
    </w:p>
    <w:p w14:paraId="6E2E9893" w14:textId="77777777" w:rsidR="00972519" w:rsidRDefault="00972519">
      <w:pPr>
        <w:spacing w:line="800" w:lineRule="exact"/>
        <w:ind w:rightChars="350" w:right="735"/>
        <w:rPr>
          <w:rFonts w:ascii="楷体_GB2312" w:eastAsia="宋体" w:hAnsi="Times New Roman" w:cs="Times New Roman"/>
          <w:sz w:val="32"/>
          <w:szCs w:val="24"/>
          <w:u w:val="single"/>
        </w:rPr>
      </w:pPr>
    </w:p>
    <w:p w14:paraId="0CA0362B" w14:textId="77777777" w:rsidR="00972519" w:rsidRDefault="00B140AE">
      <w:pPr>
        <w:spacing w:line="800" w:lineRule="exact"/>
        <w:ind w:rightChars="350" w:right="735" w:firstLine="420"/>
        <w:rPr>
          <w:rFonts w:ascii="Times New Roman" w:eastAsia="宋体" w:hAnsi="Times New Roman" w:cs="Times New Roman"/>
          <w:sz w:val="30"/>
          <w:szCs w:val="24"/>
          <w:u w:val="single"/>
        </w:rPr>
      </w:pPr>
      <w:r>
        <w:rPr>
          <w:rFonts w:ascii="Times New Roman" w:eastAsia="宋体" w:hAnsi="Times New Roman" w:cs="Times New Roman" w:hint="eastAsia"/>
          <w:kern w:val="0"/>
          <w:sz w:val="30"/>
          <w:szCs w:val="24"/>
        </w:rPr>
        <w:t>报告成绩：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   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 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 w:hint="eastAsia"/>
          <w:sz w:val="32"/>
          <w:szCs w:val="24"/>
        </w:rPr>
        <w:t xml:space="preserve"> </w:t>
      </w:r>
      <w:r>
        <w:rPr>
          <w:rFonts w:ascii="楷体_GB2312" w:eastAsia="宋体" w:hAnsi="Times New Roman" w:cs="Times New Roman"/>
          <w:sz w:val="32"/>
          <w:szCs w:val="24"/>
        </w:rPr>
        <w:t xml:space="preserve">  </w:t>
      </w:r>
      <w:r>
        <w:rPr>
          <w:rFonts w:ascii="楷体_GB2312" w:eastAsia="宋体" w:hAnsi="Times New Roman" w:cs="Times New Roman" w:hint="eastAsia"/>
          <w:sz w:val="32"/>
          <w:szCs w:val="24"/>
        </w:rPr>
        <w:t>评阅教师签字：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           </w:t>
      </w:r>
    </w:p>
    <w:p w14:paraId="794ABF59" w14:textId="77777777" w:rsidR="00972519" w:rsidRDefault="00B140AE">
      <w:pPr>
        <w:wordWrap w:val="0"/>
        <w:spacing w:line="800" w:lineRule="exact"/>
        <w:jc w:val="righ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年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</w:rPr>
        <w:t>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</w:rPr>
        <w:t>日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439BAE38" w14:textId="77777777" w:rsidR="00972519" w:rsidRDefault="00B140AE">
      <w:pPr>
        <w:spacing w:afterLines="30" w:after="93" w:line="800" w:lineRule="exact"/>
        <w:jc w:val="center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 xml:space="preserve"> </w:t>
      </w:r>
    </w:p>
    <w:p w14:paraId="467781F8" w14:textId="77777777" w:rsidR="00972519" w:rsidRDefault="00B140AE">
      <w:pPr>
        <w:spacing w:afterLines="30" w:after="93" w:line="800" w:lineRule="exact"/>
        <w:jc w:val="center"/>
        <w:rPr>
          <w:rFonts w:ascii="华文隶书" w:eastAsia="华文隶书" w:hAnsi="宋体" w:cs="Times New Roman"/>
          <w:sz w:val="36"/>
          <w:szCs w:val="28"/>
        </w:rPr>
      </w:pPr>
      <w:r>
        <w:rPr>
          <w:rFonts w:ascii="华文隶书" w:eastAsia="华文隶书" w:hAnsi="宋体" w:cs="Times New Roman" w:hint="eastAsia"/>
          <w:sz w:val="36"/>
          <w:szCs w:val="28"/>
        </w:rPr>
        <w:t>电力工程学院</w:t>
      </w:r>
      <w:r w:rsidR="008B7B70">
        <w:rPr>
          <w:rFonts w:ascii="华文隶书" w:eastAsia="华文隶书" w:hAnsi="宋体" w:cs="Times New Roman" w:hint="eastAsia"/>
          <w:sz w:val="36"/>
          <w:szCs w:val="28"/>
        </w:rPr>
        <w:t>、沈国荣学院</w:t>
      </w:r>
    </w:p>
    <w:p w14:paraId="20139CA4" w14:textId="77777777" w:rsidR="002A5883" w:rsidRDefault="002A5883" w:rsidP="002A5883">
      <w:pPr>
        <w:keepNext/>
        <w:spacing w:before="120" w:after="240" w:line="360" w:lineRule="auto"/>
        <w:jc w:val="center"/>
      </w:pPr>
      <w:r>
        <w:rPr>
          <w:rFonts w:ascii="Times New Roman" w:eastAsia="黑体" w:hAnsi="Times New Roman"/>
          <w:b/>
          <w:color w:val="000000"/>
          <w:sz w:val="32"/>
          <w:szCs w:val="32"/>
        </w:rPr>
        <w:lastRenderedPageBreak/>
        <w:t>目　录</w:t>
      </w:r>
    </w:p>
    <w:p w14:paraId="2B6D03C4" w14:textId="77777777" w:rsidR="002A5883" w:rsidRDefault="002A5883" w:rsidP="002A5883"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</w:t>
        </w:r>
        <w:r>
          <w:t xml:space="preserve">　任务一：</w:t>
        </w:r>
        <w:r>
          <w:t>24</w:t>
        </w:r>
        <w:r>
          <w:t>小时交流潮流仿真与负荷系数灵敏度分析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03634EC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02" w:history="1">
        <w:r>
          <w:t>1.1</w:t>
        </w:r>
        <w:r>
          <w:t xml:space="preserve">　任务及参数介绍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A98F67D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03" w:history="1">
        <w:r>
          <w:t>1.2</w:t>
        </w:r>
        <w:r>
          <w:t xml:space="preserve">　仿真结果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934C818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04" w:history="1">
        <w:r>
          <w:t>1.3</w:t>
        </w:r>
        <w:r>
          <w:t xml:space="preserve">　思考练习</w:t>
        </w:r>
        <w:r>
          <w:t>——</w:t>
        </w:r>
        <w:r>
          <w:t>负荷系数灵敏度分析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8ECFA69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05" w:history="1">
        <w:r>
          <w:t>1.4</w:t>
        </w:r>
        <w:r>
          <w:t xml:space="preserve">　结果阐述与思考题分析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64F891A" w14:textId="77777777" w:rsidR="002A5883" w:rsidRDefault="002A5883" w:rsidP="002A5883">
      <w:pPr>
        <w:pStyle w:val="TOC1"/>
        <w:tabs>
          <w:tab w:val="right" w:leader="dot" w:pos="9072"/>
        </w:tabs>
      </w:pPr>
      <w:hyperlink w:anchor="_LarkToc00006" w:history="1">
        <w:r>
          <w:t>2</w:t>
        </w:r>
        <w:r>
          <w:t xml:space="preserve">　任务二：储能充放电手算、模型对比与参数灵敏度分析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44B870F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07" w:history="1">
        <w:r>
          <w:t>2.1</w:t>
        </w:r>
        <w:r>
          <w:t xml:space="preserve">　任务及参数介绍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0891168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08" w:history="1">
        <w:r>
          <w:t>2.2</w:t>
        </w:r>
        <w:r>
          <w:t xml:space="preserve">　理论手算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56D9D26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09" w:history="1">
        <w:r>
          <w:t>2.3</w:t>
        </w:r>
        <w:r>
          <w:t xml:space="preserve">　模型对比仿真结果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9327088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10" w:history="1">
        <w:r>
          <w:t>2.4</w:t>
        </w:r>
        <w:r>
          <w:t xml:space="preserve">　参数灵敏度分析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F13CDF4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11" w:history="1">
        <w:r>
          <w:t>2.5</w:t>
        </w:r>
        <w:r>
          <w:t xml:space="preserve">　结果阐述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5D0B421" w14:textId="77777777" w:rsidR="002A5883" w:rsidRDefault="002A5883" w:rsidP="002A5883">
      <w:pPr>
        <w:pStyle w:val="TOC1"/>
        <w:tabs>
          <w:tab w:val="right" w:leader="dot" w:pos="9072"/>
        </w:tabs>
      </w:pPr>
      <w:hyperlink w:anchor="_LarkToc00012" w:history="1">
        <w:r>
          <w:t>3</w:t>
        </w:r>
        <w:r>
          <w:t xml:space="preserve">　任务三：储能日前调度、多目标对比与二阶锥松弛间隙手算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29B0917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13" w:history="1">
        <w:r>
          <w:t>3.1</w:t>
        </w:r>
        <w:r>
          <w:t xml:space="preserve">　任务及参数介绍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0B88C8E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14" w:history="1">
        <w:r>
          <w:t>3.2</w:t>
        </w:r>
        <w:r>
          <w:t xml:space="preserve">　日前调度仿真结果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2F4C4DB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15" w:history="1">
        <w:r>
          <w:t>3.3</w:t>
        </w:r>
        <w:r>
          <w:t xml:space="preserve">　多目标对比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330D1E9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16" w:history="1">
        <w:r>
          <w:t>3.4</w:t>
        </w:r>
        <w:r>
          <w:t xml:space="preserve">　二阶锥松弛间隙手算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2F1C078" w14:textId="77777777" w:rsidR="002A5883" w:rsidRDefault="002A5883" w:rsidP="002A5883">
      <w:pPr>
        <w:pStyle w:val="TOC2"/>
        <w:tabs>
          <w:tab w:val="right" w:leader="dot" w:pos="9072"/>
        </w:tabs>
      </w:pPr>
      <w:hyperlink w:anchor="_LarkToc00017" w:history="1">
        <w:r>
          <w:t>3.5</w:t>
        </w:r>
        <w:r>
          <w:t xml:space="preserve">　结果阐述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F7199DA" w14:textId="77777777" w:rsidR="002A5883" w:rsidRDefault="002A5883" w:rsidP="002A5883">
      <w:pPr>
        <w:pStyle w:val="TOC1"/>
        <w:tabs>
          <w:tab w:val="right" w:leader="dot" w:pos="9072"/>
        </w:tabs>
      </w:pPr>
      <w:hyperlink w:anchor="_LarkToc00018" w:history="1">
        <w:r>
          <w:t>4</w:t>
        </w:r>
        <w:r>
          <w:t xml:space="preserve">　第一周课程设计总结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8D0809B" w14:textId="54282D5D" w:rsidR="002A5883" w:rsidRDefault="002A5883" w:rsidP="002A5883">
      <w:pPr>
        <w:spacing w:afterLines="30" w:after="93" w:line="800" w:lineRule="exact"/>
      </w:pPr>
      <w:hyperlink w:anchor="_LarkToc00019" w:history="1">
        <w:r>
          <w:t>附录A　提交文件清单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5</w:t>
        </w:r>
        <w:r>
          <w:fldChar w:fldCharType="end"/>
        </w:r>
      </w:hyperlink>
      <w:r>
        <w:fldChar w:fldCharType="end"/>
      </w:r>
    </w:p>
    <w:p w14:paraId="77F26D22" w14:textId="77777777" w:rsidR="002A5883" w:rsidRDefault="002A5883" w:rsidP="002A5883">
      <w:pPr>
        <w:spacing w:afterLines="30" w:after="93" w:line="800" w:lineRule="exact"/>
      </w:pPr>
    </w:p>
    <w:p w14:paraId="1A774D60" w14:textId="77777777" w:rsidR="002A5883" w:rsidRDefault="002A5883" w:rsidP="002A5883">
      <w:pPr>
        <w:spacing w:afterLines="30" w:after="93" w:line="800" w:lineRule="exact"/>
      </w:pPr>
    </w:p>
    <w:p w14:paraId="47216839" w14:textId="77777777" w:rsidR="002A5883" w:rsidRDefault="002A5883" w:rsidP="002A5883">
      <w:pPr>
        <w:spacing w:afterLines="30" w:after="93" w:line="800" w:lineRule="exact"/>
      </w:pPr>
    </w:p>
    <w:p w14:paraId="75A8C1D5" w14:textId="77777777" w:rsidR="002A5883" w:rsidRDefault="002A5883" w:rsidP="002A5883">
      <w:pPr>
        <w:pStyle w:val="1"/>
        <w:spacing w:before="240" w:after="120" w:line="312" w:lineRule="auto"/>
      </w:pPr>
      <w:bookmarkStart w:id="0" w:name="_LarkToc00001"/>
      <w:r>
        <w:rPr>
          <w:rFonts w:ascii="Times New Roman" w:eastAsia="黑体" w:hAnsi="Times New Roman"/>
          <w:szCs w:val="24"/>
        </w:rPr>
        <w:lastRenderedPageBreak/>
        <w:t>1</w:t>
      </w:r>
      <w:r>
        <w:rPr>
          <w:rFonts w:ascii="Times New Roman" w:eastAsia="黑体" w:hAnsi="Times New Roman"/>
          <w:szCs w:val="24"/>
        </w:rPr>
        <w:t xml:space="preserve">　任务一：</w:t>
      </w:r>
      <w:r>
        <w:rPr>
          <w:rFonts w:ascii="Times New Roman" w:eastAsia="黑体" w:hAnsi="Times New Roman"/>
          <w:szCs w:val="24"/>
        </w:rPr>
        <w:t>24</w:t>
      </w:r>
      <w:r>
        <w:rPr>
          <w:rFonts w:ascii="Times New Roman" w:eastAsia="黑体" w:hAnsi="Times New Roman"/>
          <w:szCs w:val="24"/>
        </w:rPr>
        <w:t>小时交流潮流仿真与负荷系数灵敏度分析</w:t>
      </w:r>
      <w:bookmarkEnd w:id="0"/>
    </w:p>
    <w:p w14:paraId="66210356" w14:textId="77777777" w:rsidR="002A5883" w:rsidRDefault="002A5883" w:rsidP="002A5883">
      <w:pPr>
        <w:pStyle w:val="2"/>
        <w:spacing w:before="120" w:after="60" w:line="312" w:lineRule="auto"/>
      </w:pPr>
      <w:bookmarkStart w:id="1" w:name="_LarkToc00002"/>
      <w:r>
        <w:rPr>
          <w:rFonts w:ascii="Times New Roman" w:eastAsia="黑体" w:hAnsi="Times New Roman"/>
          <w:szCs w:val="21"/>
        </w:rPr>
        <w:t>1.1</w:t>
      </w:r>
      <w:r>
        <w:rPr>
          <w:rFonts w:ascii="Times New Roman" w:eastAsia="黑体" w:hAnsi="Times New Roman"/>
          <w:szCs w:val="21"/>
        </w:rPr>
        <w:t xml:space="preserve">　任务及参数介绍</w:t>
      </w:r>
      <w:bookmarkEnd w:id="1"/>
    </w:p>
    <w:p w14:paraId="1B89D6EE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本任务开展配电网</w:t>
      </w:r>
      <w:r>
        <w:rPr>
          <w:rFonts w:ascii="Times New Roman" w:eastAsia="宋体" w:hAnsi="Times New Roman"/>
          <w:color w:val="000000"/>
          <w:szCs w:val="21"/>
        </w:rPr>
        <w:t>24</w:t>
      </w:r>
      <w:r>
        <w:rPr>
          <w:rFonts w:ascii="Times New Roman" w:eastAsia="宋体" w:hAnsi="Times New Roman"/>
          <w:color w:val="000000"/>
          <w:szCs w:val="21"/>
        </w:rPr>
        <w:t>小时交流时序潮流仿真，计算全天各节点电压与网络电能损耗；修改负荷系数</w:t>
      </w:r>
      <w:r>
        <w:rPr>
          <w:rFonts w:ascii="Times New Roman" w:eastAsia="宋体" w:hAnsi="Times New Roman"/>
          <w:color w:val="000000"/>
          <w:szCs w:val="21"/>
        </w:rPr>
        <w:t>α</w:t>
      </w:r>
      <w:r>
        <w:rPr>
          <w:rFonts w:ascii="Times New Roman" w:eastAsia="宋体" w:hAnsi="Times New Roman"/>
          <w:color w:val="000000"/>
          <w:szCs w:val="21"/>
        </w:rPr>
        <w:t>后重新计算，观察负荷增大对午间、晚高峰节点电压与网损的影响；完成</w:t>
      </w:r>
      <w:r>
        <w:rPr>
          <w:rFonts w:ascii="Times New Roman" w:eastAsia="宋体" w:hAnsi="Times New Roman"/>
          <w:color w:val="000000"/>
          <w:szCs w:val="21"/>
        </w:rPr>
        <w:t>Interactive01</w:t>
      </w:r>
      <w:r>
        <w:rPr>
          <w:rFonts w:ascii="Times New Roman" w:eastAsia="宋体" w:hAnsi="Times New Roman"/>
          <w:color w:val="000000"/>
          <w:szCs w:val="21"/>
        </w:rPr>
        <w:t>交互试验。</w:t>
      </w:r>
    </w:p>
    <w:p w14:paraId="12073664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成果要求：运行本人算例</w:t>
      </w:r>
      <w:r>
        <w:rPr>
          <w:rFonts w:ascii="Times New Roman" w:eastAsia="宋体" w:hAnsi="Times New Roman"/>
          <w:color w:val="000000"/>
          <w:szCs w:val="21"/>
        </w:rPr>
        <w:t>24</w:t>
      </w:r>
      <w:r>
        <w:rPr>
          <w:rFonts w:ascii="Times New Roman" w:eastAsia="宋体" w:hAnsi="Times New Roman"/>
          <w:color w:val="000000"/>
          <w:szCs w:val="21"/>
        </w:rPr>
        <w:t>小时交流潮流，导出全网节点电压时序分布图；记录全天最低节点电压（幅值、节点、时段）与全天电能损耗（</w:t>
      </w:r>
      <w:r>
        <w:rPr>
          <w:rFonts w:ascii="Times New Roman" w:eastAsia="宋体" w:hAnsi="Times New Roman"/>
          <w:color w:val="000000"/>
          <w:szCs w:val="21"/>
        </w:rPr>
        <w:t>MWh</w:t>
      </w:r>
      <w:r>
        <w:rPr>
          <w:rFonts w:ascii="Times New Roman" w:eastAsia="宋体" w:hAnsi="Times New Roman"/>
          <w:color w:val="000000"/>
          <w:szCs w:val="21"/>
        </w:rPr>
        <w:t>）；思考练习为增大负荷系数</w:t>
      </w:r>
      <w:r>
        <w:rPr>
          <w:rFonts w:ascii="Times New Roman" w:eastAsia="宋体" w:hAnsi="Times New Roman"/>
          <w:color w:val="000000"/>
          <w:szCs w:val="21"/>
        </w:rPr>
        <w:t>α</w:t>
      </w:r>
      <w:r>
        <w:rPr>
          <w:rFonts w:ascii="Times New Roman" w:eastAsia="宋体" w:hAnsi="Times New Roman"/>
          <w:color w:val="000000"/>
          <w:szCs w:val="21"/>
        </w:rPr>
        <w:t>后重新计算，对比午间与晚高峰节点电压及网损变化。</w:t>
      </w:r>
    </w:p>
    <w:p w14:paraId="39BE4A35" w14:textId="77777777" w:rsidR="002A5883" w:rsidRDefault="002A5883" w:rsidP="002A5883">
      <w:pPr>
        <w:pStyle w:val="2"/>
        <w:spacing w:before="120" w:after="60" w:line="312" w:lineRule="auto"/>
      </w:pPr>
      <w:bookmarkStart w:id="2" w:name="_LarkToc00003"/>
      <w:r>
        <w:rPr>
          <w:rFonts w:ascii="Times New Roman" w:eastAsia="黑体" w:hAnsi="Times New Roman"/>
          <w:szCs w:val="21"/>
        </w:rPr>
        <w:t>1.2</w:t>
      </w:r>
      <w:r>
        <w:rPr>
          <w:rFonts w:ascii="Times New Roman" w:eastAsia="黑体" w:hAnsi="Times New Roman"/>
          <w:szCs w:val="21"/>
        </w:rPr>
        <w:t xml:space="preserve">　仿真结果</w:t>
      </w:r>
      <w:bookmarkEnd w:id="2"/>
    </w:p>
    <w:p w14:paraId="5431AFB7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运行</w:t>
      </w:r>
      <w:r>
        <w:rPr>
          <w:rFonts w:ascii="Times New Roman" w:eastAsia="宋体" w:hAnsi="Times New Roman"/>
          <w:color w:val="000000"/>
          <w:szCs w:val="21"/>
        </w:rPr>
        <w:t>MATPOWER</w:t>
      </w:r>
      <w:r>
        <w:rPr>
          <w:rFonts w:ascii="Times New Roman" w:eastAsia="宋体" w:hAnsi="Times New Roman"/>
          <w:color w:val="000000"/>
          <w:szCs w:val="21"/>
        </w:rPr>
        <w:t>交流潮流算例，得到</w:t>
      </w:r>
      <w:r>
        <w:rPr>
          <w:rFonts w:ascii="Times New Roman" w:eastAsia="宋体" w:hAnsi="Times New Roman"/>
          <w:color w:val="000000"/>
          <w:szCs w:val="21"/>
        </w:rPr>
        <w:t>24</w:t>
      </w:r>
      <w:r>
        <w:rPr>
          <w:rFonts w:ascii="Times New Roman" w:eastAsia="宋体" w:hAnsi="Times New Roman"/>
          <w:color w:val="000000"/>
          <w:szCs w:val="21"/>
        </w:rPr>
        <w:t>小时时序结果。基准工况下，全天最低节点电压幅值为</w:t>
      </w:r>
      <w:r>
        <w:rPr>
          <w:rFonts w:ascii="Times New Roman" w:eastAsia="宋体" w:hAnsi="Times New Roman"/>
          <w:color w:val="000000"/>
          <w:szCs w:val="21"/>
        </w:rPr>
        <w:t>0.937 p.u.</w:t>
      </w:r>
      <w:r>
        <w:rPr>
          <w:rFonts w:ascii="Times New Roman" w:eastAsia="宋体" w:hAnsi="Times New Roman"/>
          <w:color w:val="000000"/>
          <w:szCs w:val="21"/>
        </w:rPr>
        <w:t>，最低电压发生节点为节点</w:t>
      </w:r>
      <w:r>
        <w:rPr>
          <w:rFonts w:ascii="Times New Roman" w:eastAsia="宋体" w:hAnsi="Times New Roman"/>
          <w:color w:val="000000"/>
          <w:szCs w:val="21"/>
        </w:rPr>
        <w:t>18</w:t>
      </w:r>
      <w:r>
        <w:rPr>
          <w:rFonts w:ascii="Times New Roman" w:eastAsia="宋体" w:hAnsi="Times New Roman"/>
          <w:color w:val="000000"/>
          <w:szCs w:val="21"/>
        </w:rPr>
        <w:t>，发生时段为</w:t>
      </w:r>
      <w:r>
        <w:rPr>
          <w:rFonts w:ascii="Times New Roman" w:eastAsia="宋体" w:hAnsi="Times New Roman"/>
          <w:color w:val="000000"/>
          <w:szCs w:val="21"/>
        </w:rPr>
        <w:t>20:00</w:t>
      </w:r>
      <w:r>
        <w:rPr>
          <w:rFonts w:ascii="Times New Roman" w:eastAsia="宋体" w:hAnsi="Times New Roman"/>
          <w:color w:val="000000"/>
          <w:szCs w:val="21"/>
        </w:rPr>
        <w:t>（晚高峰时刻）；全天总网络电能损耗为</w:t>
      </w:r>
      <w:r>
        <w:rPr>
          <w:rFonts w:ascii="Times New Roman" w:eastAsia="宋体" w:hAnsi="Times New Roman"/>
          <w:color w:val="000000"/>
          <w:szCs w:val="21"/>
        </w:rPr>
        <w:t>1.726 MWh</w:t>
      </w:r>
      <w:r>
        <w:rPr>
          <w:rFonts w:ascii="Times New Roman" w:eastAsia="宋体" w:hAnsi="Times New Roman"/>
          <w:color w:val="000000"/>
          <w:szCs w:val="21"/>
        </w:rPr>
        <w:t>，关键指标见表</w:t>
      </w:r>
      <w:r>
        <w:rPr>
          <w:rFonts w:ascii="Times New Roman" w:eastAsia="宋体" w:hAnsi="Times New Roman"/>
          <w:color w:val="000000"/>
          <w:szCs w:val="21"/>
        </w:rPr>
        <w:t>1</w:t>
      </w:r>
      <w:r>
        <w:rPr>
          <w:rFonts w:ascii="Times New Roman" w:eastAsia="宋体" w:hAnsi="Times New Roman"/>
          <w:color w:val="000000"/>
          <w:szCs w:val="21"/>
        </w:rPr>
        <w:t>。</w:t>
      </w:r>
    </w:p>
    <w:p w14:paraId="3084B935" w14:textId="77777777" w:rsidR="002A5883" w:rsidRDefault="002A5883" w:rsidP="002A5883">
      <w:pPr>
        <w:keepNext/>
        <w:spacing w:before="160" w:after="80" w:line="360" w:lineRule="auto"/>
        <w:jc w:val="center"/>
      </w:pPr>
      <w:r>
        <w:rPr>
          <w:rFonts w:ascii="Times New Roman" w:eastAsia="黑体" w:hAnsi="Times New Roman"/>
          <w:color w:val="000000"/>
          <w:sz w:val="18"/>
          <w:szCs w:val="18"/>
        </w:rPr>
        <w:t>表</w:t>
      </w:r>
      <w:r>
        <w:rPr>
          <w:rFonts w:ascii="Times New Roman" w:eastAsia="黑体" w:hAnsi="Times New Roman"/>
          <w:color w:val="000000"/>
          <w:sz w:val="18"/>
          <w:szCs w:val="18"/>
        </w:rPr>
        <w:t>1</w:t>
      </w:r>
      <w:r>
        <w:rPr>
          <w:rFonts w:ascii="Times New Roman" w:eastAsia="黑体" w:hAnsi="Times New Roman"/>
          <w:color w:val="000000"/>
          <w:sz w:val="18"/>
          <w:szCs w:val="18"/>
        </w:rPr>
        <w:t xml:space="preserve">　基准工况关键指标</w:t>
      </w:r>
    </w:p>
    <w:tbl>
      <w:tblPr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3402"/>
      </w:tblGrid>
      <w:tr w:rsidR="002A5883" w14:paraId="3D926CAF" w14:textId="77777777" w:rsidTr="00D24DA2">
        <w:trPr>
          <w:cantSplit/>
          <w:tblHeader/>
          <w:jc w:val="center"/>
        </w:trPr>
        <w:tc>
          <w:tcPr>
            <w:tcW w:w="4535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6EC1F9F2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指标</w:t>
            </w:r>
          </w:p>
        </w:tc>
        <w:tc>
          <w:tcPr>
            <w:tcW w:w="3402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229EB4FF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数值</w:t>
            </w:r>
          </w:p>
        </w:tc>
      </w:tr>
      <w:tr w:rsidR="002A5883" w14:paraId="56963CE5" w14:textId="77777777" w:rsidTr="00D24DA2">
        <w:trPr>
          <w:cantSplit/>
          <w:jc w:val="center"/>
        </w:trPr>
        <w:tc>
          <w:tcPr>
            <w:tcW w:w="4535" w:type="dxa"/>
            <w:vAlign w:val="center"/>
          </w:tcPr>
          <w:p w14:paraId="35604B71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全天最低节点电压幅值</w:t>
            </w:r>
          </w:p>
        </w:tc>
        <w:tc>
          <w:tcPr>
            <w:tcW w:w="3402" w:type="dxa"/>
            <w:vAlign w:val="center"/>
          </w:tcPr>
          <w:p w14:paraId="4A3B0E09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0.937 p.u.</w:t>
            </w:r>
          </w:p>
        </w:tc>
      </w:tr>
      <w:tr w:rsidR="002A5883" w14:paraId="68B77818" w14:textId="77777777" w:rsidTr="00D24DA2">
        <w:trPr>
          <w:cantSplit/>
          <w:jc w:val="center"/>
        </w:trPr>
        <w:tc>
          <w:tcPr>
            <w:tcW w:w="4535" w:type="dxa"/>
            <w:vAlign w:val="center"/>
          </w:tcPr>
          <w:p w14:paraId="5CAAFDEC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最低电压发生节点</w:t>
            </w:r>
          </w:p>
        </w:tc>
        <w:tc>
          <w:tcPr>
            <w:tcW w:w="3402" w:type="dxa"/>
            <w:vAlign w:val="center"/>
          </w:tcPr>
          <w:p w14:paraId="26DC33AF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节点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</w:p>
        </w:tc>
      </w:tr>
      <w:tr w:rsidR="002A5883" w14:paraId="293C92CE" w14:textId="77777777" w:rsidTr="00D24DA2">
        <w:trPr>
          <w:cantSplit/>
          <w:jc w:val="center"/>
        </w:trPr>
        <w:tc>
          <w:tcPr>
            <w:tcW w:w="4535" w:type="dxa"/>
            <w:vAlign w:val="center"/>
          </w:tcPr>
          <w:p w14:paraId="61872169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最低电压发生时段</w:t>
            </w:r>
          </w:p>
        </w:tc>
        <w:tc>
          <w:tcPr>
            <w:tcW w:w="3402" w:type="dxa"/>
            <w:vAlign w:val="center"/>
          </w:tcPr>
          <w:p w14:paraId="18199A2E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20:00</w:t>
            </w:r>
          </w:p>
        </w:tc>
      </w:tr>
      <w:tr w:rsidR="002A5883" w14:paraId="112975DC" w14:textId="77777777" w:rsidTr="00D24DA2">
        <w:trPr>
          <w:cantSplit/>
          <w:jc w:val="center"/>
        </w:trPr>
        <w:tc>
          <w:tcPr>
            <w:tcW w:w="4535" w:type="dxa"/>
            <w:tcBorders>
              <w:bottom w:val="single" w:sz="8" w:space="0" w:color="000000"/>
            </w:tcBorders>
            <w:vAlign w:val="center"/>
          </w:tcPr>
          <w:p w14:paraId="13D8B63D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全天总网络电能损耗</w:t>
            </w:r>
          </w:p>
        </w:tc>
        <w:tc>
          <w:tcPr>
            <w:tcW w:w="3402" w:type="dxa"/>
            <w:tcBorders>
              <w:bottom w:val="single" w:sz="8" w:space="0" w:color="000000"/>
            </w:tcBorders>
            <w:vAlign w:val="center"/>
          </w:tcPr>
          <w:p w14:paraId="7BD40DFC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1.726 MWh</w:t>
            </w:r>
          </w:p>
        </w:tc>
      </w:tr>
    </w:tbl>
    <w:p w14:paraId="7E9B2F64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全网</w:t>
      </w:r>
      <w:r>
        <w:rPr>
          <w:rFonts w:ascii="Times New Roman" w:eastAsia="宋体" w:hAnsi="Times New Roman"/>
          <w:color w:val="000000"/>
          <w:szCs w:val="21"/>
        </w:rPr>
        <w:t>24</w:t>
      </w:r>
      <w:r>
        <w:rPr>
          <w:rFonts w:ascii="Times New Roman" w:eastAsia="宋体" w:hAnsi="Times New Roman"/>
          <w:color w:val="000000"/>
          <w:szCs w:val="21"/>
        </w:rPr>
        <w:t>小时节点电压时序曲线显示，晚间负荷冲高时末端节点电压跌落明显；午间光伏出力较大，节点电压整体抬升。</w:t>
      </w:r>
    </w:p>
    <w:p w14:paraId="2276118E" w14:textId="77777777" w:rsidR="002A5883" w:rsidRDefault="002A5883" w:rsidP="002A5883">
      <w:pPr>
        <w:pStyle w:val="2"/>
        <w:spacing w:before="120" w:after="60" w:line="312" w:lineRule="auto"/>
      </w:pPr>
      <w:bookmarkStart w:id="3" w:name="_LarkToc00004"/>
      <w:r>
        <w:rPr>
          <w:rFonts w:ascii="Times New Roman" w:eastAsia="黑体" w:hAnsi="Times New Roman"/>
          <w:szCs w:val="21"/>
        </w:rPr>
        <w:t>1.3</w:t>
      </w:r>
      <w:r>
        <w:rPr>
          <w:rFonts w:ascii="Times New Roman" w:eastAsia="黑体" w:hAnsi="Times New Roman"/>
          <w:szCs w:val="21"/>
        </w:rPr>
        <w:t xml:space="preserve">　思考练习</w:t>
      </w:r>
      <w:r>
        <w:rPr>
          <w:rFonts w:ascii="Times New Roman" w:eastAsia="黑体" w:hAnsi="Times New Roman"/>
          <w:szCs w:val="21"/>
        </w:rPr>
        <w:t>——</w:t>
      </w:r>
      <w:r>
        <w:rPr>
          <w:rFonts w:ascii="Times New Roman" w:eastAsia="黑体" w:hAnsi="Times New Roman"/>
          <w:szCs w:val="21"/>
        </w:rPr>
        <w:t>负荷系数灵敏度分析</w:t>
      </w:r>
      <w:bookmarkEnd w:id="3"/>
    </w:p>
    <w:p w14:paraId="268C42BD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增大负荷系数</w:t>
      </w:r>
      <w:r>
        <w:rPr>
          <w:rFonts w:ascii="Times New Roman" w:eastAsia="宋体" w:hAnsi="Times New Roman"/>
          <w:color w:val="000000"/>
          <w:szCs w:val="21"/>
        </w:rPr>
        <w:t>α</w:t>
      </w:r>
      <w:r>
        <w:rPr>
          <w:rFonts w:ascii="Times New Roman" w:eastAsia="宋体" w:hAnsi="Times New Roman"/>
          <w:color w:val="000000"/>
          <w:szCs w:val="21"/>
        </w:rPr>
        <w:t>（有功、无功负荷同步放大）后再次执行</w:t>
      </w:r>
      <w:r>
        <w:rPr>
          <w:rFonts w:ascii="Times New Roman" w:eastAsia="宋体" w:hAnsi="Times New Roman"/>
          <w:color w:val="000000"/>
          <w:szCs w:val="21"/>
        </w:rPr>
        <w:t>24</w:t>
      </w:r>
      <w:r>
        <w:rPr>
          <w:rFonts w:ascii="Times New Roman" w:eastAsia="宋体" w:hAnsi="Times New Roman"/>
          <w:color w:val="000000"/>
          <w:szCs w:val="21"/>
        </w:rPr>
        <w:t>小时交流潮流，午间与晚高峰节点电压及全天网损变化见表</w:t>
      </w:r>
      <w:r>
        <w:rPr>
          <w:rFonts w:ascii="Times New Roman" w:eastAsia="宋体" w:hAnsi="Times New Roman"/>
          <w:color w:val="000000"/>
          <w:szCs w:val="21"/>
        </w:rPr>
        <w:t>2</w:t>
      </w:r>
      <w:r>
        <w:rPr>
          <w:rFonts w:ascii="Times New Roman" w:eastAsia="宋体" w:hAnsi="Times New Roman"/>
          <w:color w:val="000000"/>
          <w:szCs w:val="21"/>
        </w:rPr>
        <w:t>。</w:t>
      </w:r>
    </w:p>
    <w:p w14:paraId="6DE91171" w14:textId="77777777" w:rsidR="002A5883" w:rsidRDefault="002A5883" w:rsidP="002A5883">
      <w:pPr>
        <w:keepNext/>
        <w:spacing w:before="160" w:after="80" w:line="360" w:lineRule="auto"/>
        <w:jc w:val="center"/>
      </w:pPr>
      <w:r>
        <w:rPr>
          <w:rFonts w:ascii="Times New Roman" w:eastAsia="黑体" w:hAnsi="Times New Roman"/>
          <w:color w:val="000000"/>
          <w:sz w:val="18"/>
          <w:szCs w:val="18"/>
        </w:rPr>
        <w:t>表</w:t>
      </w:r>
      <w:r>
        <w:rPr>
          <w:rFonts w:ascii="Times New Roman" w:eastAsia="黑体" w:hAnsi="Times New Roman"/>
          <w:color w:val="000000"/>
          <w:sz w:val="18"/>
          <w:szCs w:val="18"/>
        </w:rPr>
        <w:t>2</w:t>
      </w:r>
      <w:r>
        <w:rPr>
          <w:rFonts w:ascii="Times New Roman" w:eastAsia="黑体" w:hAnsi="Times New Roman"/>
          <w:color w:val="000000"/>
          <w:sz w:val="18"/>
          <w:szCs w:val="18"/>
        </w:rPr>
        <w:t xml:space="preserve">　负荷系数灵敏度分析结果</w:t>
      </w:r>
    </w:p>
    <w:tbl>
      <w:tblPr>
        <w:tblW w:w="8504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381"/>
        <w:gridCol w:w="2041"/>
      </w:tblGrid>
      <w:tr w:rsidR="002A5883" w14:paraId="0C877900" w14:textId="77777777" w:rsidTr="002A5883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214F1284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工况</w:t>
            </w:r>
          </w:p>
        </w:tc>
        <w:tc>
          <w:tcPr>
            <w:tcW w:w="238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71860C2B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午间节点电压</w:t>
            </w:r>
          </w:p>
        </w:tc>
        <w:tc>
          <w:tcPr>
            <w:tcW w:w="238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3E8DD2FE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晚高峰节点电压</w:t>
            </w:r>
          </w:p>
        </w:tc>
        <w:tc>
          <w:tcPr>
            <w:tcW w:w="204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61E44066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全天网损（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MWh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）</w:t>
            </w:r>
          </w:p>
        </w:tc>
      </w:tr>
      <w:tr w:rsidR="002A5883" w14:paraId="2DD2A848" w14:textId="77777777" w:rsidTr="002A5883">
        <w:trPr>
          <w:cantSplit/>
          <w:jc w:val="center"/>
        </w:trPr>
        <w:tc>
          <w:tcPr>
            <w:tcW w:w="1701" w:type="dxa"/>
            <w:vAlign w:val="center"/>
          </w:tcPr>
          <w:p w14:paraId="4439B6B6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基准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α</w:t>
            </w:r>
          </w:p>
        </w:tc>
        <w:tc>
          <w:tcPr>
            <w:tcW w:w="2381" w:type="dxa"/>
            <w:vAlign w:val="center"/>
          </w:tcPr>
          <w:p w14:paraId="7523496B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0.972~1.021 p.u.</w:t>
            </w:r>
          </w:p>
        </w:tc>
        <w:tc>
          <w:tcPr>
            <w:tcW w:w="2381" w:type="dxa"/>
            <w:vAlign w:val="center"/>
          </w:tcPr>
          <w:p w14:paraId="65C47DE3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0.937~0.986 p.u.</w:t>
            </w:r>
          </w:p>
        </w:tc>
        <w:tc>
          <w:tcPr>
            <w:tcW w:w="2041" w:type="dxa"/>
            <w:vAlign w:val="center"/>
          </w:tcPr>
          <w:p w14:paraId="3E1E5C95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1.726</w:t>
            </w:r>
          </w:p>
        </w:tc>
      </w:tr>
      <w:tr w:rsidR="002A5883" w14:paraId="15428ABB" w14:textId="77777777" w:rsidTr="002A5883">
        <w:trPr>
          <w:cantSplit/>
          <w:jc w:val="center"/>
        </w:trPr>
        <w:tc>
          <w:tcPr>
            <w:tcW w:w="1701" w:type="dxa"/>
            <w:tcBorders>
              <w:bottom w:val="single" w:sz="8" w:space="0" w:color="000000"/>
            </w:tcBorders>
            <w:vAlign w:val="center"/>
          </w:tcPr>
          <w:p w14:paraId="058E9811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增大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α</w:t>
            </w:r>
          </w:p>
        </w:tc>
        <w:tc>
          <w:tcPr>
            <w:tcW w:w="2381" w:type="dxa"/>
            <w:tcBorders>
              <w:bottom w:val="single" w:sz="8" w:space="0" w:color="000000"/>
            </w:tcBorders>
            <w:vAlign w:val="center"/>
          </w:tcPr>
          <w:p w14:paraId="4A6C89B5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0.951~1.003 p.u.</w:t>
            </w:r>
          </w:p>
        </w:tc>
        <w:tc>
          <w:tcPr>
            <w:tcW w:w="2381" w:type="dxa"/>
            <w:tcBorders>
              <w:bottom w:val="single" w:sz="8" w:space="0" w:color="000000"/>
            </w:tcBorders>
            <w:vAlign w:val="center"/>
          </w:tcPr>
          <w:p w14:paraId="40EBD42C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0.902~0.961 p.u.</w:t>
            </w:r>
          </w:p>
        </w:tc>
        <w:tc>
          <w:tcPr>
            <w:tcW w:w="2041" w:type="dxa"/>
            <w:tcBorders>
              <w:bottom w:val="single" w:sz="8" w:space="0" w:color="000000"/>
            </w:tcBorders>
            <w:vAlign w:val="center"/>
          </w:tcPr>
          <w:p w14:paraId="323779A5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2.483</w:t>
            </w:r>
          </w:p>
        </w:tc>
      </w:tr>
    </w:tbl>
    <w:p w14:paraId="3126D963" w14:textId="77777777" w:rsidR="002A5883" w:rsidRDefault="002A5883" w:rsidP="002A5883">
      <w:pPr>
        <w:pStyle w:val="2"/>
        <w:spacing w:before="120" w:after="60" w:line="312" w:lineRule="auto"/>
      </w:pPr>
      <w:bookmarkStart w:id="4" w:name="_LarkToc00005"/>
      <w:r>
        <w:rPr>
          <w:rFonts w:ascii="Times New Roman" w:eastAsia="黑体" w:hAnsi="Times New Roman"/>
          <w:szCs w:val="21"/>
        </w:rPr>
        <w:t>1.4</w:t>
      </w:r>
      <w:r>
        <w:rPr>
          <w:rFonts w:ascii="Times New Roman" w:eastAsia="黑体" w:hAnsi="Times New Roman"/>
          <w:szCs w:val="21"/>
        </w:rPr>
        <w:t xml:space="preserve">　结果阐述与思考题分析</w:t>
      </w:r>
      <w:bookmarkEnd w:id="4"/>
    </w:p>
    <w:p w14:paraId="3A6E676F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1</w:t>
      </w:r>
      <w:r>
        <w:rPr>
          <w:rFonts w:ascii="Times New Roman" w:eastAsia="宋体" w:hAnsi="Times New Roman"/>
          <w:color w:val="000000"/>
          <w:szCs w:val="21"/>
        </w:rPr>
        <w:t>）电压变化规律：午间光伏出力大，即使负荷增大，光伏仍可支撑一部分电压，电压下降幅</w:t>
      </w:r>
      <w:r>
        <w:rPr>
          <w:rFonts w:ascii="Times New Roman" w:eastAsia="宋体" w:hAnsi="Times New Roman"/>
          <w:color w:val="000000"/>
          <w:szCs w:val="21"/>
        </w:rPr>
        <w:lastRenderedPageBreak/>
        <w:t>度相对有限；晚高峰光伏出力几乎为零且负荷达到全天峰值，末端节点电压跌落显著，电压越下限风险增大。</w:t>
      </w:r>
    </w:p>
    <w:p w14:paraId="3882D734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2</w:t>
      </w:r>
      <w:r>
        <w:rPr>
          <w:rFonts w:ascii="Times New Roman" w:eastAsia="宋体" w:hAnsi="Times New Roman"/>
          <w:color w:val="000000"/>
          <w:szCs w:val="21"/>
        </w:rPr>
        <w:t>）网损变化：网络损耗与支路电流平方近似成正比，负荷系数</w:t>
      </w:r>
      <w:r>
        <w:rPr>
          <w:rFonts w:ascii="Times New Roman" w:eastAsia="宋体" w:hAnsi="Times New Roman"/>
          <w:color w:val="000000"/>
          <w:szCs w:val="21"/>
        </w:rPr>
        <w:t>α</w:t>
      </w:r>
      <w:r>
        <w:rPr>
          <w:rFonts w:ascii="Times New Roman" w:eastAsia="宋体" w:hAnsi="Times New Roman"/>
          <w:color w:val="000000"/>
          <w:szCs w:val="21"/>
        </w:rPr>
        <w:t>增大使支路电流上升，全天网损明显增大，由基准工况的</w:t>
      </w:r>
      <w:r>
        <w:rPr>
          <w:rFonts w:ascii="Times New Roman" w:eastAsia="宋体" w:hAnsi="Times New Roman"/>
          <w:color w:val="000000"/>
          <w:szCs w:val="21"/>
        </w:rPr>
        <w:t>1.726 MWh</w:t>
      </w:r>
      <w:r>
        <w:rPr>
          <w:rFonts w:ascii="Times New Roman" w:eastAsia="宋体" w:hAnsi="Times New Roman"/>
          <w:color w:val="000000"/>
          <w:szCs w:val="21"/>
        </w:rPr>
        <w:t>增至</w:t>
      </w:r>
      <w:r>
        <w:rPr>
          <w:rFonts w:ascii="Times New Roman" w:eastAsia="宋体" w:hAnsi="Times New Roman"/>
          <w:color w:val="000000"/>
          <w:szCs w:val="21"/>
        </w:rPr>
        <w:t>2.483 MWh</w:t>
      </w:r>
      <w:r>
        <w:rPr>
          <w:rFonts w:ascii="Times New Roman" w:eastAsia="宋体" w:hAnsi="Times New Roman"/>
          <w:color w:val="000000"/>
          <w:szCs w:val="21"/>
        </w:rPr>
        <w:t>。</w:t>
      </w:r>
    </w:p>
    <w:p w14:paraId="0E86C37B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3</w:t>
      </w:r>
      <w:r>
        <w:rPr>
          <w:rFonts w:ascii="Times New Roman" w:eastAsia="宋体" w:hAnsi="Times New Roman"/>
          <w:color w:val="000000"/>
          <w:szCs w:val="21"/>
        </w:rPr>
        <w:t>）</w:t>
      </w:r>
      <w:r>
        <w:rPr>
          <w:rFonts w:ascii="Times New Roman" w:eastAsia="宋体" w:hAnsi="Times New Roman"/>
          <w:color w:val="000000"/>
          <w:szCs w:val="21"/>
        </w:rPr>
        <w:t>Interactive01</w:t>
      </w:r>
      <w:r>
        <w:rPr>
          <w:rFonts w:ascii="Times New Roman" w:eastAsia="宋体" w:hAnsi="Times New Roman"/>
          <w:color w:val="000000"/>
          <w:szCs w:val="21"/>
        </w:rPr>
        <w:t>交互试验小结：通过交互界面观察不同负荷、光伏水平下的潮流结果，验证配电网电压问题多集中在晚高峰重负荷时段；分布式光伏对抬升午间电压有明显效果，但对傍晚高峰电压的支撑能力弱。</w:t>
      </w:r>
    </w:p>
    <w:p w14:paraId="6305F423" w14:textId="77777777" w:rsidR="002A5883" w:rsidRDefault="002A5883" w:rsidP="002A5883">
      <w:pPr>
        <w:pStyle w:val="1"/>
        <w:spacing w:before="240" w:after="120" w:line="312" w:lineRule="auto"/>
      </w:pPr>
      <w:bookmarkStart w:id="5" w:name="_LarkToc00006"/>
      <w:r>
        <w:rPr>
          <w:rFonts w:ascii="Times New Roman" w:eastAsia="黑体" w:hAnsi="Times New Roman"/>
          <w:szCs w:val="24"/>
        </w:rPr>
        <w:t>2</w:t>
      </w:r>
      <w:r>
        <w:rPr>
          <w:rFonts w:ascii="Times New Roman" w:eastAsia="黑体" w:hAnsi="Times New Roman"/>
          <w:szCs w:val="24"/>
        </w:rPr>
        <w:t xml:space="preserve">　任务二：储能充放电手算、模型对比与参数灵敏度分析</w:t>
      </w:r>
      <w:bookmarkEnd w:id="5"/>
    </w:p>
    <w:p w14:paraId="7673D43A" w14:textId="77777777" w:rsidR="002A5883" w:rsidRDefault="002A5883" w:rsidP="002A5883">
      <w:pPr>
        <w:pStyle w:val="2"/>
        <w:spacing w:before="120" w:after="60" w:line="312" w:lineRule="auto"/>
      </w:pPr>
      <w:bookmarkStart w:id="6" w:name="_LarkToc00007"/>
      <w:r>
        <w:rPr>
          <w:rFonts w:ascii="Times New Roman" w:eastAsia="黑体" w:hAnsi="Times New Roman"/>
          <w:szCs w:val="21"/>
        </w:rPr>
        <w:t>2.1</w:t>
      </w:r>
      <w:r>
        <w:rPr>
          <w:rFonts w:ascii="Times New Roman" w:eastAsia="黑体" w:hAnsi="Times New Roman"/>
          <w:szCs w:val="21"/>
        </w:rPr>
        <w:t xml:space="preserve">　任务及参数介绍</w:t>
      </w:r>
      <w:bookmarkEnd w:id="6"/>
    </w:p>
    <w:p w14:paraId="54A1BC64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本任务包括三部分内容。其一，理论手算：已知储能额定容量</w:t>
      </w:r>
      <w:r>
        <w:rPr>
          <w:rFonts w:ascii="Times New Roman" w:eastAsia="宋体" w:hAnsi="Times New Roman"/>
          <w:color w:val="000000"/>
          <w:szCs w:val="21"/>
        </w:rPr>
        <w:t>E_rated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2 MWh</w:t>
      </w:r>
      <w:r>
        <w:rPr>
          <w:rFonts w:ascii="Times New Roman" w:eastAsia="宋体" w:hAnsi="Times New Roman"/>
          <w:color w:val="000000"/>
          <w:szCs w:val="21"/>
        </w:rPr>
        <w:t>、充电效率</w:t>
      </w:r>
      <w:r>
        <w:rPr>
          <w:rFonts w:ascii="Times New Roman" w:eastAsia="宋体" w:hAnsi="Times New Roman"/>
          <w:color w:val="000000"/>
          <w:szCs w:val="21"/>
        </w:rPr>
        <w:t>η_ch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0.90</w:t>
      </w:r>
      <w:r>
        <w:rPr>
          <w:rFonts w:ascii="Times New Roman" w:eastAsia="宋体" w:hAnsi="Times New Roman"/>
          <w:color w:val="000000"/>
          <w:szCs w:val="21"/>
        </w:rPr>
        <w:t>、放电效率</w:t>
      </w:r>
      <w:r>
        <w:rPr>
          <w:rFonts w:ascii="Times New Roman" w:eastAsia="宋体" w:hAnsi="Times New Roman"/>
          <w:color w:val="000000"/>
          <w:szCs w:val="21"/>
        </w:rPr>
        <w:t>η_dis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0.95</w:t>
      </w:r>
      <w:r>
        <w:rPr>
          <w:rFonts w:ascii="Times New Roman" w:eastAsia="宋体" w:hAnsi="Times New Roman"/>
          <w:color w:val="000000"/>
          <w:szCs w:val="21"/>
        </w:rPr>
        <w:t>，计算充入</w:t>
      </w:r>
      <w:r>
        <w:rPr>
          <w:rFonts w:ascii="Times New Roman" w:eastAsia="宋体" w:hAnsi="Times New Roman"/>
          <w:color w:val="000000"/>
          <w:szCs w:val="21"/>
        </w:rPr>
        <w:t>1 MWh</w:t>
      </w:r>
      <w:r>
        <w:rPr>
          <w:rFonts w:ascii="Times New Roman" w:eastAsia="宋体" w:hAnsi="Times New Roman"/>
          <w:color w:val="000000"/>
          <w:szCs w:val="21"/>
        </w:rPr>
        <w:t>电量后可对外售出的电量。其二，模型对比：在</w:t>
      </w:r>
      <w:r>
        <w:rPr>
          <w:rFonts w:ascii="Times New Roman" w:eastAsia="宋体" w:hAnsi="Times New Roman"/>
          <w:color w:val="000000"/>
          <w:szCs w:val="21"/>
        </w:rPr>
        <w:t>Interactive02</w:t>
      </w:r>
      <w:r>
        <w:rPr>
          <w:rFonts w:ascii="Times New Roman" w:eastAsia="宋体" w:hAnsi="Times New Roman"/>
          <w:color w:val="000000"/>
          <w:szCs w:val="21"/>
        </w:rPr>
        <w:t>中对比保留充放电互斥</w:t>
      </w:r>
      <w:r>
        <w:rPr>
          <w:rFonts w:ascii="Times New Roman" w:eastAsia="宋体" w:hAnsi="Times New Roman"/>
          <w:color w:val="000000"/>
          <w:szCs w:val="21"/>
        </w:rPr>
        <w:t>0-1</w:t>
      </w:r>
      <w:r>
        <w:rPr>
          <w:rFonts w:ascii="Times New Roman" w:eastAsia="宋体" w:hAnsi="Times New Roman"/>
          <w:color w:val="000000"/>
          <w:szCs w:val="21"/>
        </w:rPr>
        <w:t>变量</w:t>
      </w:r>
      <w:r>
        <w:rPr>
          <w:rFonts w:ascii="Times New Roman" w:eastAsia="宋体" w:hAnsi="Times New Roman"/>
          <w:color w:val="000000"/>
          <w:szCs w:val="21"/>
        </w:rPr>
        <w:t>u_t</w:t>
      </w: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MILP</w:t>
      </w:r>
      <w:r>
        <w:rPr>
          <w:rFonts w:ascii="Times New Roman" w:eastAsia="宋体" w:hAnsi="Times New Roman"/>
          <w:color w:val="000000"/>
          <w:szCs w:val="21"/>
        </w:rPr>
        <w:t>混合整数线性规划）与取消</w:t>
      </w:r>
      <w:r>
        <w:rPr>
          <w:rFonts w:ascii="Times New Roman" w:eastAsia="宋体" w:hAnsi="Times New Roman"/>
          <w:color w:val="000000"/>
          <w:szCs w:val="21"/>
        </w:rPr>
        <w:t>u_t</w:t>
      </w: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LP</w:t>
      </w:r>
      <w:r>
        <w:rPr>
          <w:rFonts w:ascii="Times New Roman" w:eastAsia="宋体" w:hAnsi="Times New Roman"/>
          <w:color w:val="000000"/>
          <w:szCs w:val="21"/>
        </w:rPr>
        <w:t>线性规划）两种模型，对比日收益与最大同时充放电功率。其三，参数试验：分别改变额定功率</w:t>
      </w:r>
      <w:r>
        <w:rPr>
          <w:rFonts w:ascii="Times New Roman" w:eastAsia="宋体" w:hAnsi="Times New Roman"/>
          <w:color w:val="000000"/>
          <w:szCs w:val="21"/>
        </w:rPr>
        <w:t>P_rated</w:t>
      </w:r>
      <w:r>
        <w:rPr>
          <w:rFonts w:ascii="Times New Roman" w:eastAsia="宋体" w:hAnsi="Times New Roman"/>
          <w:color w:val="000000"/>
          <w:szCs w:val="21"/>
        </w:rPr>
        <w:t>与额定容量</w:t>
      </w:r>
      <w:r>
        <w:rPr>
          <w:rFonts w:ascii="Times New Roman" w:eastAsia="宋体" w:hAnsi="Times New Roman"/>
          <w:color w:val="000000"/>
          <w:szCs w:val="21"/>
        </w:rPr>
        <w:t>E_rated</w:t>
      </w:r>
      <w:r>
        <w:rPr>
          <w:rFonts w:ascii="Times New Roman" w:eastAsia="宋体" w:hAnsi="Times New Roman"/>
          <w:color w:val="000000"/>
          <w:szCs w:val="21"/>
        </w:rPr>
        <w:t>，分析功率与容量瓶颈对运行收益的影响。提交成果须包含电价</w:t>
      </w:r>
      <w:r>
        <w:rPr>
          <w:rFonts w:ascii="Times New Roman" w:eastAsia="宋体" w:hAnsi="Times New Roman"/>
          <w:color w:val="000000"/>
          <w:szCs w:val="21"/>
        </w:rPr>
        <w:t>—</w:t>
      </w:r>
      <w:r>
        <w:rPr>
          <w:rFonts w:ascii="Times New Roman" w:eastAsia="宋体" w:hAnsi="Times New Roman"/>
          <w:color w:val="000000"/>
          <w:szCs w:val="21"/>
        </w:rPr>
        <w:t>充放电功率</w:t>
      </w:r>
      <w:r>
        <w:rPr>
          <w:rFonts w:ascii="Times New Roman" w:eastAsia="宋体" w:hAnsi="Times New Roman"/>
          <w:color w:val="000000"/>
          <w:szCs w:val="21"/>
        </w:rPr>
        <w:t>—</w:t>
      </w:r>
      <w:r>
        <w:rPr>
          <w:rFonts w:ascii="Times New Roman" w:eastAsia="宋体" w:hAnsi="Times New Roman"/>
          <w:color w:val="000000"/>
          <w:szCs w:val="21"/>
        </w:rPr>
        <w:t>荷电状态时序图及</w:t>
      </w:r>
      <w:r>
        <w:rPr>
          <w:rFonts w:ascii="Times New Roman" w:eastAsia="宋体" w:hAnsi="Times New Roman"/>
          <w:color w:val="000000"/>
          <w:szCs w:val="21"/>
        </w:rPr>
        <w:t>LP/MILP</w:t>
      </w:r>
      <w:r>
        <w:rPr>
          <w:rFonts w:ascii="Times New Roman" w:eastAsia="宋体" w:hAnsi="Times New Roman"/>
          <w:color w:val="000000"/>
          <w:szCs w:val="21"/>
        </w:rPr>
        <w:t>对比结论。</w:t>
      </w:r>
    </w:p>
    <w:p w14:paraId="5BC523F7" w14:textId="77777777" w:rsidR="002A5883" w:rsidRDefault="002A5883" w:rsidP="002A5883">
      <w:pPr>
        <w:pStyle w:val="2"/>
        <w:spacing w:before="120" w:after="60" w:line="312" w:lineRule="auto"/>
      </w:pPr>
      <w:bookmarkStart w:id="7" w:name="_LarkToc00008"/>
      <w:r>
        <w:rPr>
          <w:rFonts w:ascii="Times New Roman" w:eastAsia="黑体" w:hAnsi="Times New Roman"/>
          <w:szCs w:val="21"/>
        </w:rPr>
        <w:t>2.2</w:t>
      </w:r>
      <w:r>
        <w:rPr>
          <w:rFonts w:ascii="Times New Roman" w:eastAsia="黑体" w:hAnsi="Times New Roman"/>
          <w:szCs w:val="21"/>
        </w:rPr>
        <w:t xml:space="preserve">　理论手算</w:t>
      </w:r>
      <w:bookmarkEnd w:id="7"/>
    </w:p>
    <w:p w14:paraId="35019A31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充入</w:t>
      </w:r>
      <w:r>
        <w:rPr>
          <w:rFonts w:ascii="Times New Roman" w:eastAsia="宋体" w:hAnsi="Times New Roman"/>
          <w:color w:val="000000"/>
          <w:szCs w:val="21"/>
        </w:rPr>
        <w:t>1 MWh</w:t>
      </w:r>
      <w:r>
        <w:rPr>
          <w:rFonts w:ascii="Times New Roman" w:eastAsia="宋体" w:hAnsi="Times New Roman"/>
          <w:color w:val="000000"/>
          <w:szCs w:val="21"/>
        </w:rPr>
        <w:t>电量指电网侧输入储能本体的电量。储能充电侧输入</w:t>
      </w:r>
      <w:r>
        <w:rPr>
          <w:rFonts w:ascii="Times New Roman" w:eastAsia="宋体" w:hAnsi="Times New Roman"/>
          <w:color w:val="000000"/>
          <w:szCs w:val="21"/>
        </w:rPr>
        <w:t>1 MWh</w:t>
      </w:r>
      <w:r>
        <w:rPr>
          <w:rFonts w:ascii="Times New Roman" w:eastAsia="宋体" w:hAnsi="Times New Roman"/>
          <w:color w:val="000000"/>
          <w:szCs w:val="21"/>
        </w:rPr>
        <w:t>，实际存入储能本体的电量为：</w:t>
      </w:r>
    </w:p>
    <w:p w14:paraId="19850D04" w14:textId="77777777" w:rsidR="002A5883" w:rsidRDefault="002A5883" w:rsidP="002A5883">
      <w:pPr>
        <w:spacing w:before="80" w:after="80" w:line="360" w:lineRule="auto"/>
        <w:jc w:val="center"/>
      </w:pPr>
      <w:r>
        <w:rPr>
          <w:rFonts w:ascii="Times New Roman" w:eastAsia="宋体" w:hAnsi="Times New Roman"/>
          <w:color w:val="000000"/>
          <w:szCs w:val="21"/>
        </w:rPr>
        <w:t>E</w:t>
      </w:r>
      <w:r>
        <w:rPr>
          <w:rFonts w:ascii="Times New Roman" w:eastAsia="宋体" w:hAnsi="Times New Roman"/>
          <w:color w:val="000000"/>
          <w:szCs w:val="21"/>
          <w:vertAlign w:val="subscript"/>
        </w:rPr>
        <w:t>store</w:t>
      </w:r>
      <w:r>
        <w:rPr>
          <w:rFonts w:ascii="Times New Roman" w:eastAsia="宋体" w:hAnsi="Times New Roman"/>
          <w:color w:val="000000"/>
          <w:szCs w:val="21"/>
        </w:rPr>
        <w:t xml:space="preserve"> = E</w:t>
      </w:r>
      <w:r>
        <w:rPr>
          <w:rFonts w:ascii="Times New Roman" w:eastAsia="宋体" w:hAnsi="Times New Roman"/>
          <w:color w:val="000000"/>
          <w:szCs w:val="21"/>
          <w:vertAlign w:val="subscript"/>
        </w:rPr>
        <w:t>in</w:t>
      </w:r>
      <w:r>
        <w:rPr>
          <w:rFonts w:ascii="Times New Roman" w:eastAsia="宋体" w:hAnsi="Times New Roman"/>
          <w:color w:val="000000"/>
          <w:szCs w:val="21"/>
        </w:rPr>
        <w:t xml:space="preserve"> × η</w:t>
      </w:r>
      <w:r>
        <w:rPr>
          <w:rFonts w:ascii="Times New Roman" w:eastAsia="宋体" w:hAnsi="Times New Roman"/>
          <w:color w:val="000000"/>
          <w:szCs w:val="21"/>
          <w:vertAlign w:val="subscript"/>
        </w:rPr>
        <w:t>ch</w:t>
      </w:r>
      <w:r>
        <w:rPr>
          <w:rFonts w:ascii="Times New Roman" w:eastAsia="宋体" w:hAnsi="Times New Roman"/>
          <w:color w:val="000000"/>
          <w:szCs w:val="21"/>
        </w:rPr>
        <w:t xml:space="preserve"> = 1 × 0.90 = 0.90 MWh</w:t>
      </w:r>
    </w:p>
    <w:p w14:paraId="2051034F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储能对外售卖（输出到电网）的电量，还需经过放电效率折算：</w:t>
      </w:r>
    </w:p>
    <w:p w14:paraId="5EF8B1A8" w14:textId="77777777" w:rsidR="002A5883" w:rsidRDefault="002A5883" w:rsidP="002A5883">
      <w:pPr>
        <w:spacing w:before="80" w:after="80" w:line="360" w:lineRule="auto"/>
        <w:jc w:val="center"/>
      </w:pPr>
      <w:r>
        <w:rPr>
          <w:rFonts w:ascii="Times New Roman" w:eastAsia="宋体" w:hAnsi="Times New Roman"/>
          <w:color w:val="000000"/>
          <w:szCs w:val="21"/>
        </w:rPr>
        <w:t>E</w:t>
      </w:r>
      <w:r>
        <w:rPr>
          <w:rFonts w:ascii="Times New Roman" w:eastAsia="宋体" w:hAnsi="Times New Roman"/>
          <w:color w:val="000000"/>
          <w:szCs w:val="21"/>
          <w:vertAlign w:val="subscript"/>
        </w:rPr>
        <w:t>sell</w:t>
      </w:r>
      <w:r>
        <w:rPr>
          <w:rFonts w:ascii="Times New Roman" w:eastAsia="宋体" w:hAnsi="Times New Roman"/>
          <w:color w:val="000000"/>
          <w:szCs w:val="21"/>
        </w:rPr>
        <w:t xml:space="preserve"> = E</w:t>
      </w:r>
      <w:r>
        <w:rPr>
          <w:rFonts w:ascii="Times New Roman" w:eastAsia="宋体" w:hAnsi="Times New Roman"/>
          <w:color w:val="000000"/>
          <w:szCs w:val="21"/>
          <w:vertAlign w:val="subscript"/>
        </w:rPr>
        <w:t>store</w:t>
      </w:r>
      <w:r>
        <w:rPr>
          <w:rFonts w:ascii="Times New Roman" w:eastAsia="宋体" w:hAnsi="Times New Roman"/>
          <w:color w:val="000000"/>
          <w:szCs w:val="21"/>
        </w:rPr>
        <w:t xml:space="preserve"> × η</w:t>
      </w:r>
      <w:r>
        <w:rPr>
          <w:rFonts w:ascii="Times New Roman" w:eastAsia="宋体" w:hAnsi="Times New Roman"/>
          <w:color w:val="000000"/>
          <w:szCs w:val="21"/>
          <w:vertAlign w:val="subscript"/>
        </w:rPr>
        <w:t>dis</w:t>
      </w:r>
      <w:r>
        <w:rPr>
          <w:rFonts w:ascii="Times New Roman" w:eastAsia="宋体" w:hAnsi="Times New Roman"/>
          <w:color w:val="000000"/>
          <w:szCs w:val="21"/>
        </w:rPr>
        <w:t xml:space="preserve"> = 0.90 × 0.95 = 0.855 MWh</w:t>
      </w:r>
    </w:p>
    <w:p w14:paraId="05C47092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结论：充入</w:t>
      </w:r>
      <w:r>
        <w:rPr>
          <w:rFonts w:ascii="Times New Roman" w:eastAsia="宋体" w:hAnsi="Times New Roman"/>
          <w:color w:val="000000"/>
          <w:szCs w:val="21"/>
        </w:rPr>
        <w:t>1 MWh</w:t>
      </w:r>
      <w:r>
        <w:rPr>
          <w:rFonts w:ascii="Times New Roman" w:eastAsia="宋体" w:hAnsi="Times New Roman"/>
          <w:color w:val="000000"/>
          <w:szCs w:val="21"/>
        </w:rPr>
        <w:t>电量，储能可对外售出</w:t>
      </w:r>
      <w:r>
        <w:rPr>
          <w:rFonts w:ascii="Times New Roman" w:eastAsia="宋体" w:hAnsi="Times New Roman"/>
          <w:color w:val="000000"/>
          <w:szCs w:val="21"/>
        </w:rPr>
        <w:t>0.855 MWh</w:t>
      </w:r>
      <w:r>
        <w:rPr>
          <w:rFonts w:ascii="Times New Roman" w:eastAsia="宋体" w:hAnsi="Times New Roman"/>
          <w:color w:val="000000"/>
          <w:szCs w:val="21"/>
        </w:rPr>
        <w:t>电量。</w:t>
      </w:r>
    </w:p>
    <w:p w14:paraId="5C1F5226" w14:textId="77777777" w:rsidR="002A5883" w:rsidRDefault="002A5883" w:rsidP="002A5883">
      <w:pPr>
        <w:pStyle w:val="2"/>
        <w:spacing w:before="120" w:after="60" w:line="312" w:lineRule="auto"/>
      </w:pPr>
      <w:bookmarkStart w:id="8" w:name="_LarkToc00009"/>
      <w:r>
        <w:rPr>
          <w:rFonts w:ascii="Times New Roman" w:eastAsia="黑体" w:hAnsi="Times New Roman"/>
          <w:szCs w:val="21"/>
        </w:rPr>
        <w:t>2.3</w:t>
      </w:r>
      <w:r>
        <w:rPr>
          <w:rFonts w:ascii="Times New Roman" w:eastAsia="黑体" w:hAnsi="Times New Roman"/>
          <w:szCs w:val="21"/>
        </w:rPr>
        <w:t xml:space="preserve">　模型对比仿真结果</w:t>
      </w:r>
      <w:bookmarkEnd w:id="8"/>
    </w:p>
    <w:p w14:paraId="389F7617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在</w:t>
      </w:r>
      <w:r>
        <w:rPr>
          <w:rFonts w:ascii="Times New Roman" w:eastAsia="宋体" w:hAnsi="Times New Roman"/>
          <w:color w:val="000000"/>
          <w:szCs w:val="21"/>
        </w:rPr>
        <w:t>Interactive02</w:t>
      </w:r>
      <w:r>
        <w:rPr>
          <w:rFonts w:ascii="Times New Roman" w:eastAsia="宋体" w:hAnsi="Times New Roman"/>
          <w:color w:val="000000"/>
          <w:szCs w:val="21"/>
        </w:rPr>
        <w:t>中分别求解保留</w:t>
      </w:r>
      <w:r>
        <w:rPr>
          <w:rFonts w:ascii="Times New Roman" w:eastAsia="宋体" w:hAnsi="Times New Roman"/>
          <w:color w:val="000000"/>
          <w:szCs w:val="21"/>
        </w:rPr>
        <w:t>0-1</w:t>
      </w:r>
      <w:r>
        <w:rPr>
          <w:rFonts w:ascii="Times New Roman" w:eastAsia="宋体" w:hAnsi="Times New Roman"/>
          <w:color w:val="000000"/>
          <w:szCs w:val="21"/>
        </w:rPr>
        <w:t>互斥变量</w:t>
      </w:r>
      <w:r>
        <w:rPr>
          <w:rFonts w:ascii="Times New Roman" w:eastAsia="宋体" w:hAnsi="Times New Roman"/>
          <w:color w:val="000000"/>
          <w:szCs w:val="21"/>
        </w:rPr>
        <w:t>u_t</w:t>
      </w:r>
      <w:r>
        <w:rPr>
          <w:rFonts w:ascii="Times New Roman" w:eastAsia="宋体" w:hAnsi="Times New Roman"/>
          <w:color w:val="000000"/>
          <w:szCs w:val="21"/>
        </w:rPr>
        <w:t>的</w:t>
      </w:r>
      <w:r>
        <w:rPr>
          <w:rFonts w:ascii="Times New Roman" w:eastAsia="宋体" w:hAnsi="Times New Roman"/>
          <w:color w:val="000000"/>
          <w:szCs w:val="21"/>
        </w:rPr>
        <w:t>MILP</w:t>
      </w:r>
      <w:r>
        <w:rPr>
          <w:rFonts w:ascii="Times New Roman" w:eastAsia="宋体" w:hAnsi="Times New Roman"/>
          <w:color w:val="000000"/>
          <w:szCs w:val="21"/>
        </w:rPr>
        <w:t>模型与取消</w:t>
      </w:r>
      <w:r>
        <w:rPr>
          <w:rFonts w:ascii="Times New Roman" w:eastAsia="宋体" w:hAnsi="Times New Roman"/>
          <w:color w:val="000000"/>
          <w:szCs w:val="21"/>
        </w:rPr>
        <w:t>u_t</w:t>
      </w:r>
      <w:r>
        <w:rPr>
          <w:rFonts w:ascii="Times New Roman" w:eastAsia="宋体" w:hAnsi="Times New Roman"/>
          <w:color w:val="000000"/>
          <w:szCs w:val="21"/>
        </w:rPr>
        <w:t>的</w:t>
      </w:r>
      <w:r>
        <w:rPr>
          <w:rFonts w:ascii="Times New Roman" w:eastAsia="宋体" w:hAnsi="Times New Roman"/>
          <w:color w:val="000000"/>
          <w:szCs w:val="21"/>
        </w:rPr>
        <w:t>LP</w:t>
      </w:r>
      <w:r>
        <w:rPr>
          <w:rFonts w:ascii="Times New Roman" w:eastAsia="宋体" w:hAnsi="Times New Roman"/>
          <w:color w:val="000000"/>
          <w:szCs w:val="21"/>
        </w:rPr>
        <w:t>模型，两种模型的日收益与最大同时充放电功率对比见表</w:t>
      </w:r>
      <w:r>
        <w:rPr>
          <w:rFonts w:ascii="Times New Roman" w:eastAsia="宋体" w:hAnsi="Times New Roman"/>
          <w:color w:val="000000"/>
          <w:szCs w:val="21"/>
        </w:rPr>
        <w:t>3</w:t>
      </w:r>
      <w:r>
        <w:rPr>
          <w:rFonts w:ascii="Times New Roman" w:eastAsia="宋体" w:hAnsi="Times New Roman"/>
          <w:color w:val="000000"/>
          <w:szCs w:val="21"/>
        </w:rPr>
        <w:t>。</w:t>
      </w:r>
    </w:p>
    <w:p w14:paraId="5882149D" w14:textId="77777777" w:rsidR="002A5883" w:rsidRDefault="002A5883" w:rsidP="002A5883">
      <w:pPr>
        <w:keepNext/>
        <w:spacing w:before="160" w:after="80" w:line="360" w:lineRule="auto"/>
        <w:jc w:val="center"/>
      </w:pPr>
      <w:r>
        <w:rPr>
          <w:rFonts w:ascii="Times New Roman" w:eastAsia="黑体" w:hAnsi="Times New Roman"/>
          <w:color w:val="000000"/>
          <w:sz w:val="18"/>
          <w:szCs w:val="18"/>
        </w:rPr>
        <w:lastRenderedPageBreak/>
        <w:t>表</w:t>
      </w:r>
      <w:r>
        <w:rPr>
          <w:rFonts w:ascii="Times New Roman" w:eastAsia="黑体" w:hAnsi="Times New Roman"/>
          <w:color w:val="000000"/>
          <w:sz w:val="18"/>
          <w:szCs w:val="18"/>
        </w:rPr>
        <w:t>3</w:t>
      </w:r>
      <w:r>
        <w:rPr>
          <w:rFonts w:ascii="Times New Roman" w:eastAsia="黑体" w:hAnsi="Times New Roman"/>
          <w:color w:val="000000"/>
          <w:sz w:val="18"/>
          <w:szCs w:val="18"/>
        </w:rPr>
        <w:t xml:space="preserve">　</w:t>
      </w:r>
      <w:r>
        <w:rPr>
          <w:rFonts w:ascii="Times New Roman" w:eastAsia="黑体" w:hAnsi="Times New Roman"/>
          <w:color w:val="000000"/>
          <w:sz w:val="18"/>
          <w:szCs w:val="18"/>
        </w:rPr>
        <w:t>LP</w:t>
      </w:r>
      <w:r>
        <w:rPr>
          <w:rFonts w:ascii="Times New Roman" w:eastAsia="黑体" w:hAnsi="Times New Roman"/>
          <w:color w:val="000000"/>
          <w:sz w:val="18"/>
          <w:szCs w:val="18"/>
        </w:rPr>
        <w:t>与</w:t>
      </w:r>
      <w:r>
        <w:rPr>
          <w:rFonts w:ascii="Times New Roman" w:eastAsia="黑体" w:hAnsi="Times New Roman"/>
          <w:color w:val="000000"/>
          <w:sz w:val="18"/>
          <w:szCs w:val="18"/>
        </w:rPr>
        <w:t>MILP</w:t>
      </w:r>
      <w:r>
        <w:rPr>
          <w:rFonts w:ascii="Times New Roman" w:eastAsia="黑体" w:hAnsi="Times New Roman"/>
          <w:color w:val="000000"/>
          <w:sz w:val="18"/>
          <w:szCs w:val="18"/>
        </w:rPr>
        <w:t>模型对比结果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474"/>
        <w:gridCol w:w="1474"/>
        <w:gridCol w:w="1644"/>
        <w:gridCol w:w="1644"/>
      </w:tblGrid>
      <w:tr w:rsidR="002A5883" w14:paraId="5F739AA5" w14:textId="77777777" w:rsidTr="002A5883">
        <w:trPr>
          <w:cantSplit/>
          <w:tblHeader/>
          <w:jc w:val="center"/>
        </w:trPr>
        <w:tc>
          <w:tcPr>
            <w:tcW w:w="2608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115DB716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模型</w:t>
            </w:r>
          </w:p>
        </w:tc>
        <w:tc>
          <w:tcPr>
            <w:tcW w:w="1474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5345779F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日收益（元）</w:t>
            </w:r>
          </w:p>
        </w:tc>
        <w:tc>
          <w:tcPr>
            <w:tcW w:w="1474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2B0AE42E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出现同时充放电</w:t>
            </w:r>
          </w:p>
        </w:tc>
        <w:tc>
          <w:tcPr>
            <w:tcW w:w="1644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5BE0953F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最大充电功率（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MW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）</w:t>
            </w:r>
          </w:p>
        </w:tc>
        <w:tc>
          <w:tcPr>
            <w:tcW w:w="1644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51CA783D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最大放电功率（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MW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）</w:t>
            </w:r>
          </w:p>
        </w:tc>
      </w:tr>
      <w:tr w:rsidR="002A5883" w14:paraId="285547C5" w14:textId="77777777" w:rsidTr="002A5883">
        <w:trPr>
          <w:cantSplit/>
          <w:jc w:val="center"/>
        </w:trPr>
        <w:tc>
          <w:tcPr>
            <w:tcW w:w="2608" w:type="dxa"/>
            <w:vAlign w:val="center"/>
          </w:tcPr>
          <w:p w14:paraId="710087A7" w14:textId="77777777" w:rsidR="002A5883" w:rsidRDefault="002A5883" w:rsidP="00D24DA2">
            <w:pPr>
              <w:spacing w:before="40" w:after="40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MILP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（保留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u_t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互斥约束）</w:t>
            </w:r>
          </w:p>
        </w:tc>
        <w:tc>
          <w:tcPr>
            <w:tcW w:w="1474" w:type="dxa"/>
            <w:vAlign w:val="center"/>
          </w:tcPr>
          <w:p w14:paraId="3C60F818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426.3</w:t>
            </w:r>
          </w:p>
        </w:tc>
        <w:tc>
          <w:tcPr>
            <w:tcW w:w="1474" w:type="dxa"/>
            <w:vAlign w:val="center"/>
          </w:tcPr>
          <w:p w14:paraId="6F1A963E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1644" w:type="dxa"/>
            <w:vAlign w:val="center"/>
          </w:tcPr>
          <w:p w14:paraId="6A02CD72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1644" w:type="dxa"/>
            <w:vAlign w:val="center"/>
          </w:tcPr>
          <w:p w14:paraId="08907140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0.78</w:t>
            </w:r>
          </w:p>
        </w:tc>
      </w:tr>
      <w:tr w:rsidR="002A5883" w14:paraId="56CDD882" w14:textId="77777777" w:rsidTr="002A5883">
        <w:trPr>
          <w:cantSplit/>
          <w:jc w:val="center"/>
        </w:trPr>
        <w:tc>
          <w:tcPr>
            <w:tcW w:w="2608" w:type="dxa"/>
            <w:tcBorders>
              <w:bottom w:val="single" w:sz="8" w:space="0" w:color="000000"/>
            </w:tcBorders>
            <w:vAlign w:val="center"/>
          </w:tcPr>
          <w:p w14:paraId="6AAF07C9" w14:textId="77777777" w:rsidR="002A5883" w:rsidRDefault="002A5883" w:rsidP="00D24DA2">
            <w:pPr>
              <w:spacing w:before="40" w:after="40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LP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（取消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u_t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互斥约束）</w:t>
            </w:r>
          </w:p>
        </w:tc>
        <w:tc>
          <w:tcPr>
            <w:tcW w:w="1474" w:type="dxa"/>
            <w:tcBorders>
              <w:bottom w:val="single" w:sz="8" w:space="0" w:color="000000"/>
            </w:tcBorders>
            <w:vAlign w:val="center"/>
          </w:tcPr>
          <w:p w14:paraId="57CAA533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471.8</w:t>
            </w:r>
          </w:p>
        </w:tc>
        <w:tc>
          <w:tcPr>
            <w:tcW w:w="1474" w:type="dxa"/>
            <w:tcBorders>
              <w:bottom w:val="single" w:sz="8" w:space="0" w:color="000000"/>
            </w:tcBorders>
            <w:vAlign w:val="center"/>
          </w:tcPr>
          <w:p w14:paraId="1430870C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644" w:type="dxa"/>
            <w:tcBorders>
              <w:bottom w:val="single" w:sz="8" w:space="0" w:color="000000"/>
            </w:tcBorders>
            <w:vAlign w:val="center"/>
          </w:tcPr>
          <w:p w14:paraId="24B991F5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1644" w:type="dxa"/>
            <w:tcBorders>
              <w:bottom w:val="single" w:sz="8" w:space="0" w:color="000000"/>
            </w:tcBorders>
            <w:vAlign w:val="center"/>
          </w:tcPr>
          <w:p w14:paraId="7E211920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0.79</w:t>
            </w:r>
          </w:p>
        </w:tc>
      </w:tr>
    </w:tbl>
    <w:p w14:paraId="7BC1B615" w14:textId="77777777" w:rsidR="002A5883" w:rsidRDefault="002A5883" w:rsidP="002A5883">
      <w:pPr>
        <w:pStyle w:val="2"/>
        <w:spacing w:before="120" w:after="60" w:line="312" w:lineRule="auto"/>
      </w:pPr>
      <w:bookmarkStart w:id="9" w:name="_LarkToc00010"/>
      <w:r>
        <w:rPr>
          <w:rFonts w:ascii="Times New Roman" w:eastAsia="黑体" w:hAnsi="Times New Roman"/>
          <w:szCs w:val="21"/>
        </w:rPr>
        <w:t>2.4</w:t>
      </w:r>
      <w:r>
        <w:rPr>
          <w:rFonts w:ascii="Times New Roman" w:eastAsia="黑体" w:hAnsi="Times New Roman"/>
          <w:szCs w:val="21"/>
        </w:rPr>
        <w:t xml:space="preserve">　参数灵敏度分析</w:t>
      </w:r>
      <w:bookmarkEnd w:id="9"/>
    </w:p>
    <w:p w14:paraId="51733645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1</w:t>
      </w:r>
      <w:r>
        <w:rPr>
          <w:rFonts w:ascii="Times New Roman" w:eastAsia="宋体" w:hAnsi="Times New Roman"/>
          <w:color w:val="000000"/>
          <w:szCs w:val="21"/>
        </w:rPr>
        <w:t>）额定功率</w:t>
      </w:r>
      <w:r>
        <w:rPr>
          <w:rFonts w:ascii="Times New Roman" w:eastAsia="宋体" w:hAnsi="Times New Roman"/>
          <w:color w:val="000000"/>
          <w:szCs w:val="21"/>
        </w:rPr>
        <w:t>P_rated</w:t>
      </w:r>
      <w:r>
        <w:rPr>
          <w:rFonts w:ascii="Times New Roman" w:eastAsia="宋体" w:hAnsi="Times New Roman"/>
          <w:color w:val="000000"/>
          <w:szCs w:val="21"/>
        </w:rPr>
        <w:t>偏小（功率瓶颈）：即使储能还有剩余容量，受功率上限限制，低价时段不能充分充电、高价时段不能充分放电，套利收益被功率限制压低。</w:t>
      </w:r>
    </w:p>
    <w:p w14:paraId="4BF5CB9C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2</w:t>
      </w:r>
      <w:r>
        <w:rPr>
          <w:rFonts w:ascii="Times New Roman" w:eastAsia="宋体" w:hAnsi="Times New Roman"/>
          <w:color w:val="000000"/>
          <w:szCs w:val="21"/>
        </w:rPr>
        <w:t>）额定容量</w:t>
      </w:r>
      <w:r>
        <w:rPr>
          <w:rFonts w:ascii="Times New Roman" w:eastAsia="宋体" w:hAnsi="Times New Roman"/>
          <w:color w:val="000000"/>
          <w:szCs w:val="21"/>
        </w:rPr>
        <w:t>E_rated</w:t>
      </w:r>
      <w:r>
        <w:rPr>
          <w:rFonts w:ascii="Times New Roman" w:eastAsia="宋体" w:hAnsi="Times New Roman"/>
          <w:color w:val="000000"/>
          <w:szCs w:val="21"/>
        </w:rPr>
        <w:t>偏小（容量瓶颈）：功率足够，但储能存不下更多低价电能，可参与套利的电量有限，收益难以继续提升。</w:t>
      </w:r>
    </w:p>
    <w:p w14:paraId="2F90F1A5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3</w:t>
      </w:r>
      <w:r>
        <w:rPr>
          <w:rFonts w:ascii="Times New Roman" w:eastAsia="宋体" w:hAnsi="Times New Roman"/>
          <w:color w:val="000000"/>
          <w:szCs w:val="21"/>
        </w:rPr>
        <w:t>）当功率、容量均足够大时，收益趋于饱和，此时收益受电价差与日负荷曲线约束。</w:t>
      </w:r>
    </w:p>
    <w:p w14:paraId="669315D7" w14:textId="77777777" w:rsidR="002A5883" w:rsidRDefault="002A5883" w:rsidP="002A5883">
      <w:pPr>
        <w:pStyle w:val="2"/>
        <w:spacing w:before="120" w:after="60" w:line="312" w:lineRule="auto"/>
      </w:pPr>
      <w:bookmarkStart w:id="10" w:name="_LarkToc00011"/>
      <w:r>
        <w:rPr>
          <w:rFonts w:ascii="Times New Roman" w:eastAsia="黑体" w:hAnsi="Times New Roman"/>
          <w:szCs w:val="21"/>
        </w:rPr>
        <w:t>2.5</w:t>
      </w:r>
      <w:r>
        <w:rPr>
          <w:rFonts w:ascii="Times New Roman" w:eastAsia="黑体" w:hAnsi="Times New Roman"/>
          <w:szCs w:val="21"/>
        </w:rPr>
        <w:t xml:space="preserve">　结果阐述</w:t>
      </w:r>
      <w:bookmarkEnd w:id="10"/>
    </w:p>
    <w:p w14:paraId="33B9BD36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1</w:t>
      </w:r>
      <w:r>
        <w:rPr>
          <w:rFonts w:ascii="Times New Roman" w:eastAsia="宋体" w:hAnsi="Times New Roman"/>
          <w:color w:val="000000"/>
          <w:szCs w:val="21"/>
        </w:rPr>
        <w:t>）</w:t>
      </w:r>
      <w:r>
        <w:rPr>
          <w:rFonts w:ascii="Times New Roman" w:eastAsia="宋体" w:hAnsi="Times New Roman"/>
          <w:color w:val="000000"/>
          <w:szCs w:val="21"/>
        </w:rPr>
        <w:t>MILP</w:t>
      </w:r>
      <w:r>
        <w:rPr>
          <w:rFonts w:ascii="Times New Roman" w:eastAsia="宋体" w:hAnsi="Times New Roman"/>
          <w:color w:val="000000"/>
          <w:szCs w:val="21"/>
        </w:rPr>
        <w:t>引入</w:t>
      </w:r>
      <w:r>
        <w:rPr>
          <w:rFonts w:ascii="Times New Roman" w:eastAsia="宋体" w:hAnsi="Times New Roman"/>
          <w:color w:val="000000"/>
          <w:szCs w:val="21"/>
        </w:rPr>
        <w:t>0-1</w:t>
      </w:r>
      <w:r>
        <w:rPr>
          <w:rFonts w:ascii="Times New Roman" w:eastAsia="宋体" w:hAnsi="Times New Roman"/>
          <w:color w:val="000000"/>
          <w:szCs w:val="21"/>
        </w:rPr>
        <w:t>互斥变量</w:t>
      </w:r>
      <w:r>
        <w:rPr>
          <w:rFonts w:ascii="Times New Roman" w:eastAsia="宋体" w:hAnsi="Times New Roman"/>
          <w:color w:val="000000"/>
          <w:szCs w:val="21"/>
        </w:rPr>
        <w:t>u_t</w:t>
      </w:r>
      <w:r>
        <w:rPr>
          <w:rFonts w:ascii="Times New Roman" w:eastAsia="宋体" w:hAnsi="Times New Roman"/>
          <w:color w:val="000000"/>
          <w:szCs w:val="21"/>
        </w:rPr>
        <w:t>，物理上禁止同一时刻同时充电与放电，结果物理可行，但求解变量增多、求解时间变长，日收益略低。</w:t>
      </w:r>
    </w:p>
    <w:p w14:paraId="779C8DDD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2</w:t>
      </w:r>
      <w:r>
        <w:rPr>
          <w:rFonts w:ascii="Times New Roman" w:eastAsia="宋体" w:hAnsi="Times New Roman"/>
          <w:color w:val="000000"/>
          <w:szCs w:val="21"/>
        </w:rPr>
        <w:t>）</w:t>
      </w:r>
      <w:r>
        <w:rPr>
          <w:rFonts w:ascii="Times New Roman" w:eastAsia="宋体" w:hAnsi="Times New Roman"/>
          <w:color w:val="000000"/>
          <w:szCs w:val="21"/>
        </w:rPr>
        <w:t>LP</w:t>
      </w:r>
      <w:r>
        <w:rPr>
          <w:rFonts w:ascii="Times New Roman" w:eastAsia="宋体" w:hAnsi="Times New Roman"/>
          <w:color w:val="000000"/>
          <w:szCs w:val="21"/>
        </w:rPr>
        <w:t>去掉互斥约束，数学上求得更高套利收益，但会出现同一时刻既充电又放电的非物理结果（内部环流），该解工程上不可直接使用。</w:t>
      </w:r>
    </w:p>
    <w:p w14:paraId="4BFB61E7" w14:textId="77777777" w:rsidR="002A5883" w:rsidRDefault="002A5883" w:rsidP="002A5883">
      <w:pPr>
        <w:pStyle w:val="1"/>
        <w:spacing w:before="240" w:after="120" w:line="312" w:lineRule="auto"/>
      </w:pPr>
      <w:bookmarkStart w:id="11" w:name="_LarkToc00012"/>
      <w:r>
        <w:rPr>
          <w:rFonts w:ascii="Times New Roman" w:eastAsia="黑体" w:hAnsi="Times New Roman"/>
          <w:szCs w:val="24"/>
        </w:rPr>
        <w:t>3</w:t>
      </w:r>
      <w:r>
        <w:rPr>
          <w:rFonts w:ascii="Times New Roman" w:eastAsia="黑体" w:hAnsi="Times New Roman"/>
          <w:szCs w:val="24"/>
        </w:rPr>
        <w:t xml:space="preserve">　任务三：储能日前调度、多目标对比与二阶锥松弛间隙手算</w:t>
      </w:r>
      <w:bookmarkEnd w:id="11"/>
    </w:p>
    <w:p w14:paraId="05E7B642" w14:textId="77777777" w:rsidR="002A5883" w:rsidRDefault="002A5883" w:rsidP="002A5883">
      <w:pPr>
        <w:pStyle w:val="2"/>
        <w:spacing w:before="120" w:after="60" w:line="312" w:lineRule="auto"/>
      </w:pPr>
      <w:bookmarkStart w:id="12" w:name="_LarkToc00013"/>
      <w:r>
        <w:rPr>
          <w:rFonts w:ascii="Times New Roman" w:eastAsia="黑体" w:hAnsi="Times New Roman"/>
          <w:szCs w:val="21"/>
        </w:rPr>
        <w:t>3.1</w:t>
      </w:r>
      <w:r>
        <w:rPr>
          <w:rFonts w:ascii="Times New Roman" w:eastAsia="黑体" w:hAnsi="Times New Roman"/>
          <w:szCs w:val="21"/>
        </w:rPr>
        <w:t xml:space="preserve">　任务及参数介绍</w:t>
      </w:r>
      <w:bookmarkEnd w:id="12"/>
    </w:p>
    <w:p w14:paraId="2547C590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本任务包括三部分内容。其一，成果要求：在本人分配目标下完成储能日前调度求解，绘制储能充放电、</w:t>
      </w:r>
      <w:r>
        <w:rPr>
          <w:rFonts w:ascii="Times New Roman" w:eastAsia="宋体" w:hAnsi="Times New Roman"/>
          <w:color w:val="000000"/>
          <w:szCs w:val="21"/>
        </w:rPr>
        <w:t>SOC</w:t>
      </w:r>
      <w:r>
        <w:rPr>
          <w:rFonts w:ascii="Times New Roman" w:eastAsia="宋体" w:hAnsi="Times New Roman"/>
          <w:color w:val="000000"/>
          <w:szCs w:val="21"/>
        </w:rPr>
        <w:t>与节点电压曲线。其二，多目标对比：在</w:t>
      </w:r>
      <w:r>
        <w:rPr>
          <w:rFonts w:ascii="Times New Roman" w:eastAsia="宋体" w:hAnsi="Times New Roman"/>
          <w:color w:val="000000"/>
          <w:szCs w:val="21"/>
        </w:rPr>
        <w:t>Interactive03</w:t>
      </w:r>
      <w:r>
        <w:rPr>
          <w:rFonts w:ascii="Times New Roman" w:eastAsia="宋体" w:hAnsi="Times New Roman"/>
          <w:color w:val="000000"/>
          <w:szCs w:val="21"/>
        </w:rPr>
        <w:t>中切换目标</w:t>
      </w:r>
      <w:r>
        <w:rPr>
          <w:rFonts w:ascii="Times New Roman" w:eastAsia="宋体" w:hAnsi="Times New Roman"/>
          <w:color w:val="000000"/>
          <w:szCs w:val="21"/>
        </w:rPr>
        <w:t>A/B/C</w:t>
      </w:r>
      <w:r>
        <w:rPr>
          <w:rFonts w:ascii="Times New Roman" w:eastAsia="宋体" w:hAnsi="Times New Roman"/>
          <w:color w:val="000000"/>
          <w:szCs w:val="21"/>
        </w:rPr>
        <w:t>，对比弃光电量、全天网损与购电成本。其三，松弛间隙计算：给定</w:t>
      </w:r>
      <w:r>
        <w:rPr>
          <w:rFonts w:ascii="Times New Roman" w:eastAsia="宋体" w:hAnsi="Times New Roman"/>
          <w:color w:val="000000"/>
          <w:szCs w:val="21"/>
        </w:rPr>
        <w:t>U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1.00</w:t>
      </w:r>
      <w:r>
        <w:rPr>
          <w:rFonts w:ascii="Times New Roman" w:eastAsia="宋体" w:hAnsi="Times New Roman"/>
          <w:color w:val="000000"/>
          <w:szCs w:val="21"/>
        </w:rPr>
        <w:t>、</w:t>
      </w:r>
      <w:r>
        <w:rPr>
          <w:rFonts w:ascii="Times New Roman" w:eastAsia="宋体" w:hAnsi="Times New Roman"/>
          <w:color w:val="000000"/>
          <w:szCs w:val="21"/>
        </w:rPr>
        <w:t>L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0.02</w:t>
      </w:r>
      <w:r>
        <w:rPr>
          <w:rFonts w:ascii="Times New Roman" w:eastAsia="宋体" w:hAnsi="Times New Roman"/>
          <w:color w:val="000000"/>
          <w:szCs w:val="21"/>
        </w:rPr>
        <w:t>、</w:t>
      </w:r>
      <w:r>
        <w:rPr>
          <w:rFonts w:ascii="Times New Roman" w:eastAsia="宋体" w:hAnsi="Times New Roman"/>
          <w:color w:val="000000"/>
          <w:szCs w:val="21"/>
        </w:rPr>
        <w:t>P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0.10</w:t>
      </w:r>
      <w:r>
        <w:rPr>
          <w:rFonts w:ascii="Times New Roman" w:eastAsia="宋体" w:hAnsi="Times New Roman"/>
          <w:color w:val="000000"/>
          <w:szCs w:val="21"/>
        </w:rPr>
        <w:t>、</w:t>
      </w:r>
      <w:r>
        <w:rPr>
          <w:rFonts w:ascii="Times New Roman" w:eastAsia="宋体" w:hAnsi="Times New Roman"/>
          <w:color w:val="000000"/>
          <w:szCs w:val="21"/>
        </w:rPr>
        <w:t>Q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0.05</w:t>
      </w:r>
      <w:r>
        <w:rPr>
          <w:rFonts w:ascii="Times New Roman" w:eastAsia="宋体" w:hAnsi="Times New Roman"/>
          <w:color w:val="000000"/>
          <w:szCs w:val="21"/>
        </w:rPr>
        <w:t>，手算检验二阶锥松弛间隙</w:t>
      </w:r>
      <w:r>
        <w:rPr>
          <w:rFonts w:ascii="Times New Roman" w:eastAsia="宋体" w:hAnsi="Times New Roman"/>
          <w:color w:val="000000"/>
          <w:szCs w:val="21"/>
        </w:rPr>
        <w:t>g</w:t>
      </w:r>
      <w:r>
        <w:rPr>
          <w:rFonts w:ascii="Times New Roman" w:eastAsia="宋体" w:hAnsi="Times New Roman"/>
          <w:color w:val="000000"/>
          <w:szCs w:val="21"/>
        </w:rPr>
        <w:t>。报告须同时给出二阶锥松弛间隙与</w:t>
      </w:r>
      <w:r>
        <w:rPr>
          <w:rFonts w:ascii="Times New Roman" w:eastAsia="宋体" w:hAnsi="Times New Roman"/>
          <w:color w:val="000000"/>
          <w:szCs w:val="21"/>
        </w:rPr>
        <w:t>MATPOWER</w:t>
      </w:r>
      <w:r>
        <w:rPr>
          <w:rFonts w:ascii="Times New Roman" w:eastAsia="宋体" w:hAnsi="Times New Roman"/>
          <w:color w:val="000000"/>
          <w:szCs w:val="21"/>
        </w:rPr>
        <w:t>交流潮流回代电压。</w:t>
      </w:r>
    </w:p>
    <w:p w14:paraId="4D72F902" w14:textId="77777777" w:rsidR="002A5883" w:rsidRDefault="002A5883" w:rsidP="002A5883">
      <w:pPr>
        <w:pStyle w:val="2"/>
        <w:spacing w:before="120" w:after="60" w:line="312" w:lineRule="auto"/>
      </w:pPr>
      <w:bookmarkStart w:id="13" w:name="_LarkToc00014"/>
      <w:r>
        <w:rPr>
          <w:rFonts w:ascii="Times New Roman" w:eastAsia="黑体" w:hAnsi="Times New Roman"/>
          <w:szCs w:val="21"/>
        </w:rPr>
        <w:t>3.2</w:t>
      </w:r>
      <w:r>
        <w:rPr>
          <w:rFonts w:ascii="Times New Roman" w:eastAsia="黑体" w:hAnsi="Times New Roman"/>
          <w:szCs w:val="21"/>
        </w:rPr>
        <w:t xml:space="preserve">　日前调度仿真结果</w:t>
      </w:r>
      <w:bookmarkEnd w:id="13"/>
    </w:p>
    <w:p w14:paraId="4EC79772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运行</w:t>
      </w:r>
      <w:r>
        <w:rPr>
          <w:rFonts w:ascii="Times New Roman" w:eastAsia="宋体" w:hAnsi="Times New Roman"/>
          <w:color w:val="000000"/>
          <w:szCs w:val="21"/>
        </w:rPr>
        <w:t>Template_Week1</w:t>
      </w:r>
      <w:r>
        <w:rPr>
          <w:rFonts w:ascii="Times New Roman" w:eastAsia="宋体" w:hAnsi="Times New Roman"/>
          <w:color w:val="000000"/>
          <w:szCs w:val="21"/>
        </w:rPr>
        <w:t>模板，在本人分配目标下求解储能参与配网的日前优化调度，得到储能充放电功率、</w:t>
      </w:r>
      <w:r>
        <w:rPr>
          <w:rFonts w:ascii="Times New Roman" w:eastAsia="宋体" w:hAnsi="Times New Roman"/>
          <w:color w:val="000000"/>
          <w:szCs w:val="21"/>
        </w:rPr>
        <w:t>SOC</w:t>
      </w:r>
      <w:r>
        <w:rPr>
          <w:rFonts w:ascii="Times New Roman" w:eastAsia="宋体" w:hAnsi="Times New Roman"/>
          <w:color w:val="000000"/>
          <w:szCs w:val="21"/>
        </w:rPr>
        <w:t>与关键节点电压时序曲线。</w:t>
      </w:r>
    </w:p>
    <w:p w14:paraId="26F361C9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调度结果显示，储能在光伏大发的午间充电以消纳光伏，在晚高峰放电以支撑配网电压，同时降低从上级电网的购电功率。</w:t>
      </w:r>
    </w:p>
    <w:p w14:paraId="61FB1663" w14:textId="77777777" w:rsidR="002A5883" w:rsidRDefault="002A5883" w:rsidP="002A5883">
      <w:pPr>
        <w:pStyle w:val="2"/>
        <w:spacing w:before="120" w:after="60" w:line="312" w:lineRule="auto"/>
      </w:pPr>
      <w:bookmarkStart w:id="14" w:name="_LarkToc00015"/>
      <w:r>
        <w:rPr>
          <w:rFonts w:ascii="Times New Roman" w:eastAsia="黑体" w:hAnsi="Times New Roman"/>
          <w:szCs w:val="21"/>
        </w:rPr>
        <w:lastRenderedPageBreak/>
        <w:t>3.3</w:t>
      </w:r>
      <w:r>
        <w:rPr>
          <w:rFonts w:ascii="Times New Roman" w:eastAsia="黑体" w:hAnsi="Times New Roman"/>
          <w:szCs w:val="21"/>
        </w:rPr>
        <w:t xml:space="preserve">　多目标对比</w:t>
      </w:r>
      <w:bookmarkEnd w:id="14"/>
    </w:p>
    <w:p w14:paraId="7896C0E8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在</w:t>
      </w:r>
      <w:r>
        <w:rPr>
          <w:rFonts w:ascii="Times New Roman" w:eastAsia="宋体" w:hAnsi="Times New Roman"/>
          <w:color w:val="000000"/>
          <w:szCs w:val="21"/>
        </w:rPr>
        <w:t>Interactive03</w:t>
      </w:r>
      <w:r>
        <w:rPr>
          <w:rFonts w:ascii="Times New Roman" w:eastAsia="宋体" w:hAnsi="Times New Roman"/>
          <w:color w:val="000000"/>
          <w:szCs w:val="21"/>
        </w:rPr>
        <w:t>中切换优化目标</w:t>
      </w:r>
      <w:r>
        <w:rPr>
          <w:rFonts w:ascii="Times New Roman" w:eastAsia="宋体" w:hAnsi="Times New Roman"/>
          <w:color w:val="000000"/>
          <w:szCs w:val="21"/>
        </w:rPr>
        <w:t>A/B/C</w:t>
      </w:r>
      <w:r>
        <w:rPr>
          <w:rFonts w:ascii="Times New Roman" w:eastAsia="宋体" w:hAnsi="Times New Roman"/>
          <w:color w:val="000000"/>
          <w:szCs w:val="21"/>
        </w:rPr>
        <w:t>，弃光电量、全天网损与购电成本三个指标的对比结果见表</w:t>
      </w:r>
      <w:r>
        <w:rPr>
          <w:rFonts w:ascii="Times New Roman" w:eastAsia="宋体" w:hAnsi="Times New Roman"/>
          <w:color w:val="000000"/>
          <w:szCs w:val="21"/>
        </w:rPr>
        <w:t>4</w:t>
      </w:r>
      <w:r>
        <w:rPr>
          <w:rFonts w:ascii="Times New Roman" w:eastAsia="宋体" w:hAnsi="Times New Roman"/>
          <w:color w:val="000000"/>
          <w:szCs w:val="21"/>
        </w:rPr>
        <w:t>。</w:t>
      </w:r>
    </w:p>
    <w:p w14:paraId="4A738888" w14:textId="77777777" w:rsidR="002A5883" w:rsidRDefault="002A5883" w:rsidP="002A5883">
      <w:pPr>
        <w:keepNext/>
        <w:spacing w:before="160" w:after="80" w:line="360" w:lineRule="auto"/>
        <w:jc w:val="center"/>
      </w:pPr>
      <w:r>
        <w:rPr>
          <w:rFonts w:ascii="Times New Roman" w:eastAsia="黑体" w:hAnsi="Times New Roman"/>
          <w:color w:val="000000"/>
          <w:sz w:val="18"/>
          <w:szCs w:val="18"/>
        </w:rPr>
        <w:t>表</w:t>
      </w:r>
      <w:r>
        <w:rPr>
          <w:rFonts w:ascii="Times New Roman" w:eastAsia="黑体" w:hAnsi="Times New Roman"/>
          <w:color w:val="000000"/>
          <w:sz w:val="18"/>
          <w:szCs w:val="18"/>
        </w:rPr>
        <w:t>4</w:t>
      </w:r>
      <w:r>
        <w:rPr>
          <w:rFonts w:ascii="Times New Roman" w:eastAsia="黑体" w:hAnsi="Times New Roman"/>
          <w:color w:val="000000"/>
          <w:sz w:val="18"/>
          <w:szCs w:val="18"/>
        </w:rPr>
        <w:t xml:space="preserve">　多目标</w:t>
      </w:r>
      <w:r>
        <w:rPr>
          <w:rFonts w:ascii="Times New Roman" w:eastAsia="黑体" w:hAnsi="Times New Roman"/>
          <w:color w:val="000000"/>
          <w:sz w:val="18"/>
          <w:szCs w:val="18"/>
        </w:rPr>
        <w:t>A/B/C</w:t>
      </w:r>
      <w:r>
        <w:rPr>
          <w:rFonts w:ascii="Times New Roman" w:eastAsia="黑体" w:hAnsi="Times New Roman"/>
          <w:color w:val="000000"/>
          <w:sz w:val="18"/>
          <w:szCs w:val="18"/>
        </w:rPr>
        <w:t>对比结果</w:t>
      </w:r>
    </w:p>
    <w:tbl>
      <w:tblPr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701"/>
        <w:gridCol w:w="1701"/>
        <w:gridCol w:w="1701"/>
      </w:tblGrid>
      <w:tr w:rsidR="002A5883" w14:paraId="7413A01E" w14:textId="77777777" w:rsidTr="00D24DA2">
        <w:trPr>
          <w:cantSplit/>
          <w:tblHeader/>
          <w:jc w:val="center"/>
        </w:trPr>
        <w:tc>
          <w:tcPr>
            <w:tcW w:w="238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4D4993CF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优化目标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1AB85434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弃光电量（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MWh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）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2C8306DD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全天网损（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MWh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）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39AB1A10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  <w:szCs w:val="18"/>
              </w:rPr>
              <w:t>购电成本（元）</w:t>
            </w:r>
          </w:p>
        </w:tc>
      </w:tr>
      <w:tr w:rsidR="002A5883" w14:paraId="4316E881" w14:textId="77777777" w:rsidTr="00D24DA2">
        <w:trPr>
          <w:cantSplit/>
          <w:jc w:val="center"/>
        </w:trPr>
        <w:tc>
          <w:tcPr>
            <w:tcW w:w="2381" w:type="dxa"/>
            <w:vAlign w:val="center"/>
          </w:tcPr>
          <w:p w14:paraId="2FF2839A" w14:textId="77777777" w:rsidR="002A5883" w:rsidRDefault="002A5883" w:rsidP="00D24DA2">
            <w:pPr>
              <w:spacing w:before="40" w:after="40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目标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（优先消纳光伏）</w:t>
            </w:r>
          </w:p>
        </w:tc>
        <w:tc>
          <w:tcPr>
            <w:tcW w:w="1701" w:type="dxa"/>
            <w:vAlign w:val="center"/>
          </w:tcPr>
          <w:p w14:paraId="05AF8995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0.087</w:t>
            </w:r>
          </w:p>
        </w:tc>
        <w:tc>
          <w:tcPr>
            <w:tcW w:w="1701" w:type="dxa"/>
            <w:vAlign w:val="center"/>
          </w:tcPr>
          <w:p w14:paraId="3A3DDC6A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1.691</w:t>
            </w:r>
          </w:p>
        </w:tc>
        <w:tc>
          <w:tcPr>
            <w:tcW w:w="1701" w:type="dxa"/>
            <w:vAlign w:val="center"/>
          </w:tcPr>
          <w:p w14:paraId="723DACB1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1247.2</w:t>
            </w:r>
          </w:p>
        </w:tc>
      </w:tr>
      <w:tr w:rsidR="002A5883" w14:paraId="319151E6" w14:textId="77777777" w:rsidTr="00D24DA2">
        <w:trPr>
          <w:cantSplit/>
          <w:jc w:val="center"/>
        </w:trPr>
        <w:tc>
          <w:tcPr>
            <w:tcW w:w="2381" w:type="dxa"/>
            <w:vAlign w:val="center"/>
          </w:tcPr>
          <w:p w14:paraId="60E26D69" w14:textId="77777777" w:rsidR="002A5883" w:rsidRDefault="002A5883" w:rsidP="00D24DA2">
            <w:pPr>
              <w:spacing w:before="40" w:after="40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目标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B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（优先最小化网损）</w:t>
            </w:r>
          </w:p>
        </w:tc>
        <w:tc>
          <w:tcPr>
            <w:tcW w:w="1701" w:type="dxa"/>
            <w:vAlign w:val="center"/>
          </w:tcPr>
          <w:p w14:paraId="698C3919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0.162</w:t>
            </w:r>
          </w:p>
        </w:tc>
        <w:tc>
          <w:tcPr>
            <w:tcW w:w="1701" w:type="dxa"/>
            <w:vAlign w:val="center"/>
          </w:tcPr>
          <w:p w14:paraId="437759C3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1.544</w:t>
            </w:r>
          </w:p>
        </w:tc>
        <w:tc>
          <w:tcPr>
            <w:tcW w:w="1701" w:type="dxa"/>
            <w:vAlign w:val="center"/>
          </w:tcPr>
          <w:p w14:paraId="54BB53F9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1312.5</w:t>
            </w:r>
          </w:p>
        </w:tc>
      </w:tr>
      <w:tr w:rsidR="002A5883" w14:paraId="49721F9E" w14:textId="77777777" w:rsidTr="00D24DA2">
        <w:trPr>
          <w:cantSplit/>
          <w:jc w:val="center"/>
        </w:trPr>
        <w:tc>
          <w:tcPr>
            <w:tcW w:w="2381" w:type="dxa"/>
            <w:tcBorders>
              <w:bottom w:val="single" w:sz="8" w:space="0" w:color="000000"/>
            </w:tcBorders>
            <w:vAlign w:val="center"/>
          </w:tcPr>
          <w:p w14:paraId="2EFFA13F" w14:textId="77777777" w:rsidR="002A5883" w:rsidRDefault="002A5883" w:rsidP="00D24DA2">
            <w:pPr>
              <w:spacing w:before="40" w:after="40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目标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（优先最小购电成本）</w:t>
            </w:r>
          </w:p>
        </w:tc>
        <w:tc>
          <w:tcPr>
            <w:tcW w:w="1701" w:type="dxa"/>
            <w:tcBorders>
              <w:bottom w:val="single" w:sz="8" w:space="0" w:color="000000"/>
            </w:tcBorders>
            <w:vAlign w:val="center"/>
          </w:tcPr>
          <w:p w14:paraId="1FD9CCAC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0.214</w:t>
            </w:r>
          </w:p>
        </w:tc>
        <w:tc>
          <w:tcPr>
            <w:tcW w:w="1701" w:type="dxa"/>
            <w:tcBorders>
              <w:bottom w:val="single" w:sz="8" w:space="0" w:color="000000"/>
            </w:tcBorders>
            <w:vAlign w:val="center"/>
          </w:tcPr>
          <w:p w14:paraId="018DB3B6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1.742</w:t>
            </w:r>
          </w:p>
        </w:tc>
        <w:tc>
          <w:tcPr>
            <w:tcW w:w="1701" w:type="dxa"/>
            <w:tcBorders>
              <w:bottom w:val="single" w:sz="8" w:space="0" w:color="000000"/>
            </w:tcBorders>
            <w:vAlign w:val="center"/>
          </w:tcPr>
          <w:p w14:paraId="3433FCB3" w14:textId="77777777" w:rsidR="002A5883" w:rsidRDefault="002A5883" w:rsidP="00D24DA2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1183.6</w:t>
            </w:r>
          </w:p>
        </w:tc>
      </w:tr>
    </w:tbl>
    <w:p w14:paraId="3A33C568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目标</w:t>
      </w:r>
      <w:r>
        <w:rPr>
          <w:rFonts w:ascii="Times New Roman" w:eastAsia="宋体" w:hAnsi="Times New Roman"/>
          <w:color w:val="000000"/>
          <w:szCs w:val="21"/>
        </w:rPr>
        <w:t>A</w:t>
      </w:r>
      <w:r>
        <w:rPr>
          <w:rFonts w:ascii="Times New Roman" w:eastAsia="宋体" w:hAnsi="Times New Roman"/>
          <w:color w:val="000000"/>
          <w:szCs w:val="21"/>
        </w:rPr>
        <w:t>尽可能消纳光伏，弃光最低，但网损与购电成本并非最优；目标</w:t>
      </w:r>
      <w:r>
        <w:rPr>
          <w:rFonts w:ascii="Times New Roman" w:eastAsia="宋体" w:hAnsi="Times New Roman"/>
          <w:color w:val="000000"/>
          <w:szCs w:val="21"/>
        </w:rPr>
        <w:t>B</w:t>
      </w:r>
      <w:r>
        <w:rPr>
          <w:rFonts w:ascii="Times New Roman" w:eastAsia="宋体" w:hAnsi="Times New Roman"/>
          <w:color w:val="000000"/>
          <w:szCs w:val="21"/>
        </w:rPr>
        <w:t>重点压低网络损耗，网损最低，但会牺牲一部分光伏消纳，购电成本上升；目标</w:t>
      </w:r>
      <w:r>
        <w:rPr>
          <w:rFonts w:ascii="Times New Roman" w:eastAsia="宋体" w:hAnsi="Times New Roman"/>
          <w:color w:val="000000"/>
          <w:szCs w:val="21"/>
        </w:rPr>
        <w:t>C</w:t>
      </w:r>
      <w:r>
        <w:rPr>
          <w:rFonts w:ascii="Times New Roman" w:eastAsia="宋体" w:hAnsi="Times New Roman"/>
          <w:color w:val="000000"/>
          <w:szCs w:val="21"/>
        </w:rPr>
        <w:t>追求购电成本最低，允许一定弃光与网损，购电成本最小。可见多目标之间存在矛盾，不存在一个方案同时将三个指标全部做到最优。</w:t>
      </w:r>
    </w:p>
    <w:p w14:paraId="6F28F035" w14:textId="77777777" w:rsidR="002A5883" w:rsidRDefault="002A5883" w:rsidP="002A5883">
      <w:pPr>
        <w:pStyle w:val="2"/>
        <w:spacing w:before="120" w:after="60" w:line="312" w:lineRule="auto"/>
      </w:pPr>
      <w:bookmarkStart w:id="15" w:name="_LarkToc00016"/>
      <w:r>
        <w:rPr>
          <w:rFonts w:ascii="Times New Roman" w:eastAsia="黑体" w:hAnsi="Times New Roman"/>
          <w:szCs w:val="21"/>
        </w:rPr>
        <w:t>3.4</w:t>
      </w:r>
      <w:r>
        <w:rPr>
          <w:rFonts w:ascii="Times New Roman" w:eastAsia="黑体" w:hAnsi="Times New Roman"/>
          <w:szCs w:val="21"/>
        </w:rPr>
        <w:t xml:space="preserve">　二阶锥松弛间隙手算</w:t>
      </w:r>
      <w:bookmarkEnd w:id="15"/>
    </w:p>
    <w:p w14:paraId="109421C2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二阶锥松弛间隙的定义公式为：</w:t>
      </w:r>
    </w:p>
    <w:p w14:paraId="1DDFD6BC" w14:textId="77777777" w:rsidR="002A5883" w:rsidRDefault="002A5883" w:rsidP="002A5883">
      <w:pPr>
        <w:spacing w:before="80" w:after="80" w:line="360" w:lineRule="auto"/>
        <w:jc w:val="center"/>
      </w:pPr>
      <w:r>
        <w:rPr>
          <w:rFonts w:ascii="Times New Roman" w:eastAsia="宋体" w:hAnsi="Times New Roman"/>
          <w:color w:val="000000"/>
          <w:szCs w:val="21"/>
        </w:rPr>
        <w:t>g = U·L − (P</w:t>
      </w:r>
      <w:r>
        <w:rPr>
          <w:rFonts w:ascii="Times New Roman" w:eastAsia="宋体" w:hAnsi="Times New Roman"/>
          <w:color w:val="000000"/>
          <w:szCs w:val="21"/>
          <w:vertAlign w:val="superscript"/>
        </w:rPr>
        <w:t>2</w:t>
      </w:r>
      <w:r>
        <w:rPr>
          <w:rFonts w:ascii="Times New Roman" w:eastAsia="宋体" w:hAnsi="Times New Roman"/>
          <w:color w:val="000000"/>
          <w:szCs w:val="21"/>
        </w:rPr>
        <w:t xml:space="preserve"> + Q</w:t>
      </w:r>
      <w:r>
        <w:rPr>
          <w:rFonts w:ascii="Times New Roman" w:eastAsia="宋体" w:hAnsi="Times New Roman"/>
          <w:color w:val="000000"/>
          <w:szCs w:val="21"/>
          <w:vertAlign w:val="superscript"/>
        </w:rPr>
        <w:t>2</w:t>
      </w:r>
      <w:r>
        <w:rPr>
          <w:rFonts w:ascii="Times New Roman" w:eastAsia="宋体" w:hAnsi="Times New Roman"/>
          <w:color w:val="000000"/>
          <w:szCs w:val="21"/>
        </w:rPr>
        <w:t>)</w:t>
      </w:r>
    </w:p>
    <w:p w14:paraId="2F3DBA2C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代入参数</w:t>
      </w:r>
      <w:r>
        <w:rPr>
          <w:rFonts w:ascii="Times New Roman" w:eastAsia="宋体" w:hAnsi="Times New Roman"/>
          <w:color w:val="000000"/>
          <w:szCs w:val="21"/>
        </w:rPr>
        <w:t>U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1.00</w:t>
      </w:r>
      <w:r>
        <w:rPr>
          <w:rFonts w:ascii="Times New Roman" w:eastAsia="宋体" w:hAnsi="Times New Roman"/>
          <w:color w:val="000000"/>
          <w:szCs w:val="21"/>
        </w:rPr>
        <w:t>、</w:t>
      </w:r>
      <w:r>
        <w:rPr>
          <w:rFonts w:ascii="Times New Roman" w:eastAsia="宋体" w:hAnsi="Times New Roman"/>
          <w:color w:val="000000"/>
          <w:szCs w:val="21"/>
        </w:rPr>
        <w:t>L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0.02</w:t>
      </w:r>
      <w:r>
        <w:rPr>
          <w:rFonts w:ascii="Times New Roman" w:eastAsia="宋体" w:hAnsi="Times New Roman"/>
          <w:color w:val="000000"/>
          <w:szCs w:val="21"/>
        </w:rPr>
        <w:t>、</w:t>
      </w:r>
      <w:r>
        <w:rPr>
          <w:rFonts w:ascii="Times New Roman" w:eastAsia="宋体" w:hAnsi="Times New Roman"/>
          <w:color w:val="000000"/>
          <w:szCs w:val="21"/>
        </w:rPr>
        <w:t>P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0.10</w:t>
      </w:r>
      <w:r>
        <w:rPr>
          <w:rFonts w:ascii="Times New Roman" w:eastAsia="宋体" w:hAnsi="Times New Roman"/>
          <w:color w:val="000000"/>
          <w:szCs w:val="21"/>
        </w:rPr>
        <w:t>、</w:t>
      </w:r>
      <w:r>
        <w:rPr>
          <w:rFonts w:ascii="Times New Roman" w:eastAsia="宋体" w:hAnsi="Times New Roman"/>
          <w:color w:val="000000"/>
          <w:szCs w:val="21"/>
        </w:rPr>
        <w:t>Q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0.05</w:t>
      </w:r>
      <w:r>
        <w:rPr>
          <w:rFonts w:ascii="Times New Roman" w:eastAsia="宋体" w:hAnsi="Times New Roman"/>
          <w:color w:val="000000"/>
          <w:szCs w:val="21"/>
        </w:rPr>
        <w:t>：</w:t>
      </w:r>
    </w:p>
    <w:p w14:paraId="6E1BF596" w14:textId="77777777" w:rsidR="002A5883" w:rsidRDefault="002A5883" w:rsidP="002A5883">
      <w:pPr>
        <w:spacing w:before="80" w:after="80" w:line="360" w:lineRule="auto"/>
        <w:jc w:val="center"/>
      </w:pPr>
      <w:r>
        <w:rPr>
          <w:rFonts w:ascii="Times New Roman" w:eastAsia="宋体" w:hAnsi="Times New Roman"/>
          <w:color w:val="000000"/>
          <w:szCs w:val="21"/>
        </w:rPr>
        <w:t>U·L = 1.00 × 0.02 = 0.02</w:t>
      </w:r>
    </w:p>
    <w:p w14:paraId="41A95FE5" w14:textId="77777777" w:rsidR="002A5883" w:rsidRDefault="002A5883" w:rsidP="002A5883">
      <w:pPr>
        <w:spacing w:before="80" w:after="80" w:line="360" w:lineRule="auto"/>
        <w:jc w:val="center"/>
      </w:pPr>
      <w:r>
        <w:rPr>
          <w:rFonts w:ascii="Times New Roman" w:eastAsia="宋体" w:hAnsi="Times New Roman"/>
          <w:color w:val="000000"/>
          <w:szCs w:val="21"/>
        </w:rPr>
        <w:t>P</w:t>
      </w:r>
      <w:r>
        <w:rPr>
          <w:rFonts w:ascii="Times New Roman" w:eastAsia="宋体" w:hAnsi="Times New Roman"/>
          <w:color w:val="000000"/>
          <w:szCs w:val="21"/>
          <w:vertAlign w:val="superscript"/>
        </w:rPr>
        <w:t>2</w:t>
      </w:r>
      <w:r>
        <w:rPr>
          <w:rFonts w:ascii="Times New Roman" w:eastAsia="宋体" w:hAnsi="Times New Roman"/>
          <w:color w:val="000000"/>
          <w:szCs w:val="21"/>
        </w:rPr>
        <w:t xml:space="preserve"> + Q</w:t>
      </w:r>
      <w:r>
        <w:rPr>
          <w:rFonts w:ascii="Times New Roman" w:eastAsia="宋体" w:hAnsi="Times New Roman"/>
          <w:color w:val="000000"/>
          <w:szCs w:val="21"/>
          <w:vertAlign w:val="superscript"/>
        </w:rPr>
        <w:t>2</w:t>
      </w:r>
      <w:r>
        <w:rPr>
          <w:rFonts w:ascii="Times New Roman" w:eastAsia="宋体" w:hAnsi="Times New Roman"/>
          <w:color w:val="000000"/>
          <w:szCs w:val="21"/>
        </w:rPr>
        <w:t xml:space="preserve"> = 0.10</w:t>
      </w:r>
      <w:r>
        <w:rPr>
          <w:rFonts w:ascii="Times New Roman" w:eastAsia="宋体" w:hAnsi="Times New Roman"/>
          <w:color w:val="000000"/>
          <w:szCs w:val="21"/>
          <w:vertAlign w:val="superscript"/>
        </w:rPr>
        <w:t>2</w:t>
      </w:r>
      <w:r>
        <w:rPr>
          <w:rFonts w:ascii="Times New Roman" w:eastAsia="宋体" w:hAnsi="Times New Roman"/>
          <w:color w:val="000000"/>
          <w:szCs w:val="21"/>
        </w:rPr>
        <w:t xml:space="preserve"> + 0.05</w:t>
      </w:r>
      <w:r>
        <w:rPr>
          <w:rFonts w:ascii="Times New Roman" w:eastAsia="宋体" w:hAnsi="Times New Roman"/>
          <w:color w:val="000000"/>
          <w:szCs w:val="21"/>
          <w:vertAlign w:val="superscript"/>
        </w:rPr>
        <w:t>2</w:t>
      </w:r>
      <w:r>
        <w:rPr>
          <w:rFonts w:ascii="Times New Roman" w:eastAsia="宋体" w:hAnsi="Times New Roman"/>
          <w:color w:val="000000"/>
          <w:szCs w:val="21"/>
        </w:rPr>
        <w:t xml:space="preserve"> = 0.01 + 0.0025 = 0.0125</w:t>
      </w:r>
    </w:p>
    <w:p w14:paraId="19D0BD52" w14:textId="77777777" w:rsidR="002A5883" w:rsidRDefault="002A5883" w:rsidP="002A5883">
      <w:pPr>
        <w:spacing w:before="80" w:after="80" w:line="360" w:lineRule="auto"/>
        <w:jc w:val="center"/>
      </w:pPr>
      <w:r>
        <w:rPr>
          <w:rFonts w:ascii="Times New Roman" w:eastAsia="宋体" w:hAnsi="Times New Roman"/>
          <w:color w:val="000000"/>
          <w:szCs w:val="21"/>
        </w:rPr>
        <w:t>g = 0.02 − 0.0125 = 0.0075</w:t>
      </w:r>
    </w:p>
    <w:p w14:paraId="77FBA031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松弛间隙</w:t>
      </w:r>
      <w:r>
        <w:rPr>
          <w:rFonts w:ascii="Times New Roman" w:eastAsia="宋体" w:hAnsi="Times New Roman"/>
          <w:color w:val="000000"/>
          <w:szCs w:val="21"/>
        </w:rPr>
        <w:t>g</w:t>
      </w:r>
      <w:r>
        <w:rPr>
          <w:rFonts w:ascii="Times New Roman" w:eastAsia="宋体" w:hAnsi="Times New Roman"/>
          <w:color w:val="000000"/>
          <w:szCs w:val="21"/>
        </w:rPr>
        <w:t>＝</w:t>
      </w:r>
      <w:r>
        <w:rPr>
          <w:rFonts w:ascii="Times New Roman" w:eastAsia="宋体" w:hAnsi="Times New Roman"/>
          <w:color w:val="000000"/>
          <w:szCs w:val="21"/>
        </w:rPr>
        <w:t>0.0075</w:t>
      </w:r>
      <w:r>
        <w:rPr>
          <w:rFonts w:ascii="Times New Roman" w:eastAsia="宋体" w:hAnsi="Times New Roman"/>
          <w:color w:val="000000"/>
          <w:szCs w:val="21"/>
        </w:rPr>
        <w:t>＞</w:t>
      </w:r>
      <w:r>
        <w:rPr>
          <w:rFonts w:ascii="Times New Roman" w:eastAsia="宋体" w:hAnsi="Times New Roman"/>
          <w:color w:val="000000"/>
          <w:szCs w:val="21"/>
        </w:rPr>
        <w:t>0</w:t>
      </w:r>
      <w:r>
        <w:rPr>
          <w:rFonts w:ascii="Times New Roman" w:eastAsia="宋体" w:hAnsi="Times New Roman"/>
          <w:color w:val="000000"/>
          <w:szCs w:val="21"/>
        </w:rPr>
        <w:t>，说明该点二阶锥松弛不严格紧，松弛存在间隙，需要调用</w:t>
      </w:r>
      <w:r>
        <w:rPr>
          <w:rFonts w:ascii="Times New Roman" w:eastAsia="宋体" w:hAnsi="Times New Roman"/>
          <w:color w:val="000000"/>
          <w:szCs w:val="21"/>
        </w:rPr>
        <w:t>MATPOWER</w:t>
      </w:r>
      <w:r>
        <w:rPr>
          <w:rFonts w:ascii="Times New Roman" w:eastAsia="宋体" w:hAnsi="Times New Roman"/>
          <w:color w:val="000000"/>
          <w:szCs w:val="21"/>
        </w:rPr>
        <w:t>交流潮流进行回代校验，把优化得到的功率代入交流潮流，得到真实节点电压，检验松弛带来的误差。经</w:t>
      </w:r>
      <w:r>
        <w:rPr>
          <w:rFonts w:ascii="Times New Roman" w:eastAsia="宋体" w:hAnsi="Times New Roman"/>
          <w:color w:val="000000"/>
          <w:szCs w:val="21"/>
        </w:rPr>
        <w:t>MATPOWER</w:t>
      </w:r>
      <w:r>
        <w:rPr>
          <w:rFonts w:ascii="Times New Roman" w:eastAsia="宋体" w:hAnsi="Times New Roman"/>
          <w:color w:val="000000"/>
          <w:szCs w:val="21"/>
        </w:rPr>
        <w:t>交流潮流回代，该节点真实电压幅值为</w:t>
      </w:r>
      <w:r>
        <w:rPr>
          <w:rFonts w:ascii="Times New Roman" w:eastAsia="宋体" w:hAnsi="Times New Roman"/>
          <w:color w:val="000000"/>
          <w:szCs w:val="21"/>
        </w:rPr>
        <w:t>0.984 p.u.</w:t>
      </w:r>
      <w:r>
        <w:rPr>
          <w:rFonts w:ascii="Times New Roman" w:eastAsia="宋体" w:hAnsi="Times New Roman"/>
          <w:color w:val="000000"/>
          <w:szCs w:val="21"/>
        </w:rPr>
        <w:t>，与</w:t>
      </w:r>
      <w:r>
        <w:rPr>
          <w:rFonts w:ascii="Times New Roman" w:eastAsia="宋体" w:hAnsi="Times New Roman"/>
          <w:color w:val="000000"/>
          <w:szCs w:val="21"/>
        </w:rPr>
        <w:t>SOCP</w:t>
      </w:r>
      <w:r>
        <w:rPr>
          <w:rFonts w:ascii="Times New Roman" w:eastAsia="宋体" w:hAnsi="Times New Roman"/>
          <w:color w:val="000000"/>
          <w:szCs w:val="21"/>
        </w:rPr>
        <w:t>松弛优化得到的电压变量存在微小偏差，该偏差即为松弛间隙带来的计算误差。</w:t>
      </w:r>
    </w:p>
    <w:p w14:paraId="0B3D7ADB" w14:textId="77777777" w:rsidR="002A5883" w:rsidRDefault="002A5883" w:rsidP="002A5883">
      <w:pPr>
        <w:pStyle w:val="2"/>
        <w:spacing w:before="120" w:after="60" w:line="312" w:lineRule="auto"/>
      </w:pPr>
      <w:bookmarkStart w:id="16" w:name="_LarkToc00017"/>
      <w:r>
        <w:rPr>
          <w:rFonts w:ascii="Times New Roman" w:eastAsia="黑体" w:hAnsi="Times New Roman"/>
          <w:szCs w:val="21"/>
        </w:rPr>
        <w:t>3.5</w:t>
      </w:r>
      <w:r>
        <w:rPr>
          <w:rFonts w:ascii="Times New Roman" w:eastAsia="黑体" w:hAnsi="Times New Roman"/>
          <w:szCs w:val="21"/>
        </w:rPr>
        <w:t xml:space="preserve">　结果阐述</w:t>
      </w:r>
      <w:bookmarkEnd w:id="16"/>
    </w:p>
    <w:p w14:paraId="509ECB32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二阶锥松弛将非线性潮流约束松弛为凸锥约束，便于高效求解，但松弛解未必严格紧，存在间隙时必须通过交流潮流回代验证解的有效性。同时，储能日前调度涉及光伏消纳、网损与购电成本等多目标权衡，实际运行需结合运行约束与目标偏好确定调度方案。</w:t>
      </w:r>
    </w:p>
    <w:p w14:paraId="76E61A5F" w14:textId="77777777" w:rsidR="002A5883" w:rsidRDefault="002A5883" w:rsidP="002A5883">
      <w:pPr>
        <w:pStyle w:val="1"/>
        <w:spacing w:before="240" w:after="120" w:line="312" w:lineRule="auto"/>
      </w:pPr>
      <w:bookmarkStart w:id="17" w:name="_LarkToc00018"/>
      <w:r>
        <w:rPr>
          <w:rFonts w:ascii="Times New Roman" w:eastAsia="黑体" w:hAnsi="Times New Roman"/>
          <w:szCs w:val="24"/>
        </w:rPr>
        <w:lastRenderedPageBreak/>
        <w:t>4</w:t>
      </w:r>
      <w:r>
        <w:rPr>
          <w:rFonts w:ascii="Times New Roman" w:eastAsia="黑体" w:hAnsi="Times New Roman"/>
          <w:szCs w:val="24"/>
        </w:rPr>
        <w:t xml:space="preserve">　第一周课程设计总结</w:t>
      </w:r>
      <w:bookmarkEnd w:id="17"/>
    </w:p>
    <w:p w14:paraId="748EAD36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1</w:t>
      </w:r>
      <w:r>
        <w:rPr>
          <w:rFonts w:ascii="Times New Roman" w:eastAsia="宋体" w:hAnsi="Times New Roman"/>
          <w:color w:val="000000"/>
          <w:szCs w:val="21"/>
        </w:rPr>
        <w:t>）任务一通过</w:t>
      </w:r>
      <w:r>
        <w:rPr>
          <w:rFonts w:ascii="Times New Roman" w:eastAsia="宋体" w:hAnsi="Times New Roman"/>
          <w:color w:val="000000"/>
          <w:szCs w:val="21"/>
        </w:rPr>
        <w:t>24</w:t>
      </w:r>
      <w:r>
        <w:rPr>
          <w:rFonts w:ascii="Times New Roman" w:eastAsia="宋体" w:hAnsi="Times New Roman"/>
          <w:color w:val="000000"/>
          <w:szCs w:val="21"/>
        </w:rPr>
        <w:t>小时时序交流潮流仿真，认识了配电网电压问题主要集中在晚高峰重负荷时段；负荷系数增大会压低节点电压、显著增大网损，午间光伏出力可在一定程度上缓解电压跌落。</w:t>
      </w:r>
    </w:p>
    <w:p w14:paraId="2097F6D1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2</w:t>
      </w:r>
      <w:r>
        <w:rPr>
          <w:rFonts w:ascii="Times New Roman" w:eastAsia="宋体" w:hAnsi="Times New Roman"/>
          <w:color w:val="000000"/>
          <w:szCs w:val="21"/>
        </w:rPr>
        <w:t>）任务二完成储能充放电效率手算，并对比</w:t>
      </w:r>
      <w:r>
        <w:rPr>
          <w:rFonts w:ascii="Times New Roman" w:eastAsia="宋体" w:hAnsi="Times New Roman"/>
          <w:color w:val="000000"/>
          <w:szCs w:val="21"/>
        </w:rPr>
        <w:t>LP</w:t>
      </w:r>
      <w:r>
        <w:rPr>
          <w:rFonts w:ascii="Times New Roman" w:eastAsia="宋体" w:hAnsi="Times New Roman"/>
          <w:color w:val="000000"/>
          <w:szCs w:val="21"/>
        </w:rPr>
        <w:t>与</w:t>
      </w:r>
      <w:r>
        <w:rPr>
          <w:rFonts w:ascii="Times New Roman" w:eastAsia="宋体" w:hAnsi="Times New Roman"/>
          <w:color w:val="000000"/>
          <w:szCs w:val="21"/>
        </w:rPr>
        <w:t>MILP</w:t>
      </w:r>
      <w:r>
        <w:rPr>
          <w:rFonts w:ascii="Times New Roman" w:eastAsia="宋体" w:hAnsi="Times New Roman"/>
          <w:color w:val="000000"/>
          <w:szCs w:val="21"/>
        </w:rPr>
        <w:t>模型，理解了</w:t>
      </w:r>
      <w:r>
        <w:rPr>
          <w:rFonts w:ascii="Times New Roman" w:eastAsia="宋体" w:hAnsi="Times New Roman"/>
          <w:color w:val="000000"/>
          <w:szCs w:val="21"/>
        </w:rPr>
        <w:t>0-1</w:t>
      </w:r>
      <w:r>
        <w:rPr>
          <w:rFonts w:ascii="Times New Roman" w:eastAsia="宋体" w:hAnsi="Times New Roman"/>
          <w:color w:val="000000"/>
          <w:szCs w:val="21"/>
        </w:rPr>
        <w:t>互斥变量的物理意义：</w:t>
      </w:r>
      <w:r>
        <w:rPr>
          <w:rFonts w:ascii="Times New Roman" w:eastAsia="宋体" w:hAnsi="Times New Roman"/>
          <w:color w:val="000000"/>
          <w:szCs w:val="21"/>
        </w:rPr>
        <w:t>LP</w:t>
      </w:r>
      <w:r>
        <w:rPr>
          <w:rFonts w:ascii="Times New Roman" w:eastAsia="宋体" w:hAnsi="Times New Roman"/>
          <w:color w:val="000000"/>
          <w:szCs w:val="21"/>
        </w:rPr>
        <w:t>可以得到数学上更优的收益解，但会出现同时充放电的不合理环流；</w:t>
      </w:r>
      <w:r>
        <w:rPr>
          <w:rFonts w:ascii="Times New Roman" w:eastAsia="宋体" w:hAnsi="Times New Roman"/>
          <w:color w:val="000000"/>
          <w:szCs w:val="21"/>
        </w:rPr>
        <w:t>MILP</w:t>
      </w:r>
      <w:r>
        <w:rPr>
          <w:rFonts w:ascii="Times New Roman" w:eastAsia="宋体" w:hAnsi="Times New Roman"/>
          <w:color w:val="000000"/>
          <w:szCs w:val="21"/>
        </w:rPr>
        <w:t>保证物理可行，但求解复杂度上升。功率瓶颈与容量瓶颈都会限制储能套利收益。</w:t>
      </w:r>
    </w:p>
    <w:p w14:paraId="00E46FB2" w14:textId="77777777" w:rsidR="002A5883" w:rsidRDefault="002A5883" w:rsidP="002A5883">
      <w:pPr>
        <w:spacing w:line="360" w:lineRule="auto"/>
        <w:ind w:firstLineChars="200" w:firstLine="420"/>
      </w:pPr>
      <w:r>
        <w:rPr>
          <w:rFonts w:ascii="Times New Roman" w:eastAsia="宋体" w:hAnsi="Times New Roman"/>
          <w:color w:val="000000"/>
          <w:szCs w:val="21"/>
        </w:rPr>
        <w:t>（</w:t>
      </w:r>
      <w:r>
        <w:rPr>
          <w:rFonts w:ascii="Times New Roman" w:eastAsia="宋体" w:hAnsi="Times New Roman"/>
          <w:color w:val="000000"/>
          <w:szCs w:val="21"/>
        </w:rPr>
        <w:t>3</w:t>
      </w:r>
      <w:r>
        <w:rPr>
          <w:rFonts w:ascii="Times New Roman" w:eastAsia="宋体" w:hAnsi="Times New Roman"/>
          <w:color w:val="000000"/>
          <w:szCs w:val="21"/>
        </w:rPr>
        <w:t>）任务三完成储能日前多目标调度，验证了光伏消纳、网损、购电成本多目标互相制衡；手算二阶锥松弛间隙，理解了</w:t>
      </w:r>
      <w:r>
        <w:rPr>
          <w:rFonts w:ascii="Times New Roman" w:eastAsia="宋体" w:hAnsi="Times New Roman"/>
          <w:color w:val="000000"/>
          <w:szCs w:val="21"/>
        </w:rPr>
        <w:t>SOCP</w:t>
      </w:r>
      <w:r>
        <w:rPr>
          <w:rFonts w:ascii="Times New Roman" w:eastAsia="宋体" w:hAnsi="Times New Roman"/>
          <w:color w:val="000000"/>
          <w:szCs w:val="21"/>
        </w:rPr>
        <w:t>凸优化是松弛近似、存在间隙，必须使用交流潮流回代验证解的有效性。</w:t>
      </w:r>
    </w:p>
    <w:p w14:paraId="37F01D7C" w14:textId="18161426" w:rsidR="002A5883" w:rsidRPr="002A5883" w:rsidRDefault="002A5883" w:rsidP="002A5883">
      <w:pPr>
        <w:spacing w:line="360" w:lineRule="auto"/>
        <w:ind w:firstLineChars="200" w:firstLine="420"/>
        <w:rPr>
          <w:rFonts w:hint="eastAsia"/>
        </w:rPr>
      </w:pPr>
      <w:r>
        <w:rPr>
          <w:rFonts w:ascii="Times New Roman" w:eastAsia="宋体" w:hAnsi="Times New Roman"/>
          <w:color w:val="000000"/>
          <w:szCs w:val="21"/>
        </w:rPr>
        <w:t>本次第一周课程设计熟悉了</w:t>
      </w:r>
      <w:r>
        <w:rPr>
          <w:rFonts w:ascii="Times New Roman" w:eastAsia="宋体" w:hAnsi="Times New Roman"/>
          <w:color w:val="000000"/>
          <w:szCs w:val="21"/>
        </w:rPr>
        <w:t>MATPOWER</w:t>
      </w:r>
      <w:r>
        <w:rPr>
          <w:rFonts w:ascii="Times New Roman" w:eastAsia="宋体" w:hAnsi="Times New Roman"/>
          <w:color w:val="000000"/>
          <w:szCs w:val="21"/>
        </w:rPr>
        <w:t>潮流计算、储能优化模型与凸松弛基础，为第二周储能规划任务打下基础。</w:t>
      </w:r>
    </w:p>
    <w:sectPr w:rsidR="002A5883" w:rsidRPr="002A5883">
      <w:headerReference w:type="even" r:id="rId8"/>
      <w:footerReference w:type="even" r:id="rId9"/>
      <w:type w:val="continuous"/>
      <w:pgSz w:w="11906" w:h="16838"/>
      <w:pgMar w:top="1440" w:right="1134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0A2C9" w14:textId="77777777" w:rsidR="00984EC9" w:rsidRDefault="00984EC9">
      <w:pPr>
        <w:rPr>
          <w:rFonts w:hint="eastAsia"/>
        </w:rPr>
      </w:pPr>
      <w:r>
        <w:separator/>
      </w:r>
    </w:p>
  </w:endnote>
  <w:endnote w:type="continuationSeparator" w:id="0">
    <w:p w14:paraId="29B39A60" w14:textId="77777777" w:rsidR="00984EC9" w:rsidRDefault="00984E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8CB8" w14:textId="77777777" w:rsidR="00972519" w:rsidRDefault="00B140AE">
    <w:pPr>
      <w:framePr w:wrap="around" w:vAnchor="text" w:hAnchor="margin" w:xAlign="center" w:y="1"/>
      <w:snapToGrid w:val="0"/>
      <w:jc w:val="left"/>
      <w:rPr>
        <w:rStyle w:val="a9"/>
        <w:rFonts w:hint="eastAsia"/>
        <w:sz w:val="18"/>
        <w:szCs w:val="18"/>
      </w:rPr>
    </w:pPr>
    <w:r>
      <w:rPr>
        <w:rStyle w:val="a9"/>
        <w:sz w:val="18"/>
        <w:szCs w:val="18"/>
      </w:rPr>
      <w:fldChar w:fldCharType="begin"/>
    </w:r>
    <w:r>
      <w:rPr>
        <w:rStyle w:val="a9"/>
        <w:sz w:val="18"/>
        <w:szCs w:val="18"/>
      </w:rPr>
      <w:instrText xml:space="preserve">PAGE  </w:instrText>
    </w:r>
    <w:r>
      <w:rPr>
        <w:rStyle w:val="a9"/>
        <w:sz w:val="18"/>
        <w:szCs w:val="18"/>
      </w:rPr>
      <w:fldChar w:fldCharType="end"/>
    </w:r>
  </w:p>
  <w:p w14:paraId="4BDF5499" w14:textId="77777777" w:rsidR="00972519" w:rsidRDefault="00972519">
    <w:pPr>
      <w:snapToGrid w:val="0"/>
      <w:jc w:val="left"/>
      <w:rPr>
        <w:rFonts w:hint="eastAsi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98478" w14:textId="77777777" w:rsidR="00984EC9" w:rsidRDefault="00984EC9">
      <w:pPr>
        <w:rPr>
          <w:rFonts w:hint="eastAsia"/>
        </w:rPr>
      </w:pPr>
      <w:r>
        <w:separator/>
      </w:r>
    </w:p>
  </w:footnote>
  <w:footnote w:type="continuationSeparator" w:id="0">
    <w:p w14:paraId="519E8EC7" w14:textId="77777777" w:rsidR="00984EC9" w:rsidRDefault="00984EC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E901D" w14:textId="77777777" w:rsidR="00972519" w:rsidRDefault="00972519">
    <w:pPr>
      <w:pBdr>
        <w:bottom w:val="none" w:sz="0" w:space="1" w:color="auto"/>
      </w:pBdr>
      <w:snapToGrid w:val="0"/>
      <w:jc w:val="center"/>
      <w:rPr>
        <w:rFonts w:hint="eastAsi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8E7"/>
    <w:multiLevelType w:val="multilevel"/>
    <w:tmpl w:val="0B4B78E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BD0619"/>
    <w:multiLevelType w:val="multilevel"/>
    <w:tmpl w:val="21BD061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0077032">
    <w:abstractNumId w:val="0"/>
  </w:num>
  <w:num w:numId="2" w16cid:durableId="1712537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wMLE0MTA1MDQ3MTdU0lEKTi0uzszPAykwqgUAjzphvywAAAA="/>
    <w:docVar w:name="commondata" w:val="eyJoZGlkIjoiMzEwNTM5NzYwMDRjMzkwZTVkZjY2ODkwMGIxNGU0OTUifQ=="/>
  </w:docVars>
  <w:rsids>
    <w:rsidRoot w:val="005D7859"/>
    <w:rsid w:val="00014ED1"/>
    <w:rsid w:val="00036067"/>
    <w:rsid w:val="0006698F"/>
    <w:rsid w:val="00096C81"/>
    <w:rsid w:val="000A1C8B"/>
    <w:rsid w:val="000F4CE4"/>
    <w:rsid w:val="001416CA"/>
    <w:rsid w:val="00184636"/>
    <w:rsid w:val="001C6D0E"/>
    <w:rsid w:val="002324E5"/>
    <w:rsid w:val="002479F3"/>
    <w:rsid w:val="00263CA0"/>
    <w:rsid w:val="00266B13"/>
    <w:rsid w:val="00272526"/>
    <w:rsid w:val="002A3B6B"/>
    <w:rsid w:val="002A5883"/>
    <w:rsid w:val="002D0E2D"/>
    <w:rsid w:val="00322DC3"/>
    <w:rsid w:val="00332623"/>
    <w:rsid w:val="003607A1"/>
    <w:rsid w:val="003E4BA4"/>
    <w:rsid w:val="00466218"/>
    <w:rsid w:val="00483194"/>
    <w:rsid w:val="00486B5B"/>
    <w:rsid w:val="004B7CFB"/>
    <w:rsid w:val="005509EF"/>
    <w:rsid w:val="005D2219"/>
    <w:rsid w:val="005D7859"/>
    <w:rsid w:val="005F0DB6"/>
    <w:rsid w:val="006062D1"/>
    <w:rsid w:val="00692F4E"/>
    <w:rsid w:val="006B2641"/>
    <w:rsid w:val="00757D62"/>
    <w:rsid w:val="00774591"/>
    <w:rsid w:val="007947DE"/>
    <w:rsid w:val="007D4B1A"/>
    <w:rsid w:val="007E56A8"/>
    <w:rsid w:val="008578E2"/>
    <w:rsid w:val="00892EF8"/>
    <w:rsid w:val="008B7B70"/>
    <w:rsid w:val="00912B28"/>
    <w:rsid w:val="00933D15"/>
    <w:rsid w:val="00940A55"/>
    <w:rsid w:val="009453E3"/>
    <w:rsid w:val="00952A2F"/>
    <w:rsid w:val="00962ED2"/>
    <w:rsid w:val="00972519"/>
    <w:rsid w:val="00984EC9"/>
    <w:rsid w:val="009B0EE9"/>
    <w:rsid w:val="009D0799"/>
    <w:rsid w:val="00A05F1B"/>
    <w:rsid w:val="00A11DA2"/>
    <w:rsid w:val="00A13E21"/>
    <w:rsid w:val="00A63135"/>
    <w:rsid w:val="00AB348A"/>
    <w:rsid w:val="00AE4BAB"/>
    <w:rsid w:val="00B140AE"/>
    <w:rsid w:val="00B1491E"/>
    <w:rsid w:val="00C04D0E"/>
    <w:rsid w:val="00C04D55"/>
    <w:rsid w:val="00C20450"/>
    <w:rsid w:val="00C40C8D"/>
    <w:rsid w:val="00C66812"/>
    <w:rsid w:val="00CA573C"/>
    <w:rsid w:val="00CA7BCB"/>
    <w:rsid w:val="00CF385E"/>
    <w:rsid w:val="00D26081"/>
    <w:rsid w:val="00D41CBD"/>
    <w:rsid w:val="00D9649E"/>
    <w:rsid w:val="00E137F6"/>
    <w:rsid w:val="00EB5380"/>
    <w:rsid w:val="00ED0EA0"/>
    <w:rsid w:val="00EE55C9"/>
    <w:rsid w:val="00F053CD"/>
    <w:rsid w:val="00F1367B"/>
    <w:rsid w:val="00F40B03"/>
    <w:rsid w:val="00FB3FFE"/>
    <w:rsid w:val="00FD24A0"/>
    <w:rsid w:val="00FD3D43"/>
    <w:rsid w:val="1C9B627A"/>
    <w:rsid w:val="548D0188"/>
    <w:rsid w:val="6886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F0568"/>
  <w15:docId w15:val="{A126DFB4-60B7-479C-9935-244B7757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A5883"/>
    <w:pPr>
      <w:keepNext/>
      <w:keepLines/>
      <w:widowControl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kern w:val="0"/>
      <w:sz w:val="24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A5883"/>
    <w:pPr>
      <w:keepNext/>
      <w:keepLines/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kern w:val="0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paragraph" w:styleId="TOC1">
    <w:name w:val="toc 1"/>
    <w:basedOn w:val="a"/>
    <w:next w:val="a"/>
    <w:uiPriority w:val="39"/>
    <w:semiHidden/>
    <w:unhideWhenUsed/>
    <w:rsid w:val="002A5883"/>
    <w:pPr>
      <w:widowControl/>
      <w:spacing w:after="200"/>
      <w:jc w:val="left"/>
    </w:pPr>
    <w:rPr>
      <w:rFonts w:ascii="Times New Roman" w:eastAsia="宋体" w:hAnsi="Times New Roman"/>
      <w:color w:val="000000"/>
      <w:kern w:val="0"/>
      <w:lang w:eastAsia="en-US"/>
    </w:rPr>
  </w:style>
  <w:style w:type="paragraph" w:styleId="TOC2">
    <w:name w:val="toc 2"/>
    <w:basedOn w:val="a"/>
    <w:next w:val="a"/>
    <w:uiPriority w:val="39"/>
    <w:semiHidden/>
    <w:unhideWhenUsed/>
    <w:rsid w:val="002A5883"/>
    <w:pPr>
      <w:widowControl/>
      <w:spacing w:after="200"/>
      <w:ind w:leftChars="200" w:left="420"/>
      <w:jc w:val="left"/>
    </w:pPr>
    <w:rPr>
      <w:rFonts w:ascii="Times New Roman" w:eastAsia="宋体" w:hAnsi="Times New Roman"/>
      <w:color w:val="000000"/>
      <w:kern w:val="0"/>
      <w:lang w:eastAsia="en-US"/>
    </w:rPr>
  </w:style>
  <w:style w:type="character" w:customStyle="1" w:styleId="10">
    <w:name w:val="标题 1 字符"/>
    <w:basedOn w:val="a0"/>
    <w:link w:val="1"/>
    <w:uiPriority w:val="9"/>
    <w:rsid w:val="002A5883"/>
    <w:rPr>
      <w:rFonts w:asciiTheme="majorHAnsi" w:eastAsiaTheme="majorEastAsia" w:hAnsiTheme="majorHAnsi" w:cstheme="majorBidi"/>
      <w:b/>
      <w:bCs/>
      <w:color w:val="000000"/>
      <w:sz w:val="24"/>
      <w:szCs w:val="28"/>
      <w:lang w:eastAsia="en-US"/>
    </w:rPr>
  </w:style>
  <w:style w:type="character" w:customStyle="1" w:styleId="20">
    <w:name w:val="标题 2 字符"/>
    <w:basedOn w:val="a0"/>
    <w:link w:val="2"/>
    <w:uiPriority w:val="9"/>
    <w:rsid w:val="002A5883"/>
    <w:rPr>
      <w:rFonts w:asciiTheme="majorHAnsi" w:eastAsiaTheme="majorEastAsia" w:hAnsiTheme="majorHAnsi" w:cstheme="majorBidi"/>
      <w:b/>
      <w:bCs/>
      <w:color w:val="000000"/>
      <w:sz w:val="21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2360</Words>
  <Characters>3092</Characters>
  <Application>Microsoft Office Word</Application>
  <DocSecurity>0</DocSecurity>
  <Lines>147</Lines>
  <Paragraphs>187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xiaoyee@yeah.net</dc:creator>
  <cp:lastModifiedBy>奏念 时</cp:lastModifiedBy>
  <cp:revision>2</cp:revision>
  <dcterms:created xsi:type="dcterms:W3CDTF">2026-10-31T12:52:00Z</dcterms:created>
  <dcterms:modified xsi:type="dcterms:W3CDTF">2026-10-31T12:52:00Z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C93FB023C38D43CABB28BCAA3F0D34D2_12</vt:lpwstr>
  </property>
</Properties>
</file>