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1D4F7">
      <w:pPr>
        <w:spacing w:before="156" w:beforeLines="50" w:after="62" w:afterLines="20" w:line="360" w:lineRule="auto"/>
        <w:jc w:val="center"/>
        <w:rPr>
          <w:rFonts w:ascii="Times New Roman" w:hAnsi="Times New Roman" w:eastAsia="楷体_GB2312" w:cs="Times New Roman"/>
          <w:color w:val="0000FF"/>
          <w:sz w:val="60"/>
          <w:szCs w:val="24"/>
        </w:rPr>
      </w:pPr>
      <w:r>
        <w:rPr>
          <w:rFonts w:hint="eastAsia" w:ascii="Times New Roman" w:hAnsi="Times New Roman" w:eastAsia="楷体_GB2312" w:cs="Times New Roman"/>
          <w:sz w:val="60"/>
          <w:szCs w:val="24"/>
        </w:rPr>
        <w:drawing>
          <wp:inline distT="0" distB="0" distL="114300" distR="114300">
            <wp:extent cx="2512695" cy="594360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5C89">
      <w:pPr>
        <w:spacing w:before="156" w:beforeLines="50" w:after="312" w:afterLines="100" w:line="800" w:lineRule="exact"/>
        <w:jc w:val="center"/>
        <w:rPr>
          <w:rFonts w:ascii="SimHei" w:hAnsi="Times New Roman" w:eastAsia="SimHei" w:cs="Times New Roman"/>
          <w:sz w:val="48"/>
          <w:szCs w:val="44"/>
        </w:rPr>
      </w:pPr>
      <w:r>
        <w:rPr>
          <w:rFonts w:hint="eastAsia" w:ascii="SimHei" w:hAnsi="SimHei" w:eastAsia="SimHei" w:cs="Times New Roman"/>
          <w:b/>
          <w:sz w:val="48"/>
          <w:szCs w:val="44"/>
        </w:rPr>
        <w:t>课程设计报告</w:t>
      </w:r>
    </w:p>
    <w:p w14:paraId="2BD37367">
      <w:pPr>
        <w:spacing w:before="156" w:beforeLines="50" w:after="312" w:afterLines="100" w:line="800" w:lineRule="exact"/>
        <w:jc w:val="center"/>
        <w:rPr>
          <w:rFonts w:ascii="SimHei" w:hAnsi="Times New Roman" w:eastAsia="SimHei" w:cs="Times New Roman"/>
          <w:sz w:val="44"/>
          <w:szCs w:val="44"/>
        </w:rPr>
      </w:pPr>
    </w:p>
    <w:p w14:paraId="592A2DF5">
      <w:pPr>
        <w:spacing w:line="800" w:lineRule="exact"/>
        <w:ind w:left="840" w:leftChars="400" w:right="735" w:rightChars="350"/>
        <w:rPr>
          <w:rFonts w:ascii="Times New Roman" w:hAnsi="Times New Roman" w:eastAsia="SimSun" w:cs="Times New Roman"/>
          <w:sz w:val="30"/>
          <w:szCs w:val="24"/>
        </w:rPr>
      </w:pPr>
      <w:r>
        <w:rPr>
          <w:rFonts w:ascii="SimSun" w:hAnsi="SimSun" w:eastAsia="SimSun"/>
          <w:b w:val="0"/>
          <w:sz w:val="28"/>
        </w:rPr>
        <w:t>课程名称：储能优化规划与运行</w:t>
      </w:r>
    </w:p>
    <w:p w14:paraId="5F128FA3">
      <w:pPr>
        <w:spacing w:line="800" w:lineRule="exact"/>
        <w:ind w:left="840" w:leftChars="400" w:right="735" w:rightChars="350"/>
        <w:rPr>
          <w:rFonts w:ascii="Times New Roman" w:hAnsi="Times New Roman" w:eastAsia="SimSun" w:cs="Times New Roman"/>
          <w:sz w:val="30"/>
          <w:szCs w:val="24"/>
        </w:rPr>
      </w:pPr>
      <w:r>
        <w:rPr>
          <w:rFonts w:ascii="SimSun" w:hAnsi="SimSun" w:eastAsia="SimSun"/>
          <w:b w:val="0"/>
          <w:sz w:val="28"/>
        </w:rPr>
        <w:t>班级名称：储能231</w:t>
      </w:r>
    </w:p>
    <w:p w14:paraId="1BFBCAB9">
      <w:pPr>
        <w:spacing w:line="800" w:lineRule="exact"/>
        <w:ind w:left="840" w:leftChars="400" w:right="735" w:rightChars="350"/>
        <w:rPr>
          <w:rFonts w:ascii="Times New Roman" w:hAnsi="Times New Roman" w:eastAsia="SimSun" w:cs="Times New Roman"/>
          <w:sz w:val="30"/>
          <w:szCs w:val="24"/>
          <w:u w:val="single"/>
        </w:rPr>
      </w:pPr>
      <w:r>
        <w:rPr>
          <w:rFonts w:ascii="SimSun" w:hAnsi="SimSun" w:eastAsia="SimSun"/>
          <w:b w:val="0"/>
          <w:sz w:val="28"/>
        </w:rPr>
        <w:t>学生姓名：马云笛</w:t>
      </w:r>
    </w:p>
    <w:p w14:paraId="1E1A52EB">
      <w:pPr>
        <w:spacing w:line="800" w:lineRule="exact"/>
        <w:ind w:left="840" w:leftChars="400" w:right="735" w:rightChars="350"/>
        <w:rPr>
          <w:rFonts w:ascii="SimSun" w:hAnsi="SimSun" w:eastAsia="SimSun" w:cs="SimSun"/>
          <w:bCs/>
          <w:w w:val="66"/>
          <w:sz w:val="28"/>
          <w:szCs w:val="28"/>
          <w:u w:val="single"/>
        </w:rPr>
      </w:pPr>
      <w:r>
        <w:rPr>
          <w:rFonts w:ascii="SimSun" w:hAnsi="SimSun" w:eastAsia="SimSun"/>
          <w:b w:val="0"/>
          <w:sz w:val="28"/>
        </w:rPr>
        <w:t>学生学号：206231318</w:t>
      </w:r>
    </w:p>
    <w:p w14:paraId="0D901F9B">
      <w:pPr>
        <w:spacing w:line="800" w:lineRule="exact"/>
        <w:ind w:left="840" w:leftChars="400" w:right="735" w:rightChars="350"/>
        <w:rPr>
          <w:rFonts w:ascii="SimSun" w:hAnsi="SimSun" w:eastAsia="SimSun" w:cs="SimSun"/>
          <w:sz w:val="32"/>
          <w:szCs w:val="24"/>
          <w:u w:val="single"/>
        </w:rPr>
      </w:pPr>
      <w:r>
        <w:rPr>
          <w:rFonts w:ascii="SimSun" w:hAnsi="SimSun" w:eastAsia="SimSun"/>
          <w:b w:val="0"/>
          <w:sz w:val="28"/>
        </w:rPr>
        <w:t>任课教师：吴涵</w:t>
      </w:r>
    </w:p>
    <w:p w14:paraId="001A2F53">
      <w:pPr>
        <w:spacing w:line="800" w:lineRule="exact"/>
        <w:ind w:right="735" w:rightChars="350"/>
        <w:rPr>
          <w:rFonts w:ascii="楷体_GB2312" w:hAnsi="Times New Roman" w:eastAsia="SimSun" w:cs="Times New Roman"/>
          <w:sz w:val="32"/>
          <w:szCs w:val="24"/>
          <w:u w:val="single"/>
        </w:rPr>
      </w:pPr>
    </w:p>
    <w:p w14:paraId="21AC08FF">
      <w:pPr>
        <w:spacing w:line="800" w:lineRule="exact"/>
        <w:ind w:right="735" w:rightChars="350"/>
        <w:rPr>
          <w:rFonts w:ascii="楷体_GB2312" w:hAnsi="Times New Roman" w:eastAsia="SimSun" w:cs="Times New Roman"/>
          <w:sz w:val="32"/>
          <w:szCs w:val="24"/>
          <w:u w:val="single"/>
        </w:rPr>
      </w:pPr>
    </w:p>
    <w:p w14:paraId="51785707">
      <w:pPr>
        <w:spacing w:line="800" w:lineRule="exact"/>
        <w:ind w:right="735" w:rightChars="350" w:firstLine="420"/>
        <w:rPr>
          <w:rFonts w:ascii="Times New Roman" w:hAnsi="Times New Roman" w:eastAsia="SimSun" w:cs="Times New Roman"/>
          <w:sz w:val="30"/>
          <w:szCs w:val="24"/>
          <w:u w:val="single"/>
        </w:rPr>
      </w:pPr>
      <w:r>
        <w:rPr>
          <w:rFonts w:hint="eastAsia" w:ascii="Times New Roman" w:hAnsi="Times New Roman" w:eastAsia="SimSun" w:cs="Times New Roman"/>
          <w:kern w:val="0"/>
          <w:sz w:val="30"/>
          <w:szCs w:val="24"/>
        </w:rPr>
        <w:t>报告成绩：</w:t>
      </w:r>
      <w:r>
        <w:rPr>
          <w:rFonts w:hint="eastAsia" w:ascii="楷体_GB2312" w:hAnsi="Times New Roman" w:eastAsia="SimSun" w:cs="Times New Roman"/>
          <w:sz w:val="32"/>
          <w:szCs w:val="24"/>
          <w:u w:val="single"/>
        </w:rPr>
        <w:t xml:space="preserve">     </w:t>
      </w:r>
      <w:r>
        <w:rPr>
          <w:rFonts w:ascii="楷体_GB2312" w:hAnsi="Times New Roman" w:eastAsia="SimSun" w:cs="Times New Roman"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SimSun" w:cs="Times New Roman"/>
          <w:sz w:val="32"/>
          <w:szCs w:val="24"/>
          <w:u w:val="single"/>
        </w:rPr>
        <w:t xml:space="preserve">   </w:t>
      </w:r>
      <w:r>
        <w:rPr>
          <w:rFonts w:ascii="楷体_GB2312" w:hAnsi="Times New Roman" w:eastAsia="SimSun" w:cs="Times New Roman"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SimSun" w:cs="Times New Roman"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SimSun" w:cs="Times New Roman"/>
          <w:sz w:val="32"/>
          <w:szCs w:val="24"/>
        </w:rPr>
        <w:t xml:space="preserve"> </w:t>
      </w:r>
      <w:r>
        <w:rPr>
          <w:rFonts w:ascii="楷体_GB2312" w:hAnsi="Times New Roman" w:eastAsia="SimSun" w:cs="Times New Roman"/>
          <w:sz w:val="32"/>
          <w:szCs w:val="24"/>
        </w:rPr>
        <w:t xml:space="preserve">  </w:t>
      </w:r>
      <w:r>
        <w:rPr>
          <w:rFonts w:hint="eastAsia" w:ascii="楷体_GB2312" w:hAnsi="Times New Roman" w:eastAsia="SimSun" w:cs="Times New Roman"/>
          <w:sz w:val="32"/>
          <w:szCs w:val="24"/>
        </w:rPr>
        <w:t>评阅教师签字：</w:t>
      </w:r>
      <w:r>
        <w:rPr>
          <w:rFonts w:hint="eastAsia" w:ascii="楷体_GB2312" w:hAnsi="Times New Roman" w:eastAsia="SimSun" w:cs="Times New Roman"/>
          <w:sz w:val="32"/>
          <w:szCs w:val="24"/>
          <w:u w:val="single"/>
        </w:rPr>
        <w:t xml:space="preserve"> </w:t>
      </w:r>
      <w:r>
        <w:rPr>
          <w:rFonts w:ascii="楷体_GB2312" w:hAnsi="Times New Roman" w:eastAsia="SimSun" w:cs="Times New Roman"/>
          <w:sz w:val="32"/>
          <w:szCs w:val="24"/>
          <w:u w:val="single"/>
        </w:rPr>
        <w:t xml:space="preserve">            </w:t>
      </w:r>
    </w:p>
    <w:p w14:paraId="76F7D8CF">
      <w:pPr>
        <w:wordWrap w:val="0"/>
        <w:spacing w:line="800" w:lineRule="exact"/>
        <w:jc w:val="right"/>
        <w:rPr>
          <w:rFonts w:ascii="Times New Roman" w:hAnsi="Times New Roman" w:eastAsia="SimSun" w:cs="Times New Roman"/>
          <w:szCs w:val="24"/>
        </w:rPr>
      </w:pPr>
      <w:r>
        <w:rPr>
          <w:rFonts w:hint="eastAsia" w:ascii="Times New Roman" w:hAnsi="Times New Roman" w:eastAsia="SimSun" w:cs="Times New Roman"/>
          <w:szCs w:val="24"/>
        </w:rPr>
        <w:t xml:space="preserve">  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年 </w:t>
      </w:r>
      <w:r>
        <w:rPr>
          <w:rFonts w:ascii="Times New Roman" w:hAnsi="Times New Roman" w:eastAsia="SimSu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月 </w:t>
      </w:r>
      <w:r>
        <w:rPr>
          <w:rFonts w:ascii="Times New Roman" w:hAnsi="Times New Roman" w:eastAsia="SimSu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日 </w:t>
      </w:r>
      <w:r>
        <w:rPr>
          <w:rFonts w:ascii="Times New Roman" w:hAnsi="Times New Roman" w:eastAsia="SimSun" w:cs="Times New Roman"/>
          <w:sz w:val="24"/>
          <w:szCs w:val="24"/>
        </w:rPr>
        <w:t xml:space="preserve">    </w:t>
      </w:r>
    </w:p>
    <w:p w14:paraId="562C2686">
      <w:pPr>
        <w:spacing w:after="93" w:afterLines="30" w:line="800" w:lineRule="exact"/>
        <w:jc w:val="center"/>
        <w:rPr>
          <w:rFonts w:ascii="SimSun" w:hAnsi="SimSun" w:eastAsia="SimSun" w:cs="Times New Roman"/>
          <w:sz w:val="28"/>
          <w:szCs w:val="28"/>
        </w:rPr>
      </w:pPr>
      <w:r>
        <w:rPr>
          <w:rFonts w:hint="eastAsia" w:ascii="SimSun" w:hAnsi="SimSun" w:eastAsia="SimSun" w:cs="Times New Roman"/>
          <w:sz w:val="28"/>
          <w:szCs w:val="28"/>
        </w:rPr>
        <w:t xml:space="preserve"> </w:t>
      </w:r>
    </w:p>
    <w:p w14:paraId="2BAD77D9">
      <w:pPr>
        <w:spacing w:after="93" w:afterLines="30" w:line="800" w:lineRule="exact"/>
        <w:jc w:val="center"/>
        <w:rPr>
          <w:rFonts w:ascii="华文隶书" w:hAnsi="Times New Roman" w:eastAsia="华文隶书" w:cs="Times New Roman"/>
          <w:sz w:val="32"/>
          <w:szCs w:val="24"/>
        </w:rPr>
      </w:pPr>
      <w:r>
        <w:rPr>
          <w:rFonts w:hint="eastAsia" w:ascii="华文隶书" w:hAnsi="SimSun" w:eastAsia="华文隶书" w:cs="Times New Roman"/>
          <w:sz w:val="36"/>
          <w:szCs w:val="28"/>
        </w:rPr>
        <w:t>电力工程学院、沈国荣学院</w:t>
      </w:r>
    </w:p>
    <w:p w14:paraId="34F09F95">
      <w:r>
        <w:br w:type="page"/>
      </w:r>
    </w:p>
    <w:p w14:paraId="25D6683E">
      <w:pPr>
        <w:jc w:val="center"/>
      </w:pPr>
      <w:r>
        <w:rPr>
          <w:rFonts w:ascii="SimHei" w:hAnsi="SimHei" w:eastAsia="SimHei"/>
          <w:b/>
          <w:sz w:val="36"/>
        </w:rPr>
        <w:t>储能优化规划与运行课程设计报告</w:t>
      </w:r>
    </w:p>
    <w:p w14:paraId="46043CC6">
      <w:pPr>
        <w:jc w:val="center"/>
      </w:pPr>
      <w:r>
        <w:rPr>
          <w:rFonts w:ascii="SimSun" w:hAnsi="SimSun" w:eastAsia="SimSun"/>
          <w:b w:val="0"/>
          <w:sz w:val="23"/>
        </w:rPr>
        <w:t>第一周：配电网基态潮流、单节点储能套利与配电网日前调度</w:t>
      </w:r>
    </w:p>
    <w:p w14:paraId="7A9FC229">
      <w:pPr>
        <w:spacing w:before="180" w:after="80"/>
      </w:pPr>
      <w:r>
        <w:rPr>
          <w:rFonts w:ascii="SimHei" w:hAnsi="SimHei" w:eastAsia="SimHei"/>
          <w:b/>
          <w:sz w:val="32"/>
        </w:rPr>
        <w:t>摘 要</w:t>
      </w:r>
    </w:p>
    <w:p w14:paraId="0EE95902">
      <w:pPr>
        <w:ind w:firstLine="420"/>
      </w:pPr>
      <w:r>
        <w:rPr>
          <w:rFonts w:ascii="SimSun" w:hAnsi="SimSun" w:eastAsia="SimSun"/>
          <w:b w:val="0"/>
          <w:sz w:val="21"/>
        </w:rPr>
        <w:t>本报告围绕课程第一周的三项任务展开，包括配电网24 h基态潮流计算、单节点储能分时电价套利，以及计及配电网运行约束的储能日前优化调度。根据学号206231318，个人算例为农村配电网49节点，负荷系数α=1.036；任务三采用模型A，以最大化光伏消纳（最小化弃光电量）为目标，候选节点为4、9、14。报告结合本人提供的三张仿真图及课件中的模型、参数和思考题进行分析。</w:t>
      </w:r>
    </w:p>
    <w:p w14:paraId="2EA5AF14">
      <w:r>
        <w:rPr>
          <w:rFonts w:ascii="SimSun" w:hAnsi="SimSun" w:eastAsia="SimSun"/>
          <w:b w:val="0"/>
          <w:sz w:val="21"/>
        </w:rPr>
        <w:t>关键词：配电网；时序潮流；储能套利；荷电状态；日前优化调度；二阶锥松弛</w:t>
      </w:r>
    </w:p>
    <w:p w14:paraId="75BAED56">
      <w:pPr>
        <w:spacing w:before="180" w:after="80"/>
      </w:pPr>
      <w:r>
        <w:rPr>
          <w:rFonts w:ascii="SimHei" w:hAnsi="SimHei" w:eastAsia="SimHei"/>
          <w:b/>
          <w:sz w:val="32"/>
        </w:rPr>
        <w:t>一、课程任务与个人参数</w:t>
      </w:r>
    </w:p>
    <w:p w14:paraId="1A3FB2E1">
      <w:pPr>
        <w:ind w:firstLine="420"/>
      </w:pPr>
      <w:r>
        <w:rPr>
          <w:rFonts w:ascii="SimSun" w:hAnsi="SimSun" w:eastAsia="SimSun"/>
          <w:b w:val="0"/>
          <w:sz w:val="21"/>
        </w:rPr>
        <w:t>第一周课程设计包含三个递进任务：任务一分析无储能接入时配电网节点电压与网损的24 h分布；任务二在给定储能额定功率、容量和分时电价的条件下优化充放电计划；任务三进一步计及支路潮流、节点电压和储能运行边界，研究储能与配电网的协同调度。</w:t>
      </w:r>
    </w:p>
    <w:p w14:paraId="62EEBCB9">
      <w:pPr>
        <w:ind w:firstLine="420"/>
      </w:pPr>
      <w:r>
        <w:rPr>
          <w:rFonts w:ascii="SimSun" w:hAnsi="SimSun" w:eastAsia="SimSun"/>
          <w:b w:val="0"/>
          <w:sz w:val="21"/>
        </w:rPr>
        <w:t>个人参数核对：学号末两位为18，故X=1、Y=8；Y=8对应农村配电网49节点/48支路，负荷系数α=1+0.002×18=1.036。X=1对应任务三模型A，候选节点为4、9、14。</w:t>
      </w:r>
    </w:p>
    <w:p w14:paraId="1D0B64C8">
      <w:pPr>
        <w:ind w:firstLine="420"/>
      </w:pPr>
      <w:r>
        <w:rPr>
          <w:rFonts w:ascii="SimSun" w:hAnsi="SimSun" w:eastAsia="SimSun"/>
          <w:b w:val="0"/>
          <w:sz w:val="21"/>
        </w:rPr>
        <w:t>任务一三个指定节点各接入0.8 MW光伏。任务三三个节点各接入1.2 MW光伏，并配置1.5 MW/3 MWh储能；充电效率0.90、放电效率0.95，SoC范围0.20～0.80，初始与日末SoC均为0.50。任务二采用2 MW/2 MWh储能，SoC范围0.10～1.00，初始与日末SoC均为0.50。</w:t>
      </w:r>
    </w:p>
    <w:p w14:paraId="2BAE8540">
      <w:pPr>
        <w:spacing w:before="180" w:after="80"/>
      </w:pPr>
      <w:r>
        <w:rPr>
          <w:rFonts w:ascii="SimHei" w:hAnsi="SimHei" w:eastAsia="SimHei"/>
          <w:b/>
          <w:sz w:val="32"/>
        </w:rPr>
        <w:t>二、任务一：配电网24小时基态潮流计算</w:t>
      </w:r>
    </w:p>
    <w:p w14:paraId="40068B1C">
      <w:pPr>
        <w:spacing w:before="180" w:after="80"/>
      </w:pPr>
      <w:r>
        <w:rPr>
          <w:rFonts w:ascii="SimHei" w:hAnsi="SimHei" w:eastAsia="SimHei"/>
          <w:b/>
          <w:sz w:val="26"/>
        </w:rPr>
        <w:t>2.1 任务目的与计算模型</w:t>
      </w:r>
    </w:p>
    <w:p w14:paraId="219025F6">
      <w:pPr>
        <w:ind w:firstLine="420"/>
      </w:pPr>
      <w:r>
        <w:rPr>
          <w:rFonts w:ascii="SimSun" w:hAnsi="SimSun" w:eastAsia="SimSun"/>
          <w:b w:val="0"/>
          <w:sz w:val="21"/>
        </w:rPr>
        <w:t>任务一在不配置储能的基态场景下，逐时计算24个时段的交流潮流，得到全网节点电压时序分布，识别全天最低节点电压及其节点、时段，并统计全天有功电能损耗。节点净负荷按课件关系构造：</w:t>
      </w:r>
    </w:p>
    <w:p w14:paraId="14557E7E">
      <w:r>
        <w:rPr>
          <w:rFonts w:ascii="SimSun" w:hAnsi="SimSun" w:eastAsia="SimSun"/>
          <w:b w:val="0"/>
          <w:sz w:val="21"/>
        </w:rPr>
        <w:t>Pᵢ,ₜⁿᵉᵗ = αPᵢ,₀ˡᵒᵃᵈλₜˡᵒᵃᵈ − Pᵢ,ₜᵖᵛ； Qᵢ,ₜⁿᵉᵗ = αQᵢ,₀ˡᵒᵃᵈλₜˡᵒᵃᵈ。</w:t>
      </w:r>
    </w:p>
    <w:p w14:paraId="46859703">
      <w:pPr>
        <w:ind w:firstLine="420"/>
      </w:pPr>
      <w:r>
        <w:rPr>
          <w:rFonts w:ascii="SimSun" w:hAnsi="SimSun" w:eastAsia="SimSun"/>
          <w:b w:val="0"/>
          <w:sz w:val="21"/>
        </w:rPr>
        <w:t>其中α=1.036，λₜˡᵒᵃᵈ为典型日负荷归一化系数，Pᵢ,ₜᵖᵛ为光伏有功注入。光伏按单位功率因数运行，仅注入有功功率。每个时段均应从初始网络结构重新构造负荷，避免重复累乘。</w:t>
      </w:r>
    </w:p>
    <w:p w14:paraId="5F272FAE">
      <w:pPr>
        <w:spacing w:before="180" w:after="80"/>
      </w:pPr>
      <w:r>
        <w:rPr>
          <w:rFonts w:ascii="SimHei" w:hAnsi="SimHei" w:eastAsia="SimHei"/>
          <w:b/>
          <w:sz w:val="26"/>
        </w:rPr>
        <w:t>2.2 仿真结果与分析</w:t>
      </w:r>
    </w:p>
    <w:p w14:paraId="779EC891">
      <w:pPr>
        <w:jc w:val="center"/>
      </w:pPr>
      <w:r>
        <w:drawing>
          <wp:inline distT="0" distB="0" distL="114300" distR="114300">
            <wp:extent cx="5759450" cy="3483610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C8D2">
      <w:pPr>
        <w:jc w:val="center"/>
      </w:pPr>
      <w:r>
        <w:rPr>
          <w:rFonts w:ascii="SimSun" w:hAnsi="SimSun" w:eastAsia="SimSun"/>
          <w:b w:val="0"/>
          <w:sz w:val="19"/>
        </w:rPr>
        <w:t>图2-1 配电网24 h节点电压分布及最低电压位置</w:t>
      </w:r>
    </w:p>
    <w:p w14:paraId="5153BB20">
      <w:pPr>
        <w:ind w:firstLine="420"/>
      </w:pPr>
      <w:r>
        <w:rPr>
          <w:rFonts w:ascii="SimSun" w:hAnsi="SimSun" w:eastAsia="SimSun"/>
          <w:b w:val="0"/>
          <w:sz w:val="21"/>
        </w:rPr>
        <w:t>由图2-1标题可读出，全天最低节点电压为0.9568 p.u.，发生在节点9、第19 h。该时段处于晚间负荷高峰附近，负荷需求较大，线路传输电流和电压降落相应增加，因此薄弱节点更容易出现较低电压。图中节点电压整体约分布在0.96～1.01 p.u.范围内。</w:t>
      </w:r>
    </w:p>
    <w:p w14:paraId="059FC072">
      <w:pPr>
        <w:ind w:firstLine="420"/>
      </w:pPr>
      <w:r>
        <w:rPr>
          <w:rFonts w:ascii="SimSun" w:hAnsi="SimSun" w:eastAsia="SimSun"/>
          <w:b w:val="0"/>
          <w:sz w:val="21"/>
        </w:rPr>
        <w:t>本次提供的任务一图片没有标注全天电能损耗数值，因此本报告不推测网损结果；正式提交前应从MATPOWER逐时潮流输出或result_summary.mat中补录全天有功电能损耗（MWh）。</w:t>
      </w:r>
    </w:p>
    <w:p w14:paraId="4358400C">
      <w:pPr>
        <w:spacing w:before="180" w:after="80"/>
      </w:pPr>
      <w:r>
        <w:rPr>
          <w:rFonts w:ascii="SimHei" w:hAnsi="SimHei" w:eastAsia="SimHei"/>
          <w:b/>
          <w:sz w:val="26"/>
        </w:rPr>
        <w:t>2.3 思考题：增大负荷系数α后，午间与晚高峰电压及网损如何变化？</w:t>
      </w:r>
    </w:p>
    <w:p w14:paraId="1AECC62F">
      <w:pPr>
        <w:ind w:firstLine="420"/>
      </w:pPr>
      <w:r>
        <w:rPr>
          <w:rFonts w:ascii="SimSun" w:hAnsi="SimSun" w:eastAsia="SimSun"/>
          <w:b w:val="0"/>
          <w:sz w:val="21"/>
        </w:rPr>
        <w:t>α增大时，各节点有功、无功负荷按比例增加。午间光伏出力较高，光伏注入能够抵消部分有功负荷，因此午间电压受负荷增加的影响可能相对较弱；但若光伏不足以抵消新增负荷，电压仍会下降。晚高峰光伏出力较低而负荷较大，增加α会提高线路传输功率和电流，使线路压降加剧，薄弱节点电压通常下降更明显。</w:t>
      </w:r>
    </w:p>
    <w:p w14:paraId="70BC778F">
      <w:pPr>
        <w:ind w:firstLine="420"/>
      </w:pPr>
      <w:r>
        <w:rPr>
          <w:rFonts w:ascii="SimSun" w:hAnsi="SimSun" w:eastAsia="SimSun"/>
          <w:b w:val="0"/>
          <w:sz w:val="21"/>
        </w:rPr>
        <w:t>线路有功损耗与电流平方及线路电阻有关，可近似表示为I²R。负荷系数增大通常会提高线路电流，因此全天有功网损一般随α增大而增加，且不一定呈简单线性关系。具体变化幅度应通过改变α并重新执行24 h潮流计算后比较。</w:t>
      </w:r>
    </w:p>
    <w:p w14:paraId="2216840A">
      <w:pPr>
        <w:spacing w:before="180" w:after="80"/>
      </w:pPr>
      <w:r>
        <w:rPr>
          <w:rFonts w:ascii="SimHei" w:hAnsi="SimHei" w:eastAsia="SimHei"/>
          <w:b/>
          <w:sz w:val="32"/>
        </w:rPr>
        <w:t>三、任务二：单节点储能分时电价套利</w:t>
      </w:r>
    </w:p>
    <w:p w14:paraId="37DCEC0D">
      <w:pPr>
        <w:spacing w:before="180" w:after="80"/>
      </w:pPr>
      <w:r>
        <w:rPr>
          <w:rFonts w:ascii="SimHei" w:hAnsi="SimHei" w:eastAsia="SimHei"/>
          <w:b/>
          <w:sz w:val="26"/>
        </w:rPr>
        <w:t>3.1 储能模型与优化目标</w:t>
      </w:r>
    </w:p>
    <w:p w14:paraId="6EA1333A">
      <w:pPr>
        <w:ind w:firstLine="420"/>
      </w:pPr>
      <w:r>
        <w:rPr>
          <w:rFonts w:ascii="SimSun" w:hAnsi="SimSun" w:eastAsia="SimSun"/>
          <w:b w:val="0"/>
          <w:sz w:val="21"/>
        </w:rPr>
        <w:t>任务二暂不考虑配电网潮流约束。课件给定额定功率2 MW、额定容量2 MWh，充电效率ηch=0.90、放电效率ηdis=0.95，SoC范围0.10～1.00，初始与日末SoC均为0.50。储能能量平衡方程为：</w:t>
      </w:r>
    </w:p>
    <w:p w14:paraId="2497E2BF">
      <w:r>
        <w:rPr>
          <w:rFonts w:ascii="SimSun" w:hAnsi="SimSun" w:eastAsia="SimSun"/>
          <w:b w:val="0"/>
          <w:sz w:val="21"/>
        </w:rPr>
        <w:t>Eₜ−Eₜ₋₁ = ηchPₜᶜʰΔt − (Pₜᵈⁱˢ/ηdis)Δt。</w:t>
      </w:r>
    </w:p>
    <w:p w14:paraId="41510632">
      <w:r>
        <w:rPr>
          <w:rFonts w:ascii="SimSun" w:hAnsi="SimSun" w:eastAsia="SimSun"/>
          <w:b w:val="0"/>
          <w:sz w:val="21"/>
        </w:rPr>
        <w:t>SoC递推方程为：SoCₜ = SoCₜ₋₁ + ηchPₜᶜʰΔt/Eᵣₐₜₑᵈ − PₜᵈⁱˢΔt/(ηdisEᵣₐₜₑᵈ)。</w:t>
      </w:r>
    </w:p>
    <w:p w14:paraId="1395B7CB">
      <w:pPr>
        <w:ind w:firstLine="420"/>
      </w:pPr>
      <w:r>
        <w:rPr>
          <w:rFonts w:ascii="SimSun" w:hAnsi="SimSun" w:eastAsia="SimSun"/>
          <w:b w:val="0"/>
          <w:sz w:val="21"/>
        </w:rPr>
        <w:t>优化目标为最大化全天充放电电费净收益F=Σₜcₜ(Pₜᵈⁱˢ−Pₜᶜʰ)Δt。二进制变量uₜ用于实现充放电互斥：充电功率不超过uₜPᵣₐₜₑᵈ，放电功率不超过(1−uₜ)Pᵣₐₜₑᵈ。</w:t>
      </w:r>
    </w:p>
    <w:p w14:paraId="1C9CDA3C">
      <w:pPr>
        <w:spacing w:before="180" w:after="80"/>
      </w:pPr>
      <w:r>
        <w:rPr>
          <w:rFonts w:ascii="SimHei" w:hAnsi="SimHei" w:eastAsia="SimHei"/>
          <w:b/>
          <w:sz w:val="26"/>
        </w:rPr>
        <w:t>3.2 仿真结果与分析</w:t>
      </w:r>
    </w:p>
    <w:p w14:paraId="0A71B477">
      <w:pPr>
        <w:jc w:val="center"/>
      </w:pPr>
      <w:r>
        <w:drawing>
          <wp:inline distT="0" distB="0" distL="114300" distR="114300">
            <wp:extent cx="5759450" cy="4199890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8537">
      <w:pPr>
        <w:jc w:val="center"/>
      </w:pPr>
      <w:r>
        <w:rPr>
          <w:rFonts w:ascii="SimSun" w:hAnsi="SimSun" w:eastAsia="SimSun"/>
          <w:b w:val="0"/>
          <w:sz w:val="19"/>
        </w:rPr>
        <w:t>图3-1 单节点储能充放电功率、分时电价及SoC时序变化</w:t>
      </w:r>
    </w:p>
    <w:p w14:paraId="3D05507C">
      <w:pPr>
        <w:ind w:firstLine="420"/>
      </w:pPr>
      <w:r>
        <w:rPr>
          <w:rFonts w:ascii="SimSun" w:hAnsi="SimSun" w:eastAsia="SimSun"/>
        </w:rPr>
        <w:t>图3-1上半部分给出了储能净充放电功率与分时电价。按图中功率正负号，正值表示净放电，负值表示净充电；储能在低价时段倾向于充电，在高价时段倾向于放电，以利用不同时段的电价差。图题标注的日最大净收益为1553.59元。下半部分为SoC时序曲线，反映充放电过程中储能内部能量状态的变化。需要特别核对的是：图中SoC曲线在若干时段降至0%，而课件给定的SoC下限为0.10（10%），两者存在明显不一致。正式提交前应检查程序中的SoC下限约束、绘图数据索引及单位换算；在核实前，不能据此认定该SoC轨迹满足课件约束。</w:t>
      </w:r>
    </w:p>
    <w:p w14:paraId="2F28E9CF">
      <w:pPr>
        <w:ind w:firstLine="420"/>
      </w:pPr>
      <w:r>
        <w:rPr>
          <w:rFonts w:ascii="SimSun" w:hAnsi="SimSun" w:eastAsia="SimSun"/>
          <w:b w:val="0"/>
          <w:sz w:val="21"/>
        </w:rPr>
        <w:t>由于充放电效率均小于1，储能完成一次充放电循环后存在能量损耗，需要利用电价差覆盖效率损失才可能获得正收益。日末SoC恢复至初始值，可以避免将初始存储电量作为免费电量耗尽。</w:t>
      </w:r>
    </w:p>
    <w:p w14:paraId="6A1D8788">
      <w:pPr>
        <w:spacing w:before="180" w:after="80"/>
      </w:pPr>
      <w:r>
        <w:rPr>
          <w:rFonts w:ascii="SimHei" w:hAnsi="SimHei" w:eastAsia="SimHei"/>
          <w:b/>
          <w:sz w:val="26"/>
        </w:rPr>
        <w:t>3.3 思考题一：充入1 MWh电量后可售出多少电量？</w:t>
      </w:r>
    </w:p>
    <w:p w14:paraId="0B1EC1E8">
      <w:pPr>
        <w:ind w:firstLine="420"/>
      </w:pPr>
      <w:r>
        <w:rPr>
          <w:rFonts w:ascii="SimSun" w:hAnsi="SimSun" w:eastAsia="SimSun"/>
          <w:b w:val="0"/>
          <w:sz w:val="21"/>
        </w:rPr>
        <w:t>充电输入1 MWh，充电效率为0.90，实际存入电池的能量为1×0.90=0.90 MWh。放电效率为0.95，因此可向电网输出0.90×0.95=0.855 MWh。最终可售出电量为0.855 MWh，往返效率为85.5%。</w:t>
      </w:r>
    </w:p>
    <w:p w14:paraId="53FFE94E">
      <w:pPr>
        <w:spacing w:before="180" w:after="80"/>
      </w:pPr>
      <w:r>
        <w:rPr>
          <w:rFonts w:ascii="SimHei" w:hAnsi="SimHei" w:eastAsia="SimHei"/>
          <w:b/>
          <w:sz w:val="26"/>
        </w:rPr>
        <w:t>3.4 思考题二：保留与取消充放电互斥变量有何差异？</w:t>
      </w:r>
    </w:p>
    <w:p w14:paraId="5B062466">
      <w:pPr>
        <w:ind w:firstLine="420"/>
      </w:pPr>
      <w:r>
        <w:rPr>
          <w:rFonts w:ascii="SimSun" w:hAnsi="SimSun" w:eastAsia="SimSun"/>
          <w:b w:val="0"/>
          <w:sz w:val="21"/>
        </w:rPr>
        <w:t>保留互斥变量时，模型含有二进制状态变量，属于MILP；取消互斥变量后，仅含连续变量，可按LP求解。在正电价、往返效率小于1且不考虑配电网潮流约束的条件下，同时充电和放电会造成额外能量损耗，不能提高净收益，因此最优解通常不会主动同时充放电。课件示例中两种模型的最优收益一致，均为1553.59元。</w:t>
      </w:r>
    </w:p>
    <w:p w14:paraId="4F71888C">
      <w:pPr>
        <w:ind w:firstLine="420"/>
      </w:pPr>
      <w:r>
        <w:rPr>
          <w:rFonts w:ascii="SimSun" w:hAnsi="SimSun" w:eastAsia="SimSun"/>
          <w:b w:val="0"/>
          <w:sz w:val="21"/>
        </w:rPr>
        <w:t>该结论依赖于上述条件。若引入配电网潮流约束或其他耦合约束，取消互斥变量可能产生不符合设备实际运行逻辑的同时充放电，因此任务三仍应保留互斥约束。</w:t>
      </w:r>
    </w:p>
    <w:p w14:paraId="386D42C5">
      <w:pPr>
        <w:spacing w:before="180" w:after="80"/>
      </w:pPr>
      <w:r>
        <w:rPr>
          <w:rFonts w:ascii="SimHei" w:hAnsi="SimHei" w:eastAsia="SimHei"/>
          <w:b/>
          <w:sz w:val="26"/>
        </w:rPr>
        <w:t>3.5 思考题三：额定功率与额定容量变化对收益的影响</w:t>
      </w:r>
    </w:p>
    <w:p w14:paraId="5D9DC433">
      <w:pPr>
        <w:ind w:firstLine="420"/>
      </w:pPr>
      <w:r>
        <w:rPr>
          <w:rFonts w:ascii="SimSun" w:hAnsi="SimSun" w:eastAsia="SimSun"/>
          <w:b w:val="0"/>
          <w:sz w:val="21"/>
        </w:rPr>
        <w:t>额定功率决定每个时段最大充放电功率，额定容量决定可存储的总能量。功率较小时，储能可能无法在有限低价时段内充分充电，或无法在高价时段充分放电；容量较小时，SoC可能较快达到上限或下限，无法持续充放电。适当提高功率或容量通常能够扩大可调度空间，但当另一项参数成为瓶颈，或峰谷价差和时段长度已经限制运行时，继续增大设备参数带来的收益提升会减小。应分别改变额定功率和额定容量开展灵敏度试验。</w:t>
      </w:r>
    </w:p>
    <w:p w14:paraId="23BE181F">
      <w:pPr>
        <w:spacing w:before="180" w:after="80"/>
      </w:pPr>
      <w:r>
        <w:rPr>
          <w:rFonts w:ascii="SimHei" w:hAnsi="SimHei" w:eastAsia="SimHei"/>
          <w:b/>
          <w:sz w:val="32"/>
        </w:rPr>
        <w:t>四、任务三：计及配电网约束的储能日前优化调度</w:t>
      </w:r>
    </w:p>
    <w:p w14:paraId="0B31E9E7">
      <w:pPr>
        <w:spacing w:before="180" w:after="80"/>
      </w:pPr>
      <w:r>
        <w:rPr>
          <w:rFonts w:ascii="SimHei" w:hAnsi="SimHei" w:eastAsia="SimHei"/>
          <w:b/>
          <w:sz w:val="26"/>
        </w:rPr>
        <w:t>4.1 场景设置与模型</w:t>
      </w:r>
    </w:p>
    <w:p w14:paraId="57131197">
      <w:pPr>
        <w:ind w:firstLine="420"/>
      </w:pPr>
      <w:r>
        <w:rPr>
          <w:rFonts w:ascii="SimSun" w:hAnsi="SimSun" w:eastAsia="SimSun"/>
          <w:b w:val="0"/>
          <w:sz w:val="21"/>
        </w:rPr>
        <w:t>本任务采用模型A，候选节点为4、9、14。课件给定三个节点各接入1.2 MW光伏，并配置1.5 MW/3 MWh储能；ηch=0.90、ηdis=0.95，SoC范围0.20～0.80，初始与日末SoC均为0.50，节点电压范围为0.95～1.05 p.u.。</w:t>
      </w:r>
    </w:p>
    <w:p w14:paraId="0717D013">
      <w:pPr>
        <w:ind w:firstLine="420"/>
      </w:pPr>
      <w:r>
        <w:rPr>
          <w:rFonts w:ascii="SimSun" w:hAnsi="SimSun" w:eastAsia="SimSun"/>
          <w:b w:val="0"/>
          <w:sz w:val="21"/>
        </w:rPr>
        <w:t>模型A以最小化弃光电量为主要目标，并加入网损惩罚项：min F_A=Ecurt+0.01Eloss。模型采用DistFlow支路潮流关系，包含节点有功、无功平衡、支路电压降落、支路功率与电流平方关系，以及光伏、储能和电压边界。将非凸关系P²+Q²=UL松弛为P²+Q²≤UL，并写成标准二阶锥形式，结合充放电互斥二进制变量，构成MISOCP。</w:t>
      </w:r>
    </w:p>
    <w:p w14:paraId="4BF3F149">
      <w:pPr>
        <w:spacing w:before="180" w:after="80"/>
      </w:pPr>
      <w:r>
        <w:rPr>
          <w:rFonts w:ascii="SimHei" w:hAnsi="SimHei" w:eastAsia="SimHei"/>
          <w:b/>
          <w:sz w:val="26"/>
        </w:rPr>
        <w:t>4.2 仿真结果与分析</w:t>
      </w:r>
    </w:p>
    <w:p w14:paraId="61602DFB">
      <w:pPr>
        <w:jc w:val="center"/>
      </w:pPr>
      <w:r>
        <w:drawing>
          <wp:inline distT="0" distB="0" distL="114300" distR="114300">
            <wp:extent cx="5759450" cy="4345940"/>
            <wp:effectExtent l="0" t="0" r="127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E37C">
      <w:pPr>
        <w:jc w:val="center"/>
      </w:pPr>
      <w:r>
        <w:rPr>
          <w:rFonts w:ascii="SimSun" w:hAnsi="SimSun" w:eastAsia="SimSun"/>
          <w:b w:val="0"/>
          <w:sz w:val="19"/>
        </w:rPr>
        <w:t>图4-1 模型A下候选节点4、9、14储能功率与SoC时序变化</w:t>
      </w:r>
    </w:p>
    <w:p w14:paraId="6369C948">
      <w:pPr>
        <w:ind w:firstLine="420"/>
      </w:pPr>
      <w:r>
        <w:rPr>
          <w:rFonts w:ascii="SimSun" w:hAnsi="SimSun" w:eastAsia="SimSun"/>
          <w:b w:val="0"/>
          <w:sz w:val="21"/>
        </w:rPr>
        <w:t>图4-1(a)展示节点4、9、14储能功率时序。按图中符号约定，正值对应放电，负值对应充电；储能在部分时段吸收电能，在其他时段向配电网释放电能。图4-1(b)展示三个候选节点的SoC变化，曲线总体处于20%～80%的运行区间内，反映了能量状态约束对充放电安排的限制。</w:t>
      </w:r>
    </w:p>
    <w:p w14:paraId="59438455">
      <w:pPr>
        <w:ind w:firstLine="420"/>
      </w:pPr>
      <w:r>
        <w:rPr>
          <w:rFonts w:ascii="SimSun" w:hAnsi="SimSun" w:eastAsia="SimSun"/>
          <w:b w:val="0"/>
          <w:sz w:val="21"/>
        </w:rPr>
        <w:t>模型A的调度重点是尽可能利用储能吸收光伏出力较高时段的富余电能，从而减少弃光。与单节点套利不同，任务三的充放电决策不仅由电价决定，还受到节点位置、支路潮流、节点电压、光伏出力和SoC等因素共同影响，因此不同节点的功率曲线和SoC轨迹并不必然相同。</w:t>
      </w:r>
    </w:p>
    <w:p w14:paraId="003F311D">
      <w:pPr>
        <w:ind w:firstLine="420"/>
      </w:pPr>
      <w:r>
        <w:rPr>
          <w:rFonts w:ascii="SimSun" w:hAnsi="SimSun" w:eastAsia="SimSun"/>
          <w:b w:val="0"/>
          <w:sz w:val="21"/>
        </w:rPr>
        <w:t>当前提供的任务三图片仅包含储能功率与SoC曲线，未包含交流潮流回代后的全网电压曲线、最大二阶锥松弛间隙、弃光电量及网损统计值。本报告不对这些未显示指标编造数值。若报告要求完整呈现任务三校核结果，应从优化程序输出中补充，并说明MATPOWER交流潮流回代是否满足0.95～1.05 p.u.电压范围。</w:t>
      </w:r>
    </w:p>
    <w:p w14:paraId="0777795C">
      <w:pPr>
        <w:spacing w:before="180" w:after="80"/>
      </w:pPr>
      <w:r>
        <w:rPr>
          <w:rFonts w:ascii="SimHei" w:hAnsi="SimHei" w:eastAsia="SimHei"/>
          <w:b/>
          <w:sz w:val="26"/>
        </w:rPr>
        <w:t>4.3 思考题：计算给定数据下的二阶锥松弛间隙</w:t>
      </w:r>
    </w:p>
    <w:p w14:paraId="38868110">
      <w:pPr>
        <w:ind w:firstLine="420"/>
      </w:pPr>
      <w:r>
        <w:rPr>
          <w:rFonts w:ascii="SimSun" w:hAnsi="SimSun" w:eastAsia="SimSun"/>
          <w:b w:val="0"/>
          <w:sz w:val="21"/>
        </w:rPr>
        <w:t>课件给定U=1.00、L=0.02、P=0.10、Q=0.05，松弛间隙g=|UL−P²−Q²|。</w:t>
      </w:r>
    </w:p>
    <w:p w14:paraId="610048ED">
      <w:r>
        <w:rPr>
          <w:rFonts w:ascii="SimSun" w:hAnsi="SimSun" w:eastAsia="SimSun"/>
          <w:b w:val="0"/>
          <w:sz w:val="21"/>
        </w:rPr>
        <w:t>UL=1.00×0.02=0.0200；P²+Q²=0.10²+0.05²=0.0100+0.0025=0.0125。</w:t>
      </w:r>
    </w:p>
    <w:p w14:paraId="16F6D6F1">
      <w:pPr>
        <w:ind w:firstLine="420"/>
      </w:pPr>
      <w:r>
        <w:rPr>
          <w:rFonts w:ascii="SimSun" w:hAnsi="SimSun" w:eastAsia="SimSun"/>
          <w:b w:val="0"/>
          <w:sz w:val="21"/>
        </w:rPr>
        <w:t>因此g=|0.0200−0.0125|=0.0075。间隙大于0，说明这组给定数值下松弛不等式未取等号。求解后应逐支路、逐时段检查间隙；若间隙足够小，说明松弛具有较好的精确性，若间隙较大，则需进一步检查，并通过交流潮流回代验证真实运行电压。</w:t>
      </w:r>
    </w:p>
    <w:p w14:paraId="4F77D7C4">
      <w:pPr>
        <w:spacing w:before="180" w:after="80"/>
      </w:pPr>
      <w:r>
        <w:rPr>
          <w:rFonts w:ascii="SimHei" w:hAnsi="SimHei" w:eastAsia="SimHei"/>
          <w:b/>
          <w:sz w:val="26"/>
        </w:rPr>
        <w:t>4.4 任务三结果校核要点</w:t>
      </w:r>
    </w:p>
    <w:p w14:paraId="289DD01C">
      <w:pPr>
        <w:ind w:firstLine="420"/>
      </w:pPr>
      <w:r>
        <w:rPr>
          <w:rFonts w:ascii="SimSun" w:hAnsi="SimSun" w:eastAsia="SimSun"/>
          <w:b w:val="0"/>
          <w:sz w:val="21"/>
        </w:rPr>
        <w:t>求解后应依次核验：一是储能充放电互斥是否成立；二是逐支路、逐时段计算二阶锥松弛间隙；三是将优化得到的光伏出力和储能功率回代MATPOWER进行交流潮流计算，检查节点电压是否满足安全范围。优化模型中的电压可行并不自动等同于交流潮流校核合格，二者需要分别报告。</w:t>
      </w:r>
    </w:p>
    <w:p w14:paraId="0DA48B81">
      <w:pPr>
        <w:spacing w:before="180" w:after="80"/>
      </w:pPr>
      <w:r>
        <w:rPr>
          <w:rFonts w:ascii="SimHei" w:hAnsi="SimHei" w:eastAsia="SimHei"/>
          <w:b/>
          <w:sz w:val="32"/>
        </w:rPr>
        <w:t>五、三项任务的联系与综合认识</w:t>
      </w:r>
    </w:p>
    <w:p w14:paraId="51A5ED69">
      <w:pPr>
        <w:ind w:firstLine="420"/>
      </w:pPr>
      <w:r>
        <w:rPr>
          <w:rFonts w:ascii="SimSun" w:hAnsi="SimSun" w:eastAsia="SimSun"/>
          <w:b w:val="0"/>
          <w:sz w:val="21"/>
        </w:rPr>
        <w:t>三项任务由简到繁，构成从配电网运行状态分析到储能经济运行、再到储能与配电网协同优化的递进过程。任务一提供无储能条件下的节点电压与网损基准，帮助识别电压薄弱时段和节点；任务二从单设备角度说明储能如何利用分时电价安排充放电；任务三把储能放入实际配电网，考虑潮流和电压安全约束，使储能运行同时服务于光伏消纳和配电网安全。</w:t>
      </w:r>
    </w:p>
    <w:p w14:paraId="5CFF616F">
      <w:pPr>
        <w:ind w:firstLine="420"/>
      </w:pPr>
      <w:r>
        <w:rPr>
          <w:rFonts w:ascii="SimSun" w:hAnsi="SimSun" w:eastAsia="SimSun"/>
          <w:b w:val="0"/>
          <w:sz w:val="21"/>
        </w:rPr>
        <w:t>储能充电会增加接入节点净负荷，可能加剧局部电压下降；但在光伏出力较高、存在反向潮流或弃光风险的时段，充电也可以吸收富余光伏电量。储能放电能够抵消部分节点负荷、支撑电压，但实际效果取决于接入位置和网络潮流分布。因此，储能调度不能只考虑电价，还需综合考虑网络位置、设备约束和系统运行目标。</w:t>
      </w:r>
    </w:p>
    <w:p w14:paraId="4A3DB4C2">
      <w:pPr>
        <w:spacing w:before="180" w:after="80"/>
      </w:pPr>
      <w:r>
        <w:rPr>
          <w:rFonts w:ascii="SimHei" w:hAnsi="SimHei" w:eastAsia="SimHei"/>
          <w:b/>
          <w:sz w:val="32"/>
        </w:rPr>
        <w:t>六、结论</w:t>
      </w:r>
    </w:p>
    <w:p w14:paraId="0BB42FA9">
      <w:pPr>
        <w:ind w:firstLine="420"/>
      </w:pPr>
      <w:r>
        <w:rPr>
          <w:rFonts w:ascii="SimSun" w:hAnsi="SimSun" w:eastAsia="SimSun"/>
          <w:b w:val="0"/>
          <w:sz w:val="21"/>
        </w:rPr>
        <w:t>（1）根据学号206231318，个人算例为农村配电网49节点，负荷系数α=1.036；任务三采用模型A，候选节点为4、9、14。</w:t>
      </w:r>
    </w:p>
    <w:p w14:paraId="5E24D51D">
      <w:pPr>
        <w:ind w:firstLine="420"/>
      </w:pPr>
      <w:r>
        <w:rPr>
          <w:rFonts w:ascii="SimSun" w:hAnsi="SimSun" w:eastAsia="SimSun"/>
          <w:b w:val="0"/>
          <w:sz w:val="21"/>
        </w:rPr>
        <w:t>（2）任务一仿真图显示最低节点电压为0.9568 p.u.，发生在节点9、第19 h。增大负荷系数通常会加剧晚高峰电压下降，并使全天网损增加；全天网损具体数值需从潮流计算结果中补录。</w:t>
      </w:r>
    </w:p>
    <w:p w14:paraId="7C76CDD7">
      <w:pPr>
        <w:ind w:firstLine="420"/>
      </w:pPr>
      <w:r>
        <w:rPr>
          <w:rFonts w:ascii="SimSun" w:hAnsi="SimSun" w:eastAsia="SimSun"/>
          <w:b w:val="0"/>
          <w:sz w:val="21"/>
        </w:rPr>
        <w:t>（3）任务二仿真图标注日最大净收益为1553.59元。充入1 MWh电量后，考虑充放电效率，最终可向电网售出0.855 MWh。</w:t>
      </w:r>
    </w:p>
    <w:p w14:paraId="4DE3D271">
      <w:pPr>
        <w:ind w:firstLine="420"/>
      </w:pPr>
      <w:r>
        <w:rPr>
          <w:rFonts w:ascii="SimSun" w:hAnsi="SimSun" w:eastAsia="SimSun"/>
          <w:b w:val="0"/>
          <w:sz w:val="21"/>
        </w:rPr>
        <w:t>（4）任务三模型A以减少弃光为主要目标。所提供仿真图展示了节点4、9、14储能功率与SoC轨迹；思考题给定数据对应的二阶锥松弛间隙为0.0075。</w:t>
      </w:r>
    </w:p>
    <w:p w14:paraId="3D821F01">
      <w:pPr>
        <w:spacing w:before="180" w:after="80"/>
      </w:pPr>
      <w:r>
        <w:rPr>
          <w:rFonts w:ascii="SimHei" w:hAnsi="SimHei" w:eastAsia="SimHei"/>
          <w:b/>
          <w:sz w:val="32"/>
        </w:rPr>
        <w:t>参考资料</w:t>
      </w:r>
    </w:p>
    <w:p w14:paraId="38496879">
      <w:r>
        <w:rPr>
          <w:rFonts w:ascii="SimSun" w:hAnsi="SimSun" w:eastAsia="SimSun"/>
          <w:b w:val="0"/>
          <w:sz w:val="21"/>
        </w:rPr>
        <w:t>吴涵：《储能优化规划与运行——配电网潮流计算、储能调度与选址定容》课程课件，任务一至任务三相关章节。</w:t>
      </w:r>
    </w:p>
    <w:p w14:paraId="6B33A5E5">
      <w:r>
        <w:rPr>
          <w:rFonts w:ascii="SimSun" w:hAnsi="SimSun" w:eastAsia="SimSun"/>
          <w:b w:val="0"/>
          <w:sz w:val="21"/>
        </w:rPr>
        <w:t>本人提供的MATLAB/MATPOWER/YALMIP仿真结果图：配电网24 h节点电压分布图、单节点储能套利结果图、模型A候选节点储能日前调度图。</w:t>
      </w:r>
    </w:p>
    <w:p w14:paraId="47DE27E9">
      <w:bookmarkStart w:id="0" w:name="_GoBack"/>
      <w:bookmarkEnd w:id="0"/>
    </w:p>
    <w:sectPr>
      <w:footerReference r:id="rId6" w:type="default"/>
      <w:headerReference r:id="rId5" w:type="even"/>
      <w:footerReference r:id="rId7" w:type="even"/>
      <w:type w:val="continuous"/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KaiTi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altName w:val="Arial Unicode MS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953A9">
    <w:pPr>
      <w:jc w:val="center"/>
    </w:pPr>
    <w:r>
      <w:rPr>
        <w:rFonts w:ascii="SimSun" w:hAnsi="SimSun" w:eastAsia="SimSun"/>
        <w:b w:val="0"/>
        <w:sz w:val="17"/>
      </w:rPr>
      <w:t xml:space="preserve">储能优化规划与运行课程设计报告  |  </w:t>
    </w:r>
    <w:r>
      <w:rPr>
        <w:rFonts w:ascii="SimSun" w:hAnsi="SimSun" w:eastAsia="SimSun"/>
        <w:b w:val="0"/>
        <w:sz w:val="17"/>
      </w:rPr>
      <w:fldChar w:fldCharType="begin"/>
    </w:r>
    <w:r>
      <w:rPr>
        <w:rFonts w:ascii="SimSun" w:hAnsi="SimSun" w:eastAsia="SimSun"/>
        <w:b w:val="0"/>
        <w:sz w:val="17"/>
      </w:rPr>
      <w:instrText xml:space="preserve"> PAGE </w:instrText>
    </w:r>
    <w:r>
      <w:rPr>
        <w:rFonts w:ascii="SimSun" w:hAnsi="SimSun" w:eastAsia="SimSun"/>
        <w:b w:val="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3DC30">
    <w:pPr>
      <w:framePr w:wrap="around" w:vAnchor="text" w:hAnchor="margin" w:xAlign="center" w:y="1"/>
      <w:snapToGrid w:val="0"/>
      <w:jc w:val="left"/>
      <w:rPr>
        <w:rStyle w:val="7"/>
        <w:sz w:val="18"/>
        <w:szCs w:val="18"/>
      </w:rPr>
    </w:pPr>
    <w:r>
      <w:rPr>
        <w:rStyle w:val="7"/>
        <w:sz w:val="18"/>
        <w:szCs w:val="18"/>
      </w:rPr>
      <w:fldChar w:fldCharType="begin"/>
    </w:r>
    <w:r>
      <w:rPr>
        <w:rStyle w:val="7"/>
        <w:sz w:val="18"/>
        <w:szCs w:val="18"/>
      </w:rPr>
      <w:instrText xml:space="preserve">PAGE  </w:instrText>
    </w:r>
    <w:r>
      <w:rPr>
        <w:rStyle w:val="7"/>
        <w:sz w:val="18"/>
        <w:szCs w:val="18"/>
      </w:rPr>
      <w:fldChar w:fldCharType="end"/>
    </w:r>
  </w:p>
  <w:p w14:paraId="22FF684A">
    <w:pPr>
      <w:snapToGrid w:val="0"/>
      <w:jc w:val="lef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0F6A5">
    <w:pPr>
      <w:pBdr>
        <w:bottom w:val="none" w:color="auto" w:sz="0" w:space="1"/>
      </w:pBdr>
      <w:snapToGrid w:val="0"/>
      <w:jc w:val="cent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wMLE0MTA1MDQ3MTdU0lEKTi0uzszPAykwqgUAjzphvywAAAA="/>
    <w:docVar w:name="commondata" w:val="eyJoZGlkIjoiMzEwNTM5NzYwMDRjMzkwZTVkZjY2ODkwMGIxNGU0OTUifQ=="/>
  </w:docVars>
  <w:rsids>
    <w:rsidRoot w:val="005D7859"/>
    <w:rsid w:val="00014ED1"/>
    <w:rsid w:val="00036067"/>
    <w:rsid w:val="0006698F"/>
    <w:rsid w:val="000A1C8B"/>
    <w:rsid w:val="000F4CE4"/>
    <w:rsid w:val="001416CA"/>
    <w:rsid w:val="00184636"/>
    <w:rsid w:val="001C6D0E"/>
    <w:rsid w:val="002324E5"/>
    <w:rsid w:val="002479F3"/>
    <w:rsid w:val="00263CA0"/>
    <w:rsid w:val="00266B13"/>
    <w:rsid w:val="00272526"/>
    <w:rsid w:val="002A3B6B"/>
    <w:rsid w:val="002D0E2D"/>
    <w:rsid w:val="00322DC3"/>
    <w:rsid w:val="00332623"/>
    <w:rsid w:val="003607A1"/>
    <w:rsid w:val="003E4BA4"/>
    <w:rsid w:val="00466218"/>
    <w:rsid w:val="00483194"/>
    <w:rsid w:val="00486B5B"/>
    <w:rsid w:val="004B7CFB"/>
    <w:rsid w:val="005509EF"/>
    <w:rsid w:val="005D2219"/>
    <w:rsid w:val="005D7859"/>
    <w:rsid w:val="005F0DB6"/>
    <w:rsid w:val="006062D1"/>
    <w:rsid w:val="00692F4E"/>
    <w:rsid w:val="006B2641"/>
    <w:rsid w:val="00757D62"/>
    <w:rsid w:val="00774591"/>
    <w:rsid w:val="007947DE"/>
    <w:rsid w:val="007D4B1A"/>
    <w:rsid w:val="007E56A8"/>
    <w:rsid w:val="008578E2"/>
    <w:rsid w:val="00892EF8"/>
    <w:rsid w:val="008B7B70"/>
    <w:rsid w:val="00912B28"/>
    <w:rsid w:val="00933D15"/>
    <w:rsid w:val="00940A55"/>
    <w:rsid w:val="009453E3"/>
    <w:rsid w:val="00952A2F"/>
    <w:rsid w:val="00962ED2"/>
    <w:rsid w:val="00972519"/>
    <w:rsid w:val="009B0EE9"/>
    <w:rsid w:val="009D0799"/>
    <w:rsid w:val="00A05F1B"/>
    <w:rsid w:val="00A11DA2"/>
    <w:rsid w:val="00A13E21"/>
    <w:rsid w:val="00A63135"/>
    <w:rsid w:val="00AB348A"/>
    <w:rsid w:val="00AE4BAB"/>
    <w:rsid w:val="00B140AE"/>
    <w:rsid w:val="00B1491E"/>
    <w:rsid w:val="00C04D0E"/>
    <w:rsid w:val="00C04D55"/>
    <w:rsid w:val="00C20450"/>
    <w:rsid w:val="00C40C8D"/>
    <w:rsid w:val="00C66812"/>
    <w:rsid w:val="00CA573C"/>
    <w:rsid w:val="00CA7BCB"/>
    <w:rsid w:val="00CF385E"/>
    <w:rsid w:val="00D26081"/>
    <w:rsid w:val="00D41CBD"/>
    <w:rsid w:val="00D9649E"/>
    <w:rsid w:val="00E137F6"/>
    <w:rsid w:val="00EB5380"/>
    <w:rsid w:val="00ED0EA0"/>
    <w:rsid w:val="00EE55C9"/>
    <w:rsid w:val="00F053CD"/>
    <w:rsid w:val="00F1367B"/>
    <w:rsid w:val="00F40B03"/>
    <w:rsid w:val="00FB3FFE"/>
    <w:rsid w:val="00FD24A0"/>
    <w:rsid w:val="00FD3D43"/>
    <w:rsid w:val="1C9B627A"/>
    <w:rsid w:val="1F042241"/>
    <w:rsid w:val="548D0188"/>
    <w:rsid w:val="6886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line="348" w:lineRule="auto"/>
      <w:jc w:val="both"/>
    </w:pPr>
    <w:rPr>
      <w:rFonts w:ascii="SimSun" w:hAnsi="SimSun" w:eastAsia="SimSun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日期 字符"/>
    <w:basedOn w:val="6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1535</Words>
  <Characters>1854</Characters>
  <Lines>2</Lines>
  <Paragraphs>1</Paragraphs>
  <TotalTime>1</TotalTime>
  <ScaleCrop>false</ScaleCrop>
  <LinksUpToDate>false</LinksUpToDate>
  <CharactersWithSpaces>1939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2026-10-28T10:30:00Z</dcterms:created>
  <dc:creator>xiaoyee@yeah.net</dc:creator>
  <cp:lastModifiedBy>WPS_1695309476</cp:lastModifiedBy>
  <dcterms:modified xsi:type="dcterms:W3CDTF">2026-10-30T08:34:10Z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C93FB023C38D43CABB28BCAA3F0D34D2_12</vt:lpwstr>
  </property>
  <property fmtid="{D5CDD505-2E9C-101B-9397-08002B2CF9AE}" pid="4" name="KSOTemplateDocerSaveRecord">
    <vt:lpwstr>eyJoZGlkIjoiMmVjNzVjNWIxZDIwZGM2ZGZmYTNkMTVhNDZmN2ZkNzMiLCJ1c2VySWQiOiIxNTM0MjU0MzkyIn0=</vt:lpwstr>
  </property>
</Properties>
</file>