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D">
      <w:pPr>
        <w:spacing w:before="156" w:beforeLines="50" w:after="62" w:afterLines="20" w:line="360" w:lineRule="auto"/>
        <w:jc w:val="center"/>
        <w:rPr>
          <w:rFonts w:ascii="Times New Roman" w:hAnsi="Times New Roman" w:eastAsia="楷体_GB2312" w:cs="Times New Roman"/>
          <w:color w:val="0000FF"/>
          <w:sz w:val="60"/>
          <w:szCs w:val="24"/>
        </w:rPr>
      </w:pPr>
      <w:r>
        <w:rPr>
          <w:rFonts w:hint="eastAsia" w:ascii="Times New Roman" w:hAnsi="Times New Roman" w:eastAsia="楷体_GB2312" w:cs="Times New Roman"/>
          <w:sz w:val="60"/>
          <w:szCs w:val="24"/>
        </w:rPr>
        <w:drawing>
          <wp:inline distT="0" distB="0" distL="114300" distR="114300">
            <wp:extent cx="2512695" cy="59436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E">
      <w:pPr>
        <w:spacing w:before="156" w:beforeLines="50" w:after="312" w:afterLines="100" w:line="800" w:lineRule="exact"/>
        <w:jc w:val="center"/>
        <w:rPr>
          <w:rFonts w:ascii="黑体" w:hAnsi="Times New Roman" w:eastAsia="黑体" w:cs="Times New Roman"/>
          <w:sz w:val="48"/>
          <w:szCs w:val="44"/>
        </w:rPr>
      </w:pPr>
      <w:r>
        <w:rPr>
          <w:rFonts w:hint="eastAsia" w:ascii="黑体" w:hAnsi="Times New Roman" w:eastAsia="黑体" w:cs="Times New Roman"/>
          <w:sz w:val="48"/>
          <w:szCs w:val="44"/>
        </w:rPr>
        <w:t>课程设计报告</w:t>
      </w:r>
    </w:p>
    <w:p w14:paraId="0000000F">
      <w:pPr>
        <w:spacing w:before="156" w:beforeLines="50" w:after="312" w:afterLines="100" w:line="800" w:lineRule="exact"/>
        <w:jc w:val="center"/>
        <w:rPr>
          <w:rFonts w:ascii="黑体" w:hAnsi="Times New Roman" w:eastAsia="黑体" w:cs="Times New Roman"/>
          <w:sz w:val="44"/>
          <w:szCs w:val="44"/>
        </w:rPr>
      </w:pPr>
    </w:p>
    <w:p w14:paraId="00000010">
      <w:pPr>
        <w:spacing w:line="800" w:lineRule="exact"/>
        <w:ind w:left="840" w:leftChars="400" w:right="735" w:rightChars="350"/>
        <w:rPr>
          <w:rFonts w:ascii="Times New Roman" w:hAnsi="Times New Roman" w:eastAsia="宋体" w:cs="Times New Roman"/>
          <w:sz w:val="30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24"/>
        </w:rPr>
        <w:t>课程名称：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  <w:lang w:val="en-US" w:eastAsia="zh-CN"/>
        </w:rPr>
        <w:t>储能优化规划与运行课程设计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ascii="楷体_GB2312" w:hAnsi="Times New Roman" w:eastAsia="宋体" w:cs="Times New Roman"/>
          <w:sz w:val="32"/>
          <w:szCs w:val="24"/>
          <w:u w:val="single"/>
        </w:rPr>
        <w:t xml:space="preserve">     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ascii="楷体_GB2312" w:hAnsi="Times New Roman" w:eastAsia="宋体" w:cs="Times New Roman"/>
          <w:sz w:val="32"/>
          <w:szCs w:val="24"/>
          <w:u w:val="single"/>
        </w:rPr>
        <w:t xml:space="preserve">   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</w:t>
      </w:r>
    </w:p>
    <w:p w14:paraId="00000011">
      <w:pPr>
        <w:spacing w:line="800" w:lineRule="exact"/>
        <w:ind w:left="840" w:leftChars="400" w:right="735" w:rightChars="350"/>
        <w:rPr>
          <w:rFonts w:ascii="Times New Roman" w:hAnsi="Times New Roman" w:eastAsia="宋体" w:cs="Times New Roman"/>
          <w:sz w:val="30"/>
          <w:szCs w:val="24"/>
        </w:rPr>
      </w:pPr>
      <w:r>
        <w:rPr>
          <w:rFonts w:hint="eastAsia" w:ascii="Times New Roman" w:hAnsi="Times New Roman" w:eastAsia="宋体" w:cs="Times New Roman"/>
          <w:sz w:val="30"/>
          <w:szCs w:val="24"/>
        </w:rPr>
        <w:t>班级名称</w:t>
      </w:r>
      <w:r>
        <w:rPr>
          <w:rFonts w:hint="eastAsia" w:ascii="Times New Roman" w:hAnsi="Times New Roman" w:eastAsia="宋体" w:cs="Times New Roman"/>
          <w:kern w:val="0"/>
          <w:sz w:val="30"/>
          <w:szCs w:val="24"/>
        </w:rPr>
        <w:t>：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 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  <w:lang w:val="en-US" w:eastAsia="zh-CN"/>
        </w:rPr>
        <w:t>储能231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24"/>
          <w:u w:val="single"/>
        </w:rPr>
        <w:t xml:space="preserve"> </w:t>
      </w:r>
      <w:r>
        <w:rPr>
          <w:rFonts w:ascii="宋体" w:hAnsi="宋体" w:eastAsia="宋体" w:cs="宋体"/>
          <w:sz w:val="32"/>
          <w:szCs w:val="24"/>
          <w:u w:val="single"/>
        </w:rPr>
        <w:t xml:space="preserve">                          </w:t>
      </w:r>
    </w:p>
    <w:p w14:paraId="00000012">
      <w:pPr>
        <w:spacing w:line="800" w:lineRule="exact"/>
        <w:ind w:left="840" w:leftChars="400" w:right="735" w:rightChars="350"/>
        <w:rPr>
          <w:rFonts w:ascii="Times New Roman" w:hAnsi="Times New Roman" w:eastAsia="宋体" w:cs="Times New Roman"/>
          <w:sz w:val="30"/>
          <w:szCs w:val="24"/>
          <w:u w:val="single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24"/>
        </w:rPr>
        <w:t>学生姓名：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 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  <w:lang w:val="en-US" w:eastAsia="zh-CN"/>
        </w:rPr>
        <w:t>杨晨曦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    </w:t>
      </w:r>
      <w:r>
        <w:rPr>
          <w:rFonts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</w:t>
      </w:r>
      <w:r>
        <w:rPr>
          <w:rFonts w:ascii="楷体_GB2312" w:hAnsi="Times New Roman" w:eastAsia="楷体_GB2312" w:cs="Times New Roman"/>
          <w:b/>
          <w:bCs/>
          <w:sz w:val="32"/>
          <w:szCs w:val="24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sz w:val="32"/>
          <w:szCs w:val="24"/>
          <w:u w:val="single"/>
        </w:rPr>
        <w:t xml:space="preserve">  </w:t>
      </w:r>
      <w:r>
        <w:rPr>
          <w:rFonts w:ascii="宋体" w:hAnsi="宋体" w:eastAsia="宋体" w:cs="Times New Roman"/>
          <w:bCs/>
          <w:sz w:val="32"/>
          <w:szCs w:val="24"/>
          <w:u w:val="single"/>
        </w:rPr>
        <w:t xml:space="preserve">          </w:t>
      </w:r>
      <w:r>
        <w:rPr>
          <w:rFonts w:hint="eastAsia" w:ascii="宋体" w:hAnsi="宋体" w:eastAsia="宋体" w:cs="Times New Roman"/>
          <w:bCs/>
          <w:sz w:val="32"/>
          <w:szCs w:val="24"/>
          <w:u w:val="single"/>
        </w:rPr>
        <w:t xml:space="preserve">  </w:t>
      </w:r>
      <w:r>
        <w:rPr>
          <w:rFonts w:ascii="宋体" w:hAnsi="宋体" w:eastAsia="宋体" w:cs="Times New Roman"/>
          <w:bCs/>
          <w:sz w:val="32"/>
          <w:szCs w:val="24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sz w:val="32"/>
          <w:szCs w:val="24"/>
          <w:u w:val="single"/>
        </w:rPr>
        <w:t xml:space="preserve">     </w:t>
      </w:r>
      <w:r>
        <w:rPr>
          <w:rFonts w:ascii="宋体" w:hAnsi="宋体" w:eastAsia="宋体" w:cs="Times New Roman"/>
          <w:bCs/>
          <w:sz w:val="32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sz w:val="32"/>
          <w:szCs w:val="24"/>
          <w:u w:val="single"/>
        </w:rPr>
        <w:t xml:space="preserve">   </w:t>
      </w:r>
    </w:p>
    <w:p w14:paraId="00000013">
      <w:pPr>
        <w:spacing w:line="800" w:lineRule="exact"/>
        <w:ind w:left="840" w:leftChars="400" w:right="735" w:rightChars="350"/>
        <w:rPr>
          <w:rFonts w:ascii="宋体" w:hAnsi="宋体" w:eastAsia="宋体" w:cs="宋体"/>
          <w:bCs/>
          <w:w w:val="66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24"/>
        </w:rPr>
        <w:t>学生学号：</w:t>
      </w:r>
      <w:r>
        <w:rPr>
          <w:rFonts w:hint="eastAsia" w:ascii="宋体" w:hAnsi="宋体" w:eastAsia="宋体" w:cs="宋体"/>
          <w:bCs/>
          <w:w w:val="9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bCs/>
          <w:w w:val="90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bCs/>
          <w:w w:val="90"/>
          <w:sz w:val="32"/>
          <w:szCs w:val="32"/>
          <w:u w:val="single"/>
          <w:lang w:val="en-US" w:eastAsia="zh-CN"/>
        </w:rPr>
        <w:t>206231331</w:t>
      </w:r>
      <w:r>
        <w:rPr>
          <w:rFonts w:ascii="宋体" w:hAnsi="宋体" w:eastAsia="宋体" w:cs="宋体"/>
          <w:bCs/>
          <w:w w:val="90"/>
          <w:sz w:val="32"/>
          <w:szCs w:val="32"/>
          <w:u w:val="single"/>
        </w:rPr>
        <w:t xml:space="preserve">                                </w:t>
      </w:r>
    </w:p>
    <w:p w14:paraId="00000014">
      <w:pPr>
        <w:spacing w:line="800" w:lineRule="exact"/>
        <w:ind w:left="840" w:leftChars="400" w:right="735" w:rightChars="350"/>
        <w:rPr>
          <w:rFonts w:ascii="宋体" w:hAnsi="宋体" w:eastAsia="宋体" w:cs="宋体"/>
          <w:sz w:val="32"/>
          <w:szCs w:val="24"/>
          <w:u w:val="single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24"/>
        </w:rPr>
        <w:t>任课教师：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 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  <w:lang w:val="en-US" w:eastAsia="zh-CN"/>
        </w:rPr>
        <w:t>吉用丽，唐诵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32"/>
          <w:szCs w:val="24"/>
          <w:u w:val="single"/>
        </w:rPr>
        <w:t xml:space="preserve"> </w:t>
      </w:r>
      <w:r>
        <w:rPr>
          <w:rFonts w:ascii="宋体" w:hAnsi="宋体" w:eastAsia="宋体" w:cs="宋体"/>
          <w:sz w:val="32"/>
          <w:szCs w:val="24"/>
          <w:u w:val="single"/>
        </w:rPr>
        <w:t xml:space="preserve">                 </w:t>
      </w:r>
      <w:r>
        <w:rPr>
          <w:rFonts w:hint="eastAsia" w:ascii="宋体" w:hAnsi="宋体" w:eastAsia="宋体" w:cs="宋体"/>
          <w:sz w:val="32"/>
          <w:szCs w:val="24"/>
          <w:u w:val="single"/>
        </w:rPr>
        <w:t xml:space="preserve"> </w:t>
      </w:r>
      <w:r>
        <w:rPr>
          <w:rFonts w:ascii="宋体" w:hAnsi="宋体" w:eastAsia="宋体" w:cs="宋体"/>
          <w:sz w:val="32"/>
          <w:szCs w:val="24"/>
          <w:u w:val="single"/>
        </w:rPr>
        <w:t xml:space="preserve"> </w:t>
      </w:r>
      <w:bookmarkStart w:id="0" w:name="_GoBack"/>
      <w:bookmarkEnd w:id="0"/>
    </w:p>
    <w:p w14:paraId="00000015">
      <w:pPr>
        <w:spacing w:line="800" w:lineRule="exact"/>
        <w:ind w:right="735" w:rightChars="350"/>
        <w:rPr>
          <w:rFonts w:ascii="楷体_GB2312" w:hAnsi="Times New Roman" w:eastAsia="宋体" w:cs="Times New Roman"/>
          <w:sz w:val="32"/>
          <w:szCs w:val="24"/>
          <w:u w:val="single"/>
        </w:rPr>
      </w:pPr>
    </w:p>
    <w:p w14:paraId="00000016">
      <w:pPr>
        <w:spacing w:line="800" w:lineRule="exact"/>
        <w:ind w:right="735" w:rightChars="350"/>
        <w:rPr>
          <w:rFonts w:ascii="楷体_GB2312" w:hAnsi="Times New Roman" w:eastAsia="宋体" w:cs="Times New Roman"/>
          <w:sz w:val="32"/>
          <w:szCs w:val="24"/>
          <w:u w:val="single"/>
        </w:rPr>
      </w:pPr>
    </w:p>
    <w:p w14:paraId="00000017">
      <w:pPr>
        <w:spacing w:line="800" w:lineRule="exact"/>
        <w:ind w:right="735" w:rightChars="350" w:firstLine="420"/>
        <w:rPr>
          <w:rFonts w:ascii="Times New Roman" w:hAnsi="Times New Roman" w:eastAsia="宋体" w:cs="Times New Roman"/>
          <w:sz w:val="30"/>
          <w:szCs w:val="24"/>
          <w:u w:val="single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24"/>
        </w:rPr>
        <w:t>报告成绩：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    </w:t>
      </w:r>
      <w:r>
        <w:rPr>
          <w:rFonts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  </w:t>
      </w:r>
      <w:r>
        <w:rPr>
          <w:rFonts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hint="eastAsia" w:ascii="楷体_GB2312" w:hAnsi="Times New Roman" w:eastAsia="宋体" w:cs="Times New Roman"/>
          <w:sz w:val="32"/>
          <w:szCs w:val="24"/>
        </w:rPr>
        <w:t xml:space="preserve"> </w:t>
      </w:r>
      <w:r>
        <w:rPr>
          <w:rFonts w:ascii="楷体_GB2312" w:hAnsi="Times New Roman" w:eastAsia="宋体" w:cs="Times New Roman"/>
          <w:sz w:val="32"/>
          <w:szCs w:val="24"/>
        </w:rPr>
        <w:t xml:space="preserve">  </w:t>
      </w:r>
      <w:r>
        <w:rPr>
          <w:rFonts w:hint="eastAsia" w:ascii="楷体_GB2312" w:hAnsi="Times New Roman" w:eastAsia="宋体" w:cs="Times New Roman"/>
          <w:sz w:val="32"/>
          <w:szCs w:val="24"/>
        </w:rPr>
        <w:t>评阅教师签字：</w:t>
      </w:r>
      <w:r>
        <w:rPr>
          <w:rFonts w:hint="eastAsia" w:ascii="楷体_GB2312" w:hAnsi="Times New Roman" w:eastAsia="宋体" w:cs="Times New Roman"/>
          <w:sz w:val="32"/>
          <w:szCs w:val="24"/>
          <w:u w:val="single"/>
        </w:rPr>
        <w:t xml:space="preserve"> </w:t>
      </w:r>
      <w:r>
        <w:rPr>
          <w:rFonts w:ascii="楷体_GB2312" w:hAnsi="Times New Roman" w:eastAsia="宋体" w:cs="Times New Roman"/>
          <w:sz w:val="32"/>
          <w:szCs w:val="24"/>
          <w:u w:val="single"/>
        </w:rPr>
        <w:t xml:space="preserve">            </w:t>
      </w:r>
    </w:p>
    <w:p w14:paraId="00000018">
      <w:pPr>
        <w:wordWrap w:val="0"/>
        <w:spacing w:line="800" w:lineRule="exact"/>
        <w:jc w:val="righ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年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月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</w:p>
    <w:p w14:paraId="D0F4E7DC">
      <w:pPr>
        <w:spacing w:after="93" w:afterLines="30" w:line="800" w:lineRule="exact"/>
        <w:jc w:val="center"/>
        <w:rPr>
          <w:rFonts w:hint="eastAsia" w:ascii="华文隶书" w:hAnsi="宋体" w:eastAsia="华文隶书" w:cs="Times New Roman"/>
          <w:sz w:val="36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 </w:t>
      </w:r>
      <w:r>
        <w:rPr>
          <w:rFonts w:hint="eastAsia" w:ascii="华文隶书" w:hAnsi="宋体" w:eastAsia="华文隶书" w:cs="Times New Roman"/>
          <w:sz w:val="36"/>
          <w:szCs w:val="28"/>
        </w:rPr>
        <w:t>电力工程学院、沈国荣学院</w:t>
      </w:r>
    </w:p>
    <w:p w14:paraId="D3E16F82">
      <w:pPr>
        <w:pBdr>
          <w:bottom w:val="none" w:color="auto" w:sz="0" w:space="0"/>
        </w:pBdr>
        <w:spacing w:after="93" w:afterLines="30" w:line="800" w:lineRule="exact"/>
        <w:jc w:val="center"/>
        <w:rPr>
          <w:rFonts w:hint="eastAsia" w:ascii="华文隶书" w:hAnsi="宋体" w:eastAsia="华文隶书" w:cs="Times New Roman"/>
          <w:sz w:val="36"/>
          <w:szCs w:val="28"/>
        </w:rPr>
      </w:pPr>
    </w:p>
    <w:p w14:paraId="5DA9B2EE">
      <w:pPr>
        <w:pStyle w:val="2"/>
        <w:keepNext/>
        <w:keepLines/>
        <w:spacing w:before="100" w:beforeAutospacing="1" w:after="100" w:afterAutospacing="1"/>
        <w:outlineLvl w:val="0"/>
        <w:rPr>
          <w:rFonts w:hint="eastAsia"/>
          <w:b/>
          <w:sz w:val="44"/>
        </w:rPr>
      </w:pPr>
    </w:p>
    <w:p w14:paraId="0000001A">
      <w:pPr>
        <w:pStyle w:val="2"/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一、课程设计概述</w:t>
      </w:r>
    </w:p>
    <w:p w14:paraId="0000001B">
      <w:r>
        <w:rPr>
          <w:rFonts w:hint="eastAsia"/>
        </w:rPr>
        <w:t>本次课程设计（第一周）基于 MATLAB 实时脚本完成三个递进的交互教学任务：任务一研究辐射状配电网 24 小时交流时序潮流与节点电压分布；任务二建立单节点储能在分时电价下的日前套利优化模型，比较 LP 与 MILP 两种建模方式；任务三进一步将储能接入配电网，建立含充放电互斥约束的混合整数二阶锥规划（MISOCP）日前调度模型，并比较三种调度目标。全部任务均按本人学号对应参数执行。</w:t>
      </w:r>
    </w:p>
    <w:p w14:paraId="0000001C">
      <w:r>
        <w:rPr>
          <w:rFonts w:hint="eastAsia"/>
        </w:rPr>
        <w:t>本人学号为 206231331，末两位 XY = 31：十位数字 X = 3 对应模型 B 类研究节点 [5, 11, 16]；个位数字 Y = 1 对应 case_nongcun 农村配电网算例；附加负荷倍率 alpha = 1 + 0.002 × 31 = 1.062。三个任务共用课程统一提供的 24 小时负荷、光伏出力与分时电价曲线。</w:t>
      </w:r>
    </w:p>
    <w:p w14:paraId="0000001D">
      <w:pPr>
        <w:pStyle w:val="2"/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二、任务一：配电网时序潮流与节点电压</w:t>
      </w:r>
    </w:p>
    <w:p w14:paraId="0000001E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2.1 任务及参数介绍</w:t>
      </w:r>
    </w:p>
    <w:p w14:paraId="0000001F">
      <w:r>
        <w:rPr>
          <w:rFonts w:hint="eastAsia"/>
        </w:rPr>
        <w:t>本任务在 case_nongcun（49 节点、12.66 kV 辐射状配电网）上，对全天 24 个时段逐时计算交流潮流（MATPOWER runpf），研究光伏接入后节点电压的变化规律。三个光伏节点（5、11、16）各接入额定 0.8 MW 光伏，不配置储能。各时段各节点的净注入有功为：</w:t>
      </w:r>
    </w:p>
    <w:p w14:paraId="00000020">
      <m:oMath>
        <m:sSubSup>
          <m:sSubSupPr/>
          <m:e>
            <m:r>
              <m:rPr/>
              <m:t>P</m:t>
            </m:r>
          </m:e>
          <m:sub>
            <m:r>
              <m:rPr/>
              <m:t>i,t</m:t>
            </m:r>
          </m:sub>
          <m:sup>
            <m:r>
              <m:rPr/>
              <m:t>net</m:t>
            </m:r>
          </m:sup>
        </m:sSubSup>
        <m:r>
          <m:rPr/>
          <m:t>=α</m:t>
        </m:r>
        <m:sSubSup>
          <m:sSubSupPr/>
          <m:e>
            <m:r>
              <m:rPr/>
              <m:t>P</m:t>
            </m:r>
          </m:e>
          <m:sub>
            <m:r>
              <m:rPr/>
              <m:t>i,0</m:t>
            </m:r>
          </m:sub>
          <m:sup>
            <m:r>
              <m:rPr/>
              <m:t>load</m:t>
            </m:r>
          </m:sup>
        </m:sSubSup>
        <m:sSubSup>
          <m:sSubSupPr/>
          <m:e>
            <m:r>
              <m:rPr/>
              <m:t>p</m:t>
            </m:r>
          </m:e>
          <m:sub>
            <m:r>
              <m:rPr/>
              <m:t>t</m:t>
            </m:r>
          </m:sub>
          <m:sup>
            <m:r>
              <m:rPr/>
              <m:t>load</m:t>
            </m:r>
          </m:sup>
        </m:sSubSup>
        <m:r>
          <m:rPr/>
          <m:t>−</m:t>
        </m:r>
        <m:sSubSup>
          <m:sSubSupPr/>
          <m:e>
            <m:r>
              <m:rPr/>
              <m:t>P</m:t>
            </m:r>
          </m:e>
          <m:sub>
            <m:r>
              <m:rPr/>
              <m:t>i,t</m:t>
            </m:r>
          </m:sub>
          <m:sup>
            <m:r>
              <m:rPr/>
              <m:t>pv</m:t>
            </m:r>
          </m:sup>
        </m:sSubSup>
      </m:oMath>
      <w:r>
        <w:rPr>
          <w:rFonts w:hint="eastAsia"/>
        </w:rPr>
        <w:t>其中 alpha = 1.062 为附加负荷倍率，p_t^load 为归一化负荷曲线，P_i,t^pv 为光伏实际出力。全网无功负荷同倍率缩放。逐时段求解收敛后记录各节点电压幅值与支路有功损耗，全天电能损耗按下式累加：</w:t>
      </w:r>
    </w:p>
    <w:p w14:paraId="00000001">
      <w:pPr>
        <w:rPr>
          <w:kern w:val="2"/>
          <w:sz w:val="21"/>
          <w:szCs w:val="22"/>
        </w:rPr>
      </w:pPr>
    </w:p>
    <w:p w14:paraId="00000021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m:oMath>
        <m:sSub>
          <m:sSubPr/>
          <m:e>
            <m:r>
              <m:rPr/>
              <m:t>E</m:t>
            </m:r>
          </m:e>
          <m:sub>
            <m:r>
              <m:rPr/>
              <m:t>loss</m:t>
            </m:r>
          </m:sub>
        </m:sSub>
        <m:r>
          <m:rPr/>
          <m:t>=</m:t>
        </m:r>
        <m:sSubSup>
          <m:sSubSupPr/>
          <m:e>
            <m:r>
              <m:rPr/>
              <m:t>∑</m:t>
            </m:r>
          </m:e>
          <m:sub>
            <m:r>
              <m:rPr/>
              <m:t>t=1</m:t>
            </m:r>
          </m:sub>
          <m:sup>
            <m:r>
              <m:rPr/>
              <m:t>T</m:t>
            </m:r>
          </m:sup>
        </m:sSubSup>
        <m:sSub>
          <m:sSubPr/>
          <m:e>
            <m:r>
              <m:rPr/>
              <m:t>P</m:t>
            </m:r>
          </m:e>
          <m:sub>
            <m:r>
              <m:rPr/>
              <m:t>loss,t</m:t>
            </m:r>
          </m:sub>
        </m:sSub>
        <m:r>
          <m:rPr/>
          <m:t>&amp;Delta;t</m:t>
        </m:r>
      </m:oMath>
      <w:r>
        <w:rPr>
          <w:rFonts w:hint="eastAsia"/>
          <w:b/>
          <w:sz w:val="32"/>
        </w:rPr>
        <w:t>2.2 计算结果</w:t>
      </w:r>
    </w:p>
    <w:p w14:paraId="00000022">
      <w:r>
        <w:rPr>
          <w:rFonts w:hint="eastAsia"/>
        </w:rPr>
        <w:t>24 个时段潮流全部收敛。全网最低电压、全天电能损耗计算结果如下表所示。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54C81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  <w:vAlign w:val="center"/>
          </w:tcPr>
          <w:p w14:paraId="0000002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指标</w:t>
            </w:r>
          </w:p>
        </w:tc>
        <w:tc>
          <w:tcPr>
            <w:tcW w:w="4153" w:type="dxa"/>
            <w:vAlign w:val="center"/>
          </w:tcPr>
          <w:p w14:paraId="0000002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数值</w:t>
            </w:r>
          </w:p>
        </w:tc>
      </w:tr>
      <w:tr w14:paraId="3FB81B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00000025">
            <w:r>
              <w:rPr>
                <w:rFonts w:hint="eastAsia"/>
              </w:rPr>
              <w:t>最低电压 V_min</w:t>
            </w:r>
          </w:p>
        </w:tc>
        <w:tc>
          <w:tcPr>
            <w:tcW w:w="4153" w:type="dxa"/>
            <w:vAlign w:val="center"/>
          </w:tcPr>
          <w:p w14:paraId="00000026">
            <w:r>
              <w:t>0.95389 p.u.</w:t>
            </w:r>
          </w:p>
        </w:tc>
      </w:tr>
      <w:tr w14:paraId="72CE10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00000027">
            <w:r>
              <w:rPr>
                <w:rFonts w:hint="eastAsia"/>
              </w:rPr>
              <w:t>最低电压节点</w:t>
            </w:r>
          </w:p>
        </w:tc>
        <w:tc>
          <w:tcPr>
            <w:tcW w:w="4153" w:type="dxa"/>
            <w:vAlign w:val="center"/>
          </w:tcPr>
          <w:p w14:paraId="00000028">
            <w:r>
              <w:t>13</w:t>
            </w:r>
          </w:p>
        </w:tc>
      </w:tr>
      <w:tr w14:paraId="28846F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00000029">
            <w:r>
              <w:rPr>
                <w:rFonts w:hint="eastAsia"/>
              </w:rPr>
              <w:t>最低电压时段</w:t>
            </w:r>
          </w:p>
        </w:tc>
        <w:tc>
          <w:tcPr>
            <w:tcW w:w="4153" w:type="dxa"/>
            <w:vAlign w:val="center"/>
          </w:tcPr>
          <w:p w14:paraId="0000002A">
            <w:r>
              <w:rPr>
                <w:rFonts w:hint="eastAsia"/>
              </w:rPr>
              <w:t>19 时</w:t>
            </w:r>
          </w:p>
        </w:tc>
      </w:tr>
      <w:tr w14:paraId="65FAD3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  <w:vAlign w:val="center"/>
          </w:tcPr>
          <w:p w14:paraId="0000002B">
            <w:r>
              <w:rPr>
                <w:rFonts w:hint="eastAsia"/>
              </w:rPr>
              <w:t>全天电能损耗</w:t>
            </w:r>
          </w:p>
        </w:tc>
        <w:tc>
          <w:tcPr>
            <w:tcW w:w="4153" w:type="dxa"/>
            <w:vAlign w:val="center"/>
          </w:tcPr>
          <w:p w14:paraId="0000002C">
            <w:r>
              <w:t>1.0138 MWh</w:t>
            </w:r>
          </w:p>
        </w:tc>
      </w:tr>
    </w:tbl>
    <w:p w14:paraId="0000002D">
      <w:r>
        <w:rPr>
          <w:rFonts w:hint="eastAsia"/>
        </w:rPr>
        <w:t>图 1 为交互查看结果：左图为第 19 时段馈线各节点电压分布（颜色越深电压越低），右图为电压最低节点 13 的全天电压曲线。可见凌晨负荷低谷时光伏未出力、电压较高；午后光伏大发将末端电压抬升至 1.029 p.u. 附近；19 时晚高峰负荷最大而光伏出力降为零，末端节点 13 电压跌至全天最低 0.95389 p.u.，已十分接近 0.95 p.u. 的运行下限。</w:t>
      </w:r>
    </w:p>
    <w:p w14:paraId="00000002">
      <w:pPr>
        <w:rPr>
          <w:kern w:val="2"/>
          <w:sz w:val="21"/>
          <w:szCs w:val="22"/>
        </w:rPr>
      </w:pPr>
    </w:p>
    <w:p w14:paraId="0000002E">
      <w:r>
        <w:drawing>
          <wp:inline distT="0" distB="0" distL="0" distR="0">
            <wp:extent cx="5524500" cy="33147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1 任务一节点电压交互视图（左：第 19 时段全网电压分布；右：节点 13 全天电压曲线）</w:t>
      </w:r>
    </w:p>
    <w:p w14:paraId="0000002F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2.3 思考题与结果分析</w:t>
      </w:r>
    </w:p>
    <w:p w14:paraId="00000030">
      <w:r>
        <w:rPr>
          <w:rFonts w:hint="eastAsia"/>
        </w:rPr>
        <w:t>思考题要求将附加负荷倍率由 1.00 调整为 1.10，即 alpha 由 1.062 增至 1.1682，全网负荷增大约 10%。计算前判断：负荷增大后线路电流增大，末端电压降将进一步加大，最低电压（仍应出现在节点 13、19 时）会继续下降；有功损耗与电流平方成正比，电能损耗将按约 1.1² ≈ 1.21 倍增长。</w:t>
      </w:r>
    </w:p>
    <w:p w14:paraId="00000031">
      <w:r>
        <w:rPr>
          <w:rFonts w:hint="eastAsia"/>
        </w:rPr>
        <w:t>手算估算：电压降近似与负荷成线性关系，V_min ≈ 1 − (1 − 0.95389) × 1.1 ≈ 0.949 p.u.，将跌破 0.95 p.u. 下限；电能损耗 E_loss ≈ 1.0138 × 1.1² ≈ 1.23 MWh。变化原因：负荷增大使馈线潮流加重，电压降落和线路损耗均随电流增大而增加，损耗按电流平方关系增长快于负荷增幅。上述估算值需将脚本中 load_multiplier 改为 1.10 重新运行后与实际结果核对。</w:t>
      </w:r>
    </w:p>
    <w:p w14:paraId="00000003">
      <w:pPr>
        <w:rPr>
          <w:kern w:val="2"/>
          <w:sz w:val="21"/>
          <w:szCs w:val="22"/>
        </w:rPr>
      </w:pPr>
    </w:p>
    <w:p w14:paraId="00000032">
      <w:pPr>
        <w:pStyle w:val="2"/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三、任务二：储能分时电价套利与荷电状态</w:t>
      </w:r>
    </w:p>
    <w:p w14:paraId="00000033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3.1 任务及参数介绍</w:t>
      </w:r>
    </w:p>
    <w:p w14:paraId="00000034">
      <w:r>
        <w:rPr>
          <w:rFonts w:hint="eastAsia"/>
        </w:rPr>
        <w:t>本任务针对单节点储能建立日前分时电价套利优化模型，决定全天 24 小时逐时充放电功率。设备参数为：额定功率 P_rated = 2 MW，额定能量容量 E_rated = 2 MWh，充电效率 η_ch = 0.90，放电效率 η_dis = 0.95，荷电状态 SoC 允许范围 [0.10, 1.00]，初末荷电状态均为 0.50，时间步长 1 h。荷电状态动态方程为：</w:t>
      </w:r>
    </w:p>
    <w:p w14:paraId="00000035">
      <m:oMath>
        <m:r>
          <m:rPr/>
          <m:t>So</m:t>
        </m:r>
        <m:sSub>
          <m:sSubPr/>
          <m:e>
            <m:r>
              <m:rPr/>
              <m:t>C</m:t>
            </m:r>
          </m:e>
          <m:sub>
            <m:r>
              <m:rPr/>
              <m:t>t</m:t>
            </m:r>
          </m:sub>
        </m:sSub>
        <m:r>
          <m:rPr/>
          <m:t>=So</m:t>
        </m:r>
        <m:sSub>
          <m:sSubPr/>
          <m:e>
            <m:r>
              <m:rPr/>
              <m:t>C</m:t>
            </m:r>
          </m:e>
          <m:sub>
            <m:r>
              <m:rPr/>
              <m:t>t−1</m:t>
            </m:r>
          </m:sub>
        </m:sSub>
        <m:r>
          <m:rPr/>
          <m:t>+(</m:t>
        </m:r>
        <m:sSub>
          <m:sSubPr/>
          <m:e>
            <m:r>
              <m:rPr/>
              <m:t>η</m:t>
            </m:r>
          </m:e>
          <m:sub>
            <m:r>
              <m:rPr/>
              <m:t>ch</m:t>
            </m:r>
          </m:sub>
        </m:sSub>
        <m:sSubSup>
          <m:sSubSupPr/>
          <m:e>
            <m:r>
              <m:rPr/>
              <m:t>P</m:t>
            </m:r>
          </m:e>
          <m:sub>
            <m:r>
              <m:rPr/>
              <m:t>t</m:t>
            </m:r>
          </m:sub>
          <m:sup>
            <m:r>
              <m:rPr/>
              <m:t>ch</m:t>
            </m:r>
          </m:sup>
        </m:sSubSup>
        <m:r>
          <m:rPr/>
          <m:t>−</m:t>
        </m:r>
        <m:sSubSup>
          <m:sSubSupPr/>
          <m:e>
            <m:r>
              <m:rPr/>
              <m:t>P</m:t>
            </m:r>
          </m:e>
          <m:sub>
            <m:r>
              <m:rPr/>
              <m:t>t</m:t>
            </m:r>
          </m:sub>
          <m:sup>
            <m:r>
              <m:rPr/>
              <m:t>dis</m:t>
            </m:r>
          </m:sup>
        </m:sSubSup>
        <m:r>
          <m:rPr/>
          <m:t>/</m:t>
        </m:r>
        <m:sSub>
          <m:sSubPr/>
          <m:e>
            <m:r>
              <m:rPr/>
              <m:t>η</m:t>
            </m:r>
          </m:e>
          <m:sub>
            <m:r>
              <m:rPr/>
              <m:t>dis</m:t>
            </m:r>
          </m:sub>
        </m:sSub>
        <m:r>
          <m:rPr/>
          <m:t>)&amp;Delta;t/</m:t>
        </m:r>
        <m:sSub>
          <m:sSubPr/>
          <m:e>
            <m:r>
              <m:rPr/>
              <m:t>E</m:t>
            </m:r>
          </m:e>
          <m:sub>
            <m:r>
              <m:rPr/>
              <m:t>rated</m:t>
            </m:r>
          </m:sub>
        </m:sSub>
      </m:oMath>
      <w:r>
        <w:rPr>
          <w:rFonts w:hint="eastAsia"/>
        </w:rPr>
        <w:t>优化目标为日套利收益最大，按同一时段给定分时电价 c_t 结算充放电电费：</w:t>
      </w:r>
    </w:p>
    <w:p w14:paraId="00000004">
      <w:pPr>
        <w:rPr>
          <w:kern w:val="2"/>
          <w:sz w:val="21"/>
          <w:szCs w:val="22"/>
        </w:rPr>
      </w:pPr>
    </w:p>
    <w:p w14:paraId="00000036">
      <m:oMath>
        <m:r>
          <m:rPr/>
          <m:t>R=</m:t>
        </m:r>
        <m:sSubSup>
          <m:sSubSupPr/>
          <m:e>
            <m:r>
              <m:rPr/>
              <m:t>∑</m:t>
            </m:r>
          </m:e>
          <m:sub>
            <m:r>
              <m:rPr/>
              <m:t>t=1</m:t>
            </m:r>
          </m:sub>
          <m:sup>
            <m:r>
              <m:rPr/>
              <m:t>T</m:t>
            </m:r>
          </m:sup>
        </m:sSubSup>
        <m:sSub>
          <m:sSubPr/>
          <m:e>
            <m:r>
              <m:rPr/>
              <m:t>c</m:t>
            </m:r>
          </m:e>
          <m:sub>
            <m:r>
              <m:rPr/>
              <m:t>t</m:t>
            </m:r>
          </m:sub>
        </m:sSub>
        <m:r>
          <m:rPr/>
          <m:t>(</m:t>
        </m:r>
        <m:sSubSup>
          <m:sSubSupPr/>
          <m:e>
            <m:r>
              <m:rPr/>
              <m:t>P</m:t>
            </m:r>
          </m:e>
          <m:sub>
            <m:r>
              <m:rPr/>
              <m:t>t</m:t>
            </m:r>
          </m:sub>
          <m:sup>
            <m:r>
              <m:rPr/>
              <m:t>dis</m:t>
            </m:r>
          </m:sup>
        </m:sSubSup>
        <m:r>
          <m:rPr/>
          <m:t>−</m:t>
        </m:r>
        <m:sSubSup>
          <m:sSubSupPr/>
          <m:e>
            <m:r>
              <m:rPr/>
              <m:t>P</m:t>
            </m:r>
          </m:e>
          <m:sub>
            <m:r>
              <m:rPr/>
              <m:t>t</m:t>
            </m:r>
          </m:sub>
          <m:sup>
            <m:r>
              <m:rPr/>
              <m:t>ch</m:t>
            </m:r>
          </m:sup>
        </m:sSubSup>
        <m:r>
          <m:rPr/>
          <m:t>)&amp;Delta;t</m:t>
        </m:r>
      </m:oMath>
      <w:r>
        <w:rPr>
          <w:rFonts w:hint="eastAsia"/>
        </w:rPr>
        <w:t>为防止同一时段同时充放电，引入 0-1 状态变量 u_t^ch：充电功率满足 0 ≤ P_t^ch ≤ u_t^ch·P_rated，放电功率满足 0 ≤ P_t^dis ≤ (1−u_t^ch)·P_rated，模型为混合整数线性规划（MILP），调用 intlinprog 求解；取消互斥约束（u 为连续变量）时退化为 LP。</w:t>
      </w:r>
    </w:p>
    <w:p w14:paraId="00000037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3.2 计算结果</w:t>
      </w:r>
    </w:p>
    <w:p w14:paraId="00000038">
      <w:r>
        <w:rPr>
          <w:rFonts w:hint="eastAsia"/>
        </w:rPr>
        <w:t>MILP 求得全天最大套利收益 1553.6 元。最优运行安排为：凌晨低谷电价时段（约 1—3 时）充电至满荷电状态；14—16 时高峰时段以约 1.8 MW 放电，SoC 降至下限附近；17—18 时电价短暂回落后回充电量；19—20 时晚高峰再次放电至下限；末段低谷回充至末态 0.50，满足初末荷电状态约束。图 2 同时给出分时电价、净放电功率与荷电状态曲线。</w:t>
      </w:r>
    </w:p>
    <w:p w14:paraId="00000005">
      <w:pPr>
        <w:rPr>
          <w:kern w:val="2"/>
          <w:sz w:val="21"/>
          <w:szCs w:val="22"/>
        </w:rPr>
      </w:pPr>
    </w:p>
    <w:p w14:paraId="00000039">
      <w:r>
        <w:drawing>
          <wp:inline distT="0" distB="0" distL="0" distR="0">
            <wp:extent cx="5524500" cy="4029075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2 任务二储能套利运行结果（自上而下：分时电价、净放电功率、荷电状态）</w:t>
      </w:r>
    </w:p>
    <w:p w14:paraId="0000003A">
      <w:r>
        <w:rPr>
          <w:rFonts w:hint="eastAsia"/>
        </w:rPr>
        <w:t>脚本进一步在完全相同参数下比较 LP 与 MILP：两者最优收益均为 1553.6 元，同时充放电功率均为 0，末态荷电状态误差均为 0。说明本算例电价曲线下 LP 松弛的最优解天然满足互斥约束，整数变量未额外改变最优值——低价时段充电、高价时段放电本身不会同时发生，同时充放电只会徒增效率损失、减少收益。</w:t>
      </w:r>
    </w:p>
    <w:p w14:paraId="0000003B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3.3 思考题与结果分析</w:t>
      </w:r>
    </w:p>
    <w:p w14:paraId="0000003C">
      <w:r>
        <w:rPr>
          <w:rFonts w:hint="eastAsia"/>
        </w:rPr>
        <w:t>分别改变额定功率与额定能量容量观察：功率上限约束的是"每小时最多搬移多少电量"，套利收益大致随 P_rated 线性增长，直到容量成为瓶颈；能量容量约束的是"一天最多囤积多少低价电量"，当 P_rated 较大而 E_rated 较小时，储能很快充满/放空，充放电时段被截断，收益增量递减。两者共同决定"低吸高抛"的规模：套利发生在电价差大于往返效率损失（0.9 × 0.95 = 0.855）的时段组合之间，峰谷价差越大、设备参数越匹配，收益越高。</w:t>
      </w:r>
    </w:p>
    <w:p w14:paraId="00000006">
      <w:pPr>
        <w:rPr>
          <w:kern w:val="2"/>
          <w:sz w:val="21"/>
          <w:szCs w:val="22"/>
        </w:rPr>
      </w:pPr>
    </w:p>
    <w:p w14:paraId="0000003D">
      <w:pPr>
        <w:pStyle w:val="2"/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四、任务三：含充放电互斥约束的配电网储能日前优化调度</w:t>
      </w:r>
    </w:p>
    <w:p w14:paraId="0000003E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4.1 任务及参数介绍</w:t>
      </w:r>
    </w:p>
    <w:p w14:paraId="0000003F">
      <w:r>
        <w:rPr>
          <w:rFonts w:hint="eastAsia"/>
        </w:rPr>
        <w:t>本任务将 1.2 MW 光伏与 1.5 MW / 3 MWh 储能接入 case_nongcun 配电网的研究节点（5、11、16），建立日前 24 小时优化调度模型。网络采用 DistFlow 支路潮流方程，并作二阶锥松弛；储能引入逐时段充放电 0-1 互斥变量，模型为混合整数二阶锥规划（MISOCP），调用 MOSEK 求解。储能荷电状态范围为 [0.20, 0.80]，初值 0.50，效率与任务二相同。支路潮流的二阶锥松弛约束为：</w:t>
      </w:r>
    </w:p>
    <w:p w14:paraId="00000040">
      <m:oMath>
        <m:sSubSup>
          <m:sSubSupPr/>
          <m:e>
            <m:r>
              <m:rPr/>
              <m:t>P</m:t>
            </m:r>
          </m:e>
          <m:sub>
            <m:r>
              <m:rPr/>
              <m:t>ij,t</m:t>
            </m:r>
          </m:sub>
          <m:sup>
            <m:r>
              <m:rPr/>
              <m:t>2</m:t>
            </m:r>
          </m:sup>
        </m:sSubSup>
        <m:r>
          <m:rPr/>
          <m:t>+</m:t>
        </m:r>
        <m:sSubSup>
          <m:sSubSupPr/>
          <m:e>
            <m:r>
              <m:rPr/>
              <m:t>Q</m:t>
            </m:r>
          </m:e>
          <m:sub>
            <m:r>
              <m:rPr/>
              <m:t>ij,t</m:t>
            </m:r>
          </m:sub>
          <m:sup>
            <m:r>
              <m:rPr/>
              <m:t>2</m:t>
            </m:r>
          </m:sup>
        </m:sSubSup>
        <m:r>
          <m:rPr/>
          <m:t>&amp;le;</m:t>
        </m:r>
        <m:sSub>
          <m:sSubPr/>
          <m:e>
            <m:r>
              <m:rPr/>
              <m:t>U</m:t>
            </m:r>
          </m:e>
          <m:sub>
            <m:r>
              <m:rPr/>
              <m:t>i,t</m:t>
            </m:r>
          </m:sub>
        </m:sSub>
        <m:sSub>
          <m:sSubPr/>
          <m:e>
            <m:r>
              <m:rPr/>
              <m:t>L</m:t>
            </m:r>
          </m:e>
          <m:sub>
            <m:r>
              <m:rPr/>
              <m:t>ij,t</m:t>
            </m:r>
          </m:sub>
        </m:sSub>
      </m:oMath>
      <w:r>
        <w:rPr>
          <w:rFonts w:hint="eastAsia"/>
        </w:rPr>
        <w:t>配合节点功率平衡方程、支路电压降落方程 U_j,t = U_i,t − 2(r_ij·P_ij,t + x_ij·Q_ij,t) + (r_ij² + x_ij²)·L_ij,t、节点电压 0.95—1.05 p.u. 约束与松弛变量边界。调度目标按学号默认分配为 B 类（降低网损），课堂比较时手动选择目标，三种目标分别为：</w:t>
      </w:r>
    </w:p>
    <w:p w14:paraId="00000041">
      <w:pPr>
        <w:numPr>
          <w:ilvl w:val="0"/>
          <w:numId w:val="1"/>
        </w:numPr>
      </w:pPr>
      <w:r>
        <w:rPr>
          <w:rFonts w:hint="eastAsia"/>
        </w:rPr>
        <w:t>目标 A：提高光伏消纳（最小化弃光电量 + 0.01 × 网损）；</w:t>
      </w:r>
    </w:p>
    <w:p w14:paraId="00000042">
      <w:pPr>
        <w:numPr>
          <w:ilvl w:val="0"/>
          <w:numId w:val="1"/>
        </w:numPr>
      </w:pPr>
      <w:r>
        <w:rPr>
          <w:rFonts w:hint="eastAsia"/>
        </w:rPr>
        <w:t>目标 B：降低网损（最小化交流电能损耗 + 微小充放电正则项）；</w:t>
      </w:r>
    </w:p>
    <w:p w14:paraId="00000043">
      <w:pPr>
        <w:numPr>
          <w:ilvl w:val="0"/>
          <w:numId w:val="1"/>
        </w:numPr>
      </w:pPr>
      <w:r>
        <w:rPr>
          <w:rFonts w:hint="eastAsia"/>
        </w:rPr>
        <w:t>目标 C：降低购电费用（最小化按分时电价结算的上级电网购电成本）。</w:t>
      </w:r>
    </w:p>
    <w:p w14:paraId="00000044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4.2 计算结果</w:t>
      </w:r>
    </w:p>
    <w:p w14:paraId="00000045">
      <w:r>
        <w:rPr>
          <w:rFonts w:hint="eastAsia"/>
        </w:rPr>
        <w:t>三种目标均求解成功（MOSEK，单次约 1.8 s），调度结果经约束校验与交流潮流复核全部通过，对比如下表。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7622D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blHeader/>
        </w:trPr>
        <w:tc>
          <w:tcPr>
            <w:tcW w:w="1384" w:type="dxa"/>
            <w:vAlign w:val="center"/>
          </w:tcPr>
          <w:p w14:paraId="0000004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目标</w:t>
            </w:r>
          </w:p>
        </w:tc>
        <w:tc>
          <w:tcPr>
            <w:tcW w:w="1384" w:type="dxa"/>
            <w:vAlign w:val="center"/>
          </w:tcPr>
          <w:p w14:paraId="0000004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弃光电量 / MWh</w:t>
            </w:r>
          </w:p>
        </w:tc>
        <w:tc>
          <w:tcPr>
            <w:tcW w:w="1384" w:type="dxa"/>
            <w:vAlign w:val="center"/>
          </w:tcPr>
          <w:p w14:paraId="0000004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网损 / MWh</w:t>
            </w:r>
          </w:p>
        </w:tc>
        <w:tc>
          <w:tcPr>
            <w:tcW w:w="1384" w:type="dxa"/>
            <w:vAlign w:val="center"/>
          </w:tcPr>
          <w:p w14:paraId="0000004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购电费用 / 元</w:t>
            </w:r>
          </w:p>
        </w:tc>
        <w:tc>
          <w:tcPr>
            <w:tcW w:w="1384" w:type="dxa"/>
            <w:vAlign w:val="center"/>
          </w:tcPr>
          <w:p w14:paraId="0000004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电压范围 / p.u.</w:t>
            </w:r>
          </w:p>
        </w:tc>
        <w:tc>
          <w:tcPr>
            <w:tcW w:w="1384" w:type="dxa"/>
            <w:vAlign w:val="center"/>
          </w:tcPr>
          <w:p w14:paraId="0000004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最大锥间隙</w:t>
            </w:r>
          </w:p>
        </w:tc>
      </w:tr>
      <w:tr w14:paraId="00D4818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  <w:vAlign w:val="center"/>
          </w:tcPr>
          <w:p w14:paraId="0000004C">
            <w:r>
              <w:rPr>
                <w:rFonts w:hint="eastAsia"/>
              </w:rPr>
              <w:t>A 提高光伏消纳</w:t>
            </w:r>
          </w:p>
        </w:tc>
        <w:tc>
          <w:tcPr>
            <w:tcW w:w="1384" w:type="dxa"/>
            <w:vAlign w:val="center"/>
          </w:tcPr>
          <w:p w14:paraId="0000004D">
            <w:r>
              <w:t>≈ 0</w:t>
            </w:r>
          </w:p>
        </w:tc>
        <w:tc>
          <w:tcPr>
            <w:tcW w:w="1384" w:type="dxa"/>
            <w:vAlign w:val="center"/>
          </w:tcPr>
          <w:p w14:paraId="0000004E">
            <w:r>
              <w:t>0.907</w:t>
            </w:r>
          </w:p>
        </w:tc>
        <w:tc>
          <w:tcPr>
            <w:tcW w:w="1384" w:type="dxa"/>
            <w:vAlign w:val="center"/>
          </w:tcPr>
          <w:p w14:paraId="0000004F">
            <w:r>
              <w:t>33923</w:t>
            </w:r>
          </w:p>
        </w:tc>
        <w:tc>
          <w:tcPr>
            <w:tcW w:w="1384" w:type="dxa"/>
            <w:vAlign w:val="center"/>
          </w:tcPr>
          <w:p w14:paraId="00000050">
            <w:r>
              <w:t>0.971—1.025</w:t>
            </w:r>
          </w:p>
        </w:tc>
        <w:tc>
          <w:tcPr>
            <w:tcW w:w="1384" w:type="dxa"/>
            <w:vAlign w:val="center"/>
          </w:tcPr>
          <w:p w14:paraId="00000051">
            <w:r>
              <w:t>3.0e-10</w:t>
            </w:r>
          </w:p>
        </w:tc>
      </w:tr>
      <w:tr w14:paraId="232B07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  <w:vAlign w:val="center"/>
          </w:tcPr>
          <w:p w14:paraId="00000052">
            <w:r>
              <w:rPr>
                <w:rFonts w:hint="eastAsia"/>
              </w:rPr>
              <w:t>B 降低网损</w:t>
            </w:r>
          </w:p>
        </w:tc>
        <w:tc>
          <w:tcPr>
            <w:tcW w:w="1384" w:type="dxa"/>
            <w:vAlign w:val="center"/>
          </w:tcPr>
          <w:p w14:paraId="00000053">
            <w:r>
              <w:t>10.03</w:t>
            </w:r>
          </w:p>
        </w:tc>
        <w:tc>
          <w:tcPr>
            <w:tcW w:w="1384" w:type="dxa"/>
            <w:vAlign w:val="center"/>
          </w:tcPr>
          <w:p w14:paraId="00000054">
            <w:r>
              <w:t>0.662</w:t>
            </w:r>
          </w:p>
        </w:tc>
        <w:tc>
          <w:tcPr>
            <w:tcW w:w="1384" w:type="dxa"/>
            <w:vAlign w:val="center"/>
          </w:tcPr>
          <w:p w14:paraId="00000055">
            <w:r>
              <w:t>40913</w:t>
            </w:r>
          </w:p>
        </w:tc>
        <w:tc>
          <w:tcPr>
            <w:tcW w:w="1384" w:type="dxa"/>
            <w:vAlign w:val="center"/>
          </w:tcPr>
          <w:p w14:paraId="00000056">
            <w:r>
              <w:t>0.971—1.000</w:t>
            </w:r>
          </w:p>
        </w:tc>
        <w:tc>
          <w:tcPr>
            <w:tcW w:w="1384" w:type="dxa"/>
            <w:vAlign w:val="center"/>
          </w:tcPr>
          <w:p w14:paraId="00000057">
            <w:r>
              <w:t>4.1e-10</w:t>
            </w:r>
          </w:p>
        </w:tc>
      </w:tr>
      <w:tr w14:paraId="2C1127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dxa"/>
            <w:vAlign w:val="center"/>
          </w:tcPr>
          <w:p w14:paraId="00000058">
            <w:r>
              <w:rPr>
                <w:rFonts w:hint="eastAsia"/>
              </w:rPr>
              <w:t>C 降低购电费用</w:t>
            </w:r>
          </w:p>
        </w:tc>
        <w:tc>
          <w:tcPr>
            <w:tcW w:w="1384" w:type="dxa"/>
            <w:vAlign w:val="center"/>
          </w:tcPr>
          <w:p w14:paraId="00000059">
            <w:r>
              <w:t>≈ 0</w:t>
            </w:r>
          </w:p>
        </w:tc>
        <w:tc>
          <w:tcPr>
            <w:tcW w:w="1384" w:type="dxa"/>
            <w:vAlign w:val="center"/>
          </w:tcPr>
          <w:p w14:paraId="0000005A">
            <w:r>
              <w:t>1.591</w:t>
            </w:r>
          </w:p>
        </w:tc>
        <w:tc>
          <w:tcPr>
            <w:tcW w:w="1384" w:type="dxa"/>
            <w:vAlign w:val="center"/>
          </w:tcPr>
          <w:p w14:paraId="0000005B">
            <w:r>
              <w:t>30613</w:t>
            </w:r>
          </w:p>
        </w:tc>
        <w:tc>
          <w:tcPr>
            <w:tcW w:w="1384" w:type="dxa"/>
            <w:vAlign w:val="center"/>
          </w:tcPr>
          <w:p w14:paraId="0000005C">
            <w:r>
              <w:t>0.950—1.050</w:t>
            </w:r>
          </w:p>
        </w:tc>
        <w:tc>
          <w:tcPr>
            <w:tcW w:w="1384" w:type="dxa"/>
            <w:vAlign w:val="center"/>
          </w:tcPr>
          <w:p w14:paraId="0000005D">
            <w:r>
              <w:t>3.3e-10</w:t>
            </w:r>
          </w:p>
        </w:tc>
      </w:tr>
    </w:tbl>
    <w:p w14:paraId="0000005E">
      <w:r>
        <w:rPr>
          <w:rFonts w:hint="eastAsia"/>
        </w:rPr>
        <w:t>目标 C（按学号选择并详细查看）的储能运行与电压校核结果如图 3—图 7 所示。图 3 为节点 5 储能的充放电功率与荷电状态：夜间负荷低谷期充电，光伏大发时段充电消纳、晚高峰放电，配合网络潮流将电压维持在限值内。</w:t>
      </w:r>
    </w:p>
    <w:p w14:paraId="00000007">
      <w:pPr>
        <w:rPr>
          <w:kern w:val="2"/>
          <w:sz w:val="21"/>
          <w:szCs w:val="22"/>
        </w:rPr>
      </w:pPr>
    </w:p>
    <w:p w14:paraId="0000005F">
      <w:r>
        <w:drawing>
          <wp:inline distT="0" distB="0" distL="0" distR="0">
            <wp:extent cx="5524500" cy="4029075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3 目标 C 下节点 5 储能充放电功率与荷电状态</w:t>
      </w:r>
    </w:p>
    <w:p w14:paraId="00000060">
      <w:r>
        <w:rPr>
          <w:rFonts w:hint="eastAsia"/>
        </w:rPr>
        <w:t>图 4 为二阶锥松弛间隙热力图与第 19 时段各支路间隙分布：全部间隙在 1e-9 量级，说明本算例二阶锥松弛是精确的，锥松弛解即为交流潮流可行解。</w:t>
      </w:r>
    </w:p>
    <w:p w14:paraId="00000008">
      <w:pPr>
        <w:rPr>
          <w:kern w:val="2"/>
          <w:sz w:val="21"/>
          <w:szCs w:val="22"/>
        </w:rPr>
      </w:pPr>
    </w:p>
    <w:p w14:paraId="00000061">
      <w:r>
        <w:drawing>
          <wp:inline distT="0" distB="0" distL="0" distR="0">
            <wp:extent cx="5524500" cy="33147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4 二阶锥约束松弛间隙（左：支路—时段热力图；右：第 19 时段各支路间隙）</w:t>
      </w:r>
    </w:p>
    <w:p w14:paraId="00000062">
      <w:r>
        <w:rPr>
          <w:rFonts w:hint="eastAsia"/>
        </w:rPr>
        <w:t>图 5 为经交流潮流复核后的全网电压分布，第 19 时段末端节点电压触及 0.95 p.u. 下限、午后部分时段电压接近 1.05 p.u. 上限，说明目标 C 为压低购电费用几乎用尽了全部电压调节余地。</w:t>
      </w:r>
    </w:p>
    <w:p w14:paraId="00000009">
      <w:pPr>
        <w:rPr>
          <w:kern w:val="2"/>
          <w:sz w:val="21"/>
          <w:szCs w:val="22"/>
        </w:rPr>
      </w:pPr>
    </w:p>
    <w:p w14:paraId="00000063">
      <w:r>
        <w:drawing>
          <wp:inline distT="0" distB="0" distL="0" distR="0">
            <wp:extent cx="5524500" cy="33147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5 目标 C 下交流潮流复核的节点电压分布（第 19 时段）与节点 13 全天电压</w:t>
      </w:r>
    </w:p>
    <w:p w14:paraId="00000064">
      <w:r>
        <w:rPr>
          <w:rFonts w:hint="eastAsia"/>
        </w:rPr>
        <w:t>图 6 将二阶锥模型电压与交流潮流电压在偏差最大节点（节点 38，第 16 时段）进行对比，两条曲线几乎重合，最大电压偏差约 9e-10 p.u.，再次印证松弛精确。</w:t>
      </w:r>
    </w:p>
    <w:p w14:paraId="0000000A">
      <w:pPr>
        <w:rPr>
          <w:kern w:val="2"/>
          <w:sz w:val="21"/>
          <w:szCs w:val="22"/>
        </w:rPr>
      </w:pPr>
    </w:p>
    <w:p w14:paraId="00000065">
      <w:r>
        <w:drawing>
          <wp:inline distT="0" distB="0" distL="0" distR="0">
            <wp:extent cx="5524500" cy="33147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6 节点 38 二阶锥模型电压与交流潮流电压对比</w:t>
      </w:r>
    </w:p>
    <w:p w14:paraId="00000066">
      <w:r>
        <w:rPr>
          <w:rFonts w:hint="eastAsia"/>
        </w:rPr>
        <w:t>图 7 展示支路首末端关联矩阵与所选支路的对应关系，用于核对 DistFlow 方程的节点—支路拓扑映射。</w:t>
      </w:r>
    </w:p>
    <w:p w14:paraId="0000000B">
      <w:pPr>
        <w:rPr>
          <w:kern w:val="2"/>
          <w:sz w:val="21"/>
          <w:szCs w:val="22"/>
        </w:rPr>
      </w:pPr>
    </w:p>
    <w:p w14:paraId="00000067">
      <w:r>
        <w:drawing>
          <wp:inline distT="0" distB="0" distL="0" distR="0">
            <wp:extent cx="5524500" cy="33147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 7 关联矩阵与支路对应关系</w:t>
      </w:r>
    </w:p>
    <w:p w14:paraId="00000068">
      <w:pPr>
        <w:pStyle w:val="3"/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4.3 思考题与结果分析</w:t>
      </w:r>
    </w:p>
    <w:p w14:paraId="00000069">
      <w:r>
        <w:rPr>
          <w:rFonts w:hint="eastAsia"/>
        </w:rPr>
        <w:t>对比三种目标可以得到清晰的规律：</w:t>
      </w:r>
    </w:p>
    <w:p w14:paraId="0000006A">
      <w:pPr>
        <w:numPr>
          <w:ilvl w:val="0"/>
          <w:numId w:val="2"/>
        </w:numPr>
      </w:pPr>
      <w:r>
        <w:rPr>
          <w:rFonts w:hint="eastAsia"/>
        </w:rPr>
        <w:t>目标 A 优先消纳光伏，弃光电量几乎为零，但网损（0.907 MWh）与购电费用（33923 元）均居中，电压范围 0.971—1.025 p.u.，运行最均衡；</w:t>
      </w:r>
    </w:p>
    <w:p w14:paraId="0000006B">
      <w:pPr>
        <w:numPr>
          <w:ilvl w:val="0"/>
          <w:numId w:val="2"/>
        </w:numPr>
      </w:pPr>
      <w:r>
        <w:rPr>
          <w:rFonts w:hint="eastAsia"/>
        </w:rPr>
        <w:t>目标 B 网损最小（0.662 MWh），但为此不惜弃光 10.03 MWh，且购电费用最高（40913 元）——减少网损意味着限制重载支路潮流，储能被迫少送电、光伏被迫压出力；</w:t>
      </w:r>
    </w:p>
    <w:p w14:paraId="0000006C">
      <w:pPr>
        <w:numPr>
          <w:ilvl w:val="0"/>
          <w:numId w:val="2"/>
        </w:numPr>
      </w:pPr>
      <w:r>
        <w:rPr>
          <w:rFonts w:hint="eastAsia"/>
        </w:rPr>
        <w:t>目标 C 购电费用最低（30613 元），但网损最大（1.591 MWh），且节点电压触及 0.95 与 1.05 p.u. 双侧限值：模型倾向于最大化低价时段购电与光伏就地消纳，把电压推到极限边界上换取经济性。</w:t>
      </w:r>
    </w:p>
    <w:p w14:paraId="0000006D">
      <w:r>
        <w:rPr>
          <w:rFonts w:hint="eastAsia"/>
        </w:rPr>
        <w:t>关于目标 C 的"教学特例"：讲义提示二阶锥松弛在最小购电目标下可能不精确，导致模型电压满足约束而交流电压越限。本算例校验结果显示最大锥间隙仅 3.3e-10、交流电压与模型电压几乎一致，松弛恰好精确；但目标 C 的电压确实贴在上下限运行，若参数或负荷进一步变化，该目标下最容易出现松弛失效与交流越限，工程中应结合交流潮流校核并保留电压裕度。</w:t>
      </w:r>
    </w:p>
    <w:p w14:paraId="0000000C">
      <w:pPr>
        <w:rPr>
          <w:kern w:val="2"/>
          <w:sz w:val="21"/>
          <w:szCs w:val="22"/>
        </w:rPr>
      </w:pPr>
    </w:p>
    <w:p w14:paraId="0000006E">
      <w:pPr>
        <w:pStyle w:val="2"/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五、课程设计总结</w:t>
      </w:r>
    </w:p>
    <w:p w14:paraId="0000006F">
      <w:r>
        <w:rPr>
          <w:rFonts w:hint="eastAsia"/>
        </w:rPr>
        <w:t>本次课程设计按学号 206231331 对应参数完成了三个递进任务：任务一用 MATPOWER 逐时交流潮流定量刻画了农村配电网"午后电压抬升、晚高峰电压越限风险"的时序特征（最低电压 0.95389 p.u.，全天损耗 1.0138 MWh）；任务二用 YALMIP 建立单节点储能套利 MILP/LP 模型，验证了互斥约束建模的必要性及其在典型峰谷电价下的松弛性质，获得日收益 1553.6 元；任务三进一步建立含充放电互斥的 MISOCP 配电网调度模型，通过 A/B/C 三种目标的对比，揭示了光伏消纳、网损与购电成本之间的矛盾关系，并通过锥间隙与交流潮流复核理解了二阶锥松弛的适用条件。通过本次课设，掌握了 MATPOWER 潮流计算、YALMIP 建模（intlinprog/MOSEK）、Git 提交规范以及"模型—求解—校核—分析"的完整优化流程。</w:t>
      </w:r>
    </w:p>
    <w:p w14:paraId="00000070">
      <w:pPr>
        <w:spacing w:after="93" w:afterLines="30" w:line="800" w:lineRule="exact"/>
        <w:jc w:val="center"/>
        <w:rPr>
          <w:rFonts w:ascii="华文隶书" w:hAnsi="Times New Roman" w:eastAsia="华文隶书" w:cs="Times New Roman"/>
          <w:sz w:val="32"/>
          <w:szCs w:val="24"/>
        </w:rPr>
      </w:pPr>
    </w:p>
    <w:sectPr>
      <w:headerReference r:id="rId3" w:type="even"/>
      <w:footerReference r:id="rId4" w:type="even"/>
      <w:type w:val="continuous"/>
      <w:pgSz w:w="11906" w:h="16838"/>
      <w:pgMar w:top="1440" w:right="1134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6">
    <w:pPr>
      <w:framePr w:wrap="around" w:vAnchor="text" w:hAnchor="margin" w:xAlign="center" w:y="1"/>
      <w:snapToGrid w:val="0"/>
      <w:jc w:val="left"/>
      <w:rPr>
        <w:sz w:val="18"/>
        <w:szCs w:val="18"/>
      </w:rPr>
    </w:pPr>
    <w:r>
      <w:rPr>
        <w:rStyle w:val="9"/>
        <w:sz w:val="18"/>
        <w:szCs w:val="18"/>
      </w:rPr>
      <w:fldChar w:fldCharType="begin"/>
    </w:r>
    <w:r>
      <w:rPr>
        <w:rStyle w:val="9"/>
        <w:sz w:val="18"/>
        <w:szCs w:val="18"/>
      </w:rPr>
      <w:instrText xml:space="preserve">PAGE  </w:instrText>
    </w:r>
    <w:r>
      <w:rPr>
        <w:rStyle w:val="9"/>
        <w:sz w:val="18"/>
        <w:szCs w:val="18"/>
      </w:rPr>
      <w:fldChar w:fldCharType="end"/>
    </w:r>
  </w:p>
  <w:p w14:paraId="00000077">
    <w:pPr>
      <w:snapToGrid w:val="0"/>
      <w:jc w:val="left"/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5">
    <w:pPr>
      <w:pBdr>
        <w:bottom w:val="none" w:color="auto" w:sz="0" w:space="1"/>
      </w:pBdr>
      <w:snapToGrid w:val="0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wMLE0MTA1MDQ3MTdU0lEKTi0uzszPAykwqgUAjzphvywAAAA="/>
    <w:docVar w:name="commondata" w:val="eyJoZGlkIjoiMzEwNTM5NzYwMDRjMzkwZTVkZjY2ODkwMGIxNGU0OTUifQ=="/>
  </w:docVars>
  <w:rsids>
    <w:rsidRoot w:val="005D7859"/>
    <w:rsid w:val="00014ED1"/>
    <w:rsid w:val="00036067"/>
    <w:rsid w:val="0006698F"/>
    <w:rsid w:val="000A1C8B"/>
    <w:rsid w:val="000F4CE4"/>
    <w:rsid w:val="001416CA"/>
    <w:rsid w:val="00184636"/>
    <w:rsid w:val="001C6D0E"/>
    <w:rsid w:val="002324E5"/>
    <w:rsid w:val="002479F3"/>
    <w:rsid w:val="00263CA0"/>
    <w:rsid w:val="00266B13"/>
    <w:rsid w:val="00272526"/>
    <w:rsid w:val="002A3B6B"/>
    <w:rsid w:val="002D0E2D"/>
    <w:rsid w:val="00322DC3"/>
    <w:rsid w:val="00332623"/>
    <w:rsid w:val="003607A1"/>
    <w:rsid w:val="003E4BA4"/>
    <w:rsid w:val="00466218"/>
    <w:rsid w:val="00483194"/>
    <w:rsid w:val="00486B5B"/>
    <w:rsid w:val="004B7CFB"/>
    <w:rsid w:val="005509EF"/>
    <w:rsid w:val="005D2219"/>
    <w:rsid w:val="005D7859"/>
    <w:rsid w:val="005F0DB6"/>
    <w:rsid w:val="006062D1"/>
    <w:rsid w:val="00692F4E"/>
    <w:rsid w:val="006B2641"/>
    <w:rsid w:val="00757D62"/>
    <w:rsid w:val="00774591"/>
    <w:rsid w:val="007947DE"/>
    <w:rsid w:val="007D4B1A"/>
    <w:rsid w:val="007E56A8"/>
    <w:rsid w:val="008578E2"/>
    <w:rsid w:val="00892EF8"/>
    <w:rsid w:val="008B7B70"/>
    <w:rsid w:val="00912B28"/>
    <w:rsid w:val="00933D15"/>
    <w:rsid w:val="00940A55"/>
    <w:rsid w:val="009453E3"/>
    <w:rsid w:val="00952A2F"/>
    <w:rsid w:val="00962ED2"/>
    <w:rsid w:val="00972519"/>
    <w:rsid w:val="009B0EE9"/>
    <w:rsid w:val="009D0799"/>
    <w:rsid w:val="00A05F1B"/>
    <w:rsid w:val="00A11DA2"/>
    <w:rsid w:val="00A13E21"/>
    <w:rsid w:val="00A63135"/>
    <w:rsid w:val="00AB348A"/>
    <w:rsid w:val="00AE4BAB"/>
    <w:rsid w:val="00B140AE"/>
    <w:rsid w:val="00B1491E"/>
    <w:rsid w:val="00C04D0E"/>
    <w:rsid w:val="00C04D55"/>
    <w:rsid w:val="00C20450"/>
    <w:rsid w:val="00C40C8D"/>
    <w:rsid w:val="00C66812"/>
    <w:rsid w:val="00CA573C"/>
    <w:rsid w:val="00CA7BCB"/>
    <w:rsid w:val="00CF385E"/>
    <w:rsid w:val="00D26081"/>
    <w:rsid w:val="00D41CBD"/>
    <w:rsid w:val="00D9649E"/>
    <w:rsid w:val="00E137F6"/>
    <w:rsid w:val="00EB5380"/>
    <w:rsid w:val="00ED0EA0"/>
    <w:rsid w:val="00EE55C9"/>
    <w:rsid w:val="00F053CD"/>
    <w:rsid w:val="00F1367B"/>
    <w:rsid w:val="00F40B03"/>
    <w:rsid w:val="00FB3FFE"/>
    <w:rsid w:val="00FD24A0"/>
    <w:rsid w:val="00FD3D43"/>
    <w:rsid w:val="1C9B627A"/>
    <w:rsid w:val="4F672131"/>
    <w:rsid w:val="548D0188"/>
    <w:rsid w:val="68866F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1"/>
    <w:semiHidden/>
    <w:unhideWhenUsed/>
    <w:uiPriority w:val="99"/>
    <w:pPr>
      <w:ind w:left="100" w:leftChars="2500"/>
    </w:p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日期 字符"/>
    <w:basedOn w:val="8"/>
    <w:link w:val="4"/>
    <w:semiHidden/>
    <w:uiPriority w:val="99"/>
  </w:style>
  <w:style w:type="character" w:customStyle="1" w:styleId="12">
    <w:name w:val="页眉 字符"/>
    <w:basedOn w:val="8"/>
    <w:link w:val="6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3612</Words>
  <Characters>4432</Characters>
  <TotalTime>2</TotalTime>
  <ScaleCrop>false</ScaleCrop>
  <LinksUpToDate>false</LinksUpToDate>
  <CharactersWithSpaces>5027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2026-10-30T20:06:00Z</dcterms:created>
  <dc:creator>23668</dc:creator>
  <cp:lastModifiedBy>WPS_1692795230</cp:lastModifiedBy>
  <dcterms:modified xsi:type="dcterms:W3CDTF">2026-10-30T12:10:57Z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C93FB023C38D43CABB28BCAA3F0D34D2_12</vt:lpwstr>
  </property>
  <property fmtid="{D5CDD505-2E9C-101B-9397-08002B2CF9AE}" pid="4" name="KSOTemplateDocerSaveRecord">
    <vt:lpwstr>eyJoZGlkIjoiMjU4YzBmMGYzZTkyNmI5NjQxMWZjZTZlOTMyNDY5ZTQiLCJ1c2VySWQiOiIxNTIyNDE1NzI4In0=</vt:lpwstr>
  </property>
</Properties>
</file>