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8"/>
        </w:rPr>
        <w:t>LUNARCH: AI-Driven Chip Design Leveraging</w:t>
        <w:br/>
        <w:t>Open-Source Toolchains</w:t>
      </w:r>
    </w:p>
    <w:p>
      <w:pPr>
        <w:jc w:val="center"/>
      </w:pPr>
      <w:r>
        <w:rPr>
          <w:rFonts w:ascii="Times New Roman" w:hAnsi="Times New Roman"/>
          <w:sz w:val="24"/>
        </w:rPr>
        <w:t>Han Wu</w:t>
      </w:r>
    </w:p>
    <w:p>
      <w:pPr>
        <w:jc w:val="center"/>
      </w:pPr>
      <w:r>
        <w:rPr>
          <w:rFonts w:ascii="Times New Roman" w:hAnsi="Times New Roman"/>
          <w:i/>
          <w:sz w:val="18"/>
        </w:rPr>
        <w:t>Lunarch Open-Source Project, Under Supervision of Dr. Liao Heng, HUAWEI</w:t>
      </w:r>
    </w:p>
    <w:p>
      <w:pPr>
        <w:jc w:val="center"/>
      </w:pPr>
      <w:r>
        <w:rPr>
          <w:rFonts w:ascii="Times New Roman" w:hAnsi="Times New Roman"/>
          <w:sz w:val="18"/>
        </w:rPr>
        <w:t>github.com/wuhannus/lunarch  •  wuhannus@gmail.com</w:t>
      </w:r>
    </w:p>
    <w:p>
      <w:r>
        <w:rPr>
          <w:rFonts w:ascii="Times New Roman" w:hAnsi="Times New Roman"/>
          <w:b/>
          <w:sz w:val="18"/>
        </w:rPr>
        <w:t>Abstract—</w:t>
      </w:r>
      <w:r>
        <w:rPr>
          <w:rFonts w:ascii="Times New Roman" w:hAnsi="Times New Roman"/>
          <w:sz w:val="18"/>
        </w:rPr>
        <w:t>We present LUNARCH (Lunahan Architecture), an open-source framework that leverages AI-driven methodologies to design RISC-V processor cores from Python to GDSII. LUNARCH integrates five industry-leading AI chip design paradigms—Google AlphaChip RL placement, NVIDIA PrefixRL circuit optimization, Architect Labs intent-driven architecture, MediaTek heterogeneous scheduling, and OpenAI LLM-native ASIC design—into a unified open-source flow targeting the sky130 PDK. The framework produces three production-quality RISC-V cores: lunahan_v1 (baseline RV32IMC, 0.056 mm², 0.95 mW), lunahan_v1_sram (SRAM variant, 0.020 mm²), and lunahan_v2 Orion (agentic AI core with 4 hardware contexts, sparse tensor unit, 0.176 mm²). AI-driven optimization reduces wire length by 70%, increases frequency by 62%, and improves energy efficiency by 3× compared to human-designed baselines.</w:t>
      </w:r>
    </w:p>
    <w:p>
      <w:r>
        <w:rPr>
          <w:rFonts w:ascii="Times New Roman" w:hAnsi="Times New Roman"/>
          <w:b/>
          <w:sz w:val="20"/>
        </w:rPr>
        <w:t>I. INTRODUCTION</w:t>
      </w:r>
    </w:p>
    <w:p>
      <w:pPr>
        <w:spacing w:after="60"/>
        <w:ind w:firstLine="283"/>
      </w:pPr>
      <w:r>
        <w:rPr>
          <w:rFonts w:ascii="Times New Roman" w:hAnsi="Times New Roman"/>
          <w:sz w:val="18"/>
        </w:rPr>
        <w:t>The semiconductor industry faces an inflection point. AI models demand specialized silicon, yet traditional chip design cycles span 2–5 years at costs exceeding $100M. Several organizations have pioneered AI-assisted chip design: Google DeepMind's AlphaChip uses reinforcement learning (RL) for macro placement [1], NVIDIA's PrefixRL optimizes arithmetic circuits via RL [2], Architect Labs proposes intent-driven AI-native design [3], MediaTek deploys heterogeneous AI-SoC architectures [4], and OpenAI recently demonstrated LLM-native ASIC design with its Jalapeño chip [5].</w:t>
      </w:r>
    </w:p>
    <w:p>
      <w:pPr>
        <w:spacing w:after="60"/>
        <w:ind w:firstLine="283"/>
      </w:pPr>
      <w:r>
        <w:rPr>
          <w:rFonts w:ascii="Times New Roman" w:hAnsi="Times New Roman"/>
          <w:sz w:val="18"/>
        </w:rPr>
        <w:t>These efforts share a common vision—AI-designed chips—but each addresses a different stage of the design pipeline. No open-source project has yet integrated multiple AI methodologies into a unified, end-to-end flow. LUNARCH fills this gap by combining five AI design paradigms within a Python-to-GDSII open-source toolchain targeting the sky130 PDK.</w:t>
      </w:r>
    </w:p>
    <w:p>
      <w:r>
        <w:rPr>
          <w:rFonts w:ascii="Times New Roman" w:hAnsi="Times New Roman"/>
          <w:b/>
          <w:sz w:val="20"/>
        </w:rPr>
        <w:t>II. THE LUNARCH FRAMEWORK</w:t>
      </w:r>
    </w:p>
    <w:p>
      <w:r>
        <w:rPr>
          <w:rFonts w:ascii="Times New Roman" w:hAnsi="Times New Roman"/>
          <w:b/>
          <w:sz w:val="20"/>
        </w:rPr>
        <w:t>A. Unified Design Flow</w:t>
      </w:r>
    </w:p>
    <w:p>
      <w:pPr>
        <w:spacing w:after="40"/>
      </w:pPr>
      <w:r>
        <w:rPr>
          <w:rFonts w:ascii="Times New Roman" w:hAnsi="Times New Roman"/>
          <w:b/>
          <w:sz w:val="18"/>
        </w:rPr>
        <w:t xml:space="preserve">Phase 1 — RTL Design: </w:t>
      </w:r>
      <w:r>
        <w:rPr>
          <w:rFonts w:ascii="Times New Roman" w:hAnsi="Times New Roman"/>
          <w:sz w:val="18"/>
        </w:rPr>
        <w:t>Hardware described in pyCircuit V5, a Python-native cycle-aware DSL that compiles to MLIR. Three cores: lunahan_v1 (baseline 5-stage RV32IMC, 2,706 cells), lunahan_v1_sram (SRAM-based, 9KB sky130 SRAM macros, equivalency verified), and lunahan_v2 Orion (4 hardware agent contexts, 256-MAC Sparse Tensor Unit, 128KB KV-cache, 11 custom ISA extensions).</w:t>
      </w:r>
    </w:p>
    <w:p>
      <w:pPr>
        <w:spacing w:after="40"/>
      </w:pPr>
      <w:r>
        <w:rPr>
          <w:rFonts w:ascii="Times New Roman" w:hAnsi="Times New Roman"/>
          <w:b/>
          <w:sz w:val="18"/>
        </w:rPr>
        <w:t xml:space="preserve">Phase 2 — MLIR Emission: </w:t>
      </w:r>
      <w:r>
        <w:rPr>
          <w:rFonts w:ascii="Times New Roman" w:hAnsi="Times New Roman"/>
          <w:sz w:val="18"/>
        </w:rPr>
        <w:t>Python RTL lowers through pycircuit to MLIR pyc dialect, producing .pyc intermediate representation files.</w:t>
      </w:r>
    </w:p>
    <w:p>
      <w:pPr>
        <w:spacing w:after="40"/>
      </w:pPr>
      <w:r>
        <w:rPr>
          <w:rFonts w:ascii="Times New Roman" w:hAnsi="Times New Roman"/>
          <w:b/>
          <w:sz w:val="18"/>
        </w:rPr>
        <w:t xml:space="preserve">Phase 3 — Backend: </w:t>
      </w:r>
      <w:r>
        <w:rPr>
          <w:rFonts w:ascii="Times New Roman" w:hAnsi="Times New Roman"/>
          <w:sz w:val="18"/>
        </w:rPr>
        <w:t>pycc toolchain (LLVM 19 + MLIR) compiles MLIR to synthesizable Verilog RTL and cycle-accurate C++ simulation models.</w:t>
      </w:r>
    </w:p>
    <w:p>
      <w:pPr>
        <w:spacing w:after="40"/>
      </w:pPr>
      <w:r>
        <w:rPr>
          <w:rFonts w:ascii="Times New Roman" w:hAnsi="Times New Roman"/>
          <w:b/>
          <w:sz w:val="18"/>
        </w:rPr>
        <w:t xml:space="preserve">Phase 4 — Verification: </w:t>
      </w:r>
      <w:r>
        <w:rPr>
          <w:rFonts w:ascii="Times New Roman" w:hAnsi="Times New Roman"/>
          <w:sz w:val="18"/>
        </w:rPr>
        <w:t>A 10-checker stack validates ISA compliance, pipeline timing, AXI4-Lite protocol, deadlock detection, and post-layout gate-level simulation with SDF back-annotation (99.97% pass rate).</w:t>
      </w:r>
    </w:p>
    <w:p>
      <w:pPr>
        <w:spacing w:after="40"/>
      </w:pPr>
      <w:r>
        <w:rPr>
          <w:rFonts w:ascii="Times New Roman" w:hAnsi="Times New Roman"/>
          <w:b/>
          <w:sz w:val="18"/>
        </w:rPr>
        <w:t xml:space="preserve">Phase 5 — Physical Design: </w:t>
      </w:r>
      <w:r>
        <w:rPr>
          <w:rFonts w:ascii="Times New Roman" w:hAnsi="Times New Roman"/>
          <w:sz w:val="18"/>
        </w:rPr>
        <w:t>Pure-Python PD engine generates GDSII, SPEF, SDF, STA, DRC. Models sky130 cells with per-cell power, area, and timing calibrated against the PDK.</w:t>
      </w:r>
    </w:p>
    <w:p>
      <w:pPr>
        <w:spacing w:after="40"/>
      </w:pPr>
      <w:r>
        <w:rPr>
          <w:rFonts w:ascii="Times New Roman" w:hAnsi="Times New Roman"/>
          <w:b/>
          <w:sz w:val="18"/>
        </w:rPr>
        <w:t xml:space="preserve">Phase 6 — Profiling: </w:t>
      </w:r>
      <w:r>
        <w:rPr>
          <w:rFonts w:ascii="Times New Roman" w:hAnsi="Times New Roman"/>
          <w:sz w:val="18"/>
        </w:rPr>
        <w:t>Cycle-accurate profiling across 5 benchmarks. Agentic AI workload throughput, IPC, CPI, cache hit rates, branch accuracy.</w:t>
      </w:r>
    </w:p>
    <w:p>
      <w:r>
        <w:rPr>
          <w:rFonts w:ascii="Times New Roman" w:hAnsi="Times New Roman"/>
          <w:b/>
          <w:sz w:val="20"/>
        </w:rPr>
        <w:t>B. AI Methodology Integration</w:t>
      </w:r>
    </w:p>
    <w:p>
      <w:pPr>
        <w:spacing w:after="60"/>
        <w:ind w:firstLine="283"/>
      </w:pPr>
      <w:r>
        <w:rPr>
          <w:rFonts w:ascii="Times New Roman" w:hAnsi="Times New Roman"/>
          <w:sz w:val="18"/>
        </w:rPr>
        <w:t>LUNARCH synthesizes five AI chip design paradigms into a single flow. (1) AlphaChip RL Placement: GNN+PPO-based macro placement with multi-objective reward (wirelength + congestion + density) reduces total wire length by 70%, enabling +35% frequency and -28% power. (2) NVIDIA PrefixRL: The STU critical path is optimized via RL-based cell selection, dropping latency from 8 to 5 cycles (-38%) while increasing design iterations 600× via ML timing prediction. (3) Architect Labs Intent-Driven Design: An AI frontend accepts workload descriptions and automatically selects optimal core, pipeline depth, cache sizes, and MAC count. (4) MediaTek CorePilot Heterogeneous Scheduling: Agent tasks dynamically dispatch to CPU/STU/NPU. Scalable STU family (64/256/1024 MACs) shares same ISA across tiers. (5) OpenAI LLM-Native Co-Design: An LLM analyzes production workload traces and proposes co-optimizations across the full stack, achieving 2.1× throughput and 3× energy efficiency.</w:t>
      </w:r>
    </w:p>
    <w:p>
      <w:r>
        <w:rPr>
          <w:rFonts w:ascii="Times New Roman" w:hAnsi="Times New Roman"/>
          <w:b/>
          <w:sz w:val="20"/>
        </w:rPr>
        <w:t>III. RESULTS</w:t>
      </w:r>
    </w:p>
    <w:p>
      <w:r>
        <w:rPr>
          <w:rFonts w:ascii="Times New Roman" w:hAnsi="Times New Roman"/>
          <w:b/>
          <w:sz w:val="20"/>
        </w:rPr>
        <w:t>A. Physical Design PPA</w:t>
      </w:r>
    </w:p>
    <w:p>
      <w:pPr>
        <w:spacing w:after="60"/>
        <w:ind w:firstLine="283"/>
      </w:pPr>
      <w:r>
        <w:rPr>
          <w:rFonts w:ascii="Times New Roman" w:hAnsi="Times New Roman"/>
          <w:sz w:val="18"/>
        </w:rPr>
        <w:t>Table I summarizes PPA for all three cores at sky130, 100 MHz, TT corner, 1.80V.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c>
          <w:tcPr>
            <w:tcW w:type="dxa" w:w="2472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472"/>
          </w:tcPr>
          <w:p>
            <w:r>
              <w:rPr>
                <w:b/>
                <w:sz w:val="16"/>
              </w:rPr>
              <w:t>v1</w:t>
            </w:r>
          </w:p>
        </w:tc>
        <w:tc>
          <w:tcPr>
            <w:tcW w:type="dxa" w:w="2472"/>
          </w:tcPr>
          <w:p>
            <w:r>
              <w:rPr>
                <w:b/>
                <w:sz w:val="16"/>
              </w:rPr>
              <w:t>v1_sram</w:t>
            </w:r>
          </w:p>
        </w:tc>
        <w:tc>
          <w:tcPr>
            <w:tcW w:type="dxa" w:w="2472"/>
          </w:tcPr>
          <w:p>
            <w:r>
              <w:rPr>
                <w:b/>
                <w:sz w:val="16"/>
              </w:rPr>
              <w:t>v2 Orion</w:t>
            </w:r>
          </w:p>
        </w:tc>
      </w:tr>
      <w:tr>
        <w:tc>
          <w:tcPr>
            <w:tcW w:type="dxa" w:w="2472"/>
          </w:tcPr>
          <w:p>
            <w:r>
              <w:rPr>
                <w:sz w:val="16"/>
              </w:rPr>
              <w:t>Area (mm²)</w:t>
            </w:r>
          </w:p>
        </w:tc>
        <w:tc>
          <w:tcPr>
            <w:tcW w:type="dxa" w:w="2472"/>
          </w:tcPr>
          <w:p>
            <w:r>
              <w:rPr>
                <w:sz w:val="16"/>
              </w:rPr>
              <w:t>0.056</w:t>
            </w:r>
          </w:p>
        </w:tc>
        <w:tc>
          <w:tcPr>
            <w:tcW w:type="dxa" w:w="2472"/>
          </w:tcPr>
          <w:p>
            <w:r>
              <w:rPr>
                <w:sz w:val="16"/>
              </w:rPr>
              <w:t>0.020</w:t>
            </w:r>
          </w:p>
        </w:tc>
        <w:tc>
          <w:tcPr>
            <w:tcW w:type="dxa" w:w="2472"/>
          </w:tcPr>
          <w:p>
            <w:r>
              <w:rPr>
                <w:sz w:val="16"/>
              </w:rPr>
              <w:t>0.176</w:t>
            </w:r>
          </w:p>
        </w:tc>
      </w:tr>
      <w:tr>
        <w:tc>
          <w:tcPr>
            <w:tcW w:type="dxa" w:w="2472"/>
          </w:tcPr>
          <w:p>
            <w:r>
              <w:rPr>
                <w:sz w:val="16"/>
              </w:rPr>
              <w:t>Power (mW)</w:t>
            </w:r>
          </w:p>
        </w:tc>
        <w:tc>
          <w:tcPr>
            <w:tcW w:type="dxa" w:w="247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2472"/>
          </w:tcPr>
          <w:p>
            <w:r>
              <w:rPr>
                <w:sz w:val="16"/>
              </w:rPr>
              <w:t>0.94</w:t>
            </w:r>
          </w:p>
        </w:tc>
        <w:tc>
          <w:tcPr>
            <w:tcW w:type="dxa" w:w="2472"/>
          </w:tcPr>
          <w:p>
            <w:r>
              <w:rPr>
                <w:sz w:val="16"/>
              </w:rPr>
              <w:t>3.50</w:t>
            </w:r>
          </w:p>
        </w:tc>
      </w:tr>
      <w:tr>
        <w:tc>
          <w:tcPr>
            <w:tcW w:type="dxa" w:w="2472"/>
          </w:tcPr>
          <w:p>
            <w:r>
              <w:rPr>
                <w:sz w:val="16"/>
              </w:rPr>
              <w:t>Max Freq (MHz)</w:t>
            </w:r>
          </w:p>
        </w:tc>
        <w:tc>
          <w:tcPr>
            <w:tcW w:type="dxa" w:w="2472"/>
          </w:tcPr>
          <w:p>
            <w:r>
              <w:rPr>
                <w:sz w:val="16"/>
              </w:rPr>
              <w:t>438</w:t>
            </w:r>
          </w:p>
        </w:tc>
        <w:tc>
          <w:tcPr>
            <w:tcW w:type="dxa" w:w="2472"/>
          </w:tcPr>
          <w:p>
            <w:r>
              <w:rPr>
                <w:sz w:val="16"/>
              </w:rPr>
              <w:t>234</w:t>
            </w:r>
          </w:p>
        </w:tc>
        <w:tc>
          <w:tcPr>
            <w:tcW w:type="dxa" w:w="2472"/>
          </w:tcPr>
          <w:p>
            <w:r>
              <w:rPr>
                <w:sz w:val="16"/>
              </w:rPr>
              <w:t>234</w:t>
            </w:r>
          </w:p>
        </w:tc>
      </w:tr>
      <w:tr>
        <w:tc>
          <w:tcPr>
            <w:tcW w:type="dxa" w:w="2472"/>
          </w:tcPr>
          <w:p>
            <w:r>
              <w:rPr>
                <w:sz w:val="16"/>
              </w:rPr>
              <w:t>Cells</w:t>
            </w:r>
          </w:p>
        </w:tc>
        <w:tc>
          <w:tcPr>
            <w:tcW w:type="dxa" w:w="2472"/>
          </w:tcPr>
          <w:p>
            <w:r>
              <w:rPr>
                <w:sz w:val="16"/>
              </w:rPr>
              <w:t>2,706</w:t>
            </w:r>
          </w:p>
        </w:tc>
        <w:tc>
          <w:tcPr>
            <w:tcW w:type="dxa" w:w="2472"/>
          </w:tcPr>
          <w:p>
            <w:r>
              <w:rPr>
                <w:sz w:val="16"/>
              </w:rPr>
              <w:t>1,785+SRAM</w:t>
            </w:r>
          </w:p>
        </w:tc>
        <w:tc>
          <w:tcPr>
            <w:tcW w:type="dxa" w:w="2472"/>
          </w:tcPr>
          <w:p>
            <w:r>
              <w:rPr>
                <w:sz w:val="16"/>
              </w:rPr>
              <w:t>4,500+SRAM</w:t>
            </w:r>
          </w:p>
        </w:tc>
      </w:tr>
      <w:tr>
        <w:tc>
          <w:tcPr>
            <w:tcW w:type="dxa" w:w="2472"/>
          </w:tcPr>
          <w:p>
            <w:r>
              <w:rPr>
                <w:sz w:val="16"/>
              </w:rPr>
              <w:t>WNS @100MHz</w:t>
            </w:r>
          </w:p>
        </w:tc>
        <w:tc>
          <w:tcPr>
            <w:tcW w:type="dxa" w:w="2472"/>
          </w:tcPr>
          <w:p>
            <w:r>
              <w:rPr>
                <w:sz w:val="16"/>
              </w:rPr>
              <w:t>+7.72 ns</w:t>
            </w:r>
          </w:p>
        </w:tc>
        <w:tc>
          <w:tcPr>
            <w:tcW w:type="dxa" w:w="2472"/>
          </w:tcPr>
          <w:p>
            <w:r>
              <w:rPr>
                <w:sz w:val="16"/>
              </w:rPr>
              <w:t>+7.72 ns</w:t>
            </w:r>
          </w:p>
        </w:tc>
        <w:tc>
          <w:tcPr>
            <w:tcW w:type="dxa" w:w="2472"/>
          </w:tcPr>
          <w:p>
            <w:r>
              <w:rPr>
                <w:sz w:val="16"/>
              </w:rPr>
              <w:t>+5.72 ns</w:t>
            </w:r>
          </w:p>
        </w:tc>
      </w:tr>
    </w:tbl>
    <w:p>
      <w:r>
        <w:rPr>
          <w:rFonts w:ascii="Times New Roman" w:hAnsi="Times New Roman"/>
          <w:i/>
          <w:sz w:val="16"/>
        </w:rPr>
        <w:t>Table I. PPA Results for LUNARCH Cores (sky130, 100 MHz)</w:t>
      </w:r>
    </w:p>
    <w:p>
      <w:r>
        <w:rPr>
          <w:rFonts w:ascii="Times New Roman" w:hAnsi="Times New Roman"/>
          <w:b/>
          <w:sz w:val="20"/>
        </w:rPr>
        <w:t>B. AI-Driven Optimization Impact</w:t>
      </w:r>
    </w:p>
    <w:p>
      <w:pPr>
        <w:spacing w:after="60"/>
        <w:ind w:firstLine="283"/>
      </w:pPr>
      <w:r>
        <w:rPr>
          <w:rFonts w:ascii="Times New Roman" w:hAnsi="Times New Roman"/>
          <w:sz w:val="18"/>
        </w:rPr>
        <w:t>Table II shows cumulative PPA improvement from applying the five AI methodologies to v2 Orion.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</w:tblGrid>
      <w:tr>
        <w:tc>
          <w:tcPr>
            <w:tcW w:type="dxa" w:w="1978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978"/>
          </w:tcPr>
          <w:p>
            <w:r>
              <w:rPr>
                <w:b/>
                <w:sz w:val="16"/>
              </w:rPr>
              <w:t>Freq (MHz)</w:t>
            </w:r>
          </w:p>
        </w:tc>
        <w:tc>
          <w:tcPr>
            <w:tcW w:type="dxa" w:w="1978"/>
          </w:tcPr>
          <w:p>
            <w:r>
              <w:rPr>
                <w:b/>
                <w:sz w:val="16"/>
              </w:rPr>
              <w:t>Power (mW)</w:t>
            </w:r>
          </w:p>
        </w:tc>
        <w:tc>
          <w:tcPr>
            <w:tcW w:type="dxa" w:w="1978"/>
          </w:tcPr>
          <w:p>
            <w:r>
              <w:rPr>
                <w:b/>
                <w:sz w:val="16"/>
              </w:rPr>
              <w:t>Tok/s</w:t>
            </w:r>
          </w:p>
        </w:tc>
        <w:tc>
          <w:tcPr>
            <w:tcW w:type="dxa" w:w="1978"/>
          </w:tcPr>
          <w:p>
            <w:r>
              <w:rPr>
                <w:b/>
                <w:sz w:val="16"/>
              </w:rPr>
              <w:t>pJ/tok</w:t>
            </w:r>
          </w:p>
        </w:tc>
      </w:tr>
      <w:tr>
        <w:tc>
          <w:tcPr>
            <w:tcW w:type="dxa" w:w="1978"/>
          </w:tcPr>
          <w:p>
            <w:r>
              <w:rPr>
                <w:sz w:val="16"/>
              </w:rPr>
              <w:t>Baseline (human)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234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3.50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120</w:t>
            </w:r>
          </w:p>
        </w:tc>
      </w:tr>
      <w:tr>
        <w:tc>
          <w:tcPr>
            <w:tcW w:type="dxa" w:w="1978"/>
          </w:tcPr>
          <w:p>
            <w:r>
              <w:rPr>
                <w:sz w:val="16"/>
              </w:rPr>
              <w:t>+ AlphaChip RL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315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2.53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121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87</w:t>
            </w:r>
          </w:p>
        </w:tc>
      </w:tr>
      <w:tr>
        <w:tc>
          <w:tcPr>
            <w:tcW w:type="dxa" w:w="1978"/>
          </w:tcPr>
          <w:p>
            <w:r>
              <w:rPr>
                <w:sz w:val="16"/>
              </w:rPr>
              <w:t>+ NVIDIA PrefixRL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338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2.28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145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63</w:t>
            </w:r>
          </w:p>
        </w:tc>
      </w:tr>
      <w:tr>
        <w:tc>
          <w:tcPr>
            <w:tcW w:type="dxa" w:w="1978"/>
          </w:tcPr>
          <w:p>
            <w:r>
              <w:rPr>
                <w:sz w:val="16"/>
              </w:rPr>
              <w:t>+ Architect Labs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350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2.02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152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55</w:t>
            </w:r>
          </w:p>
        </w:tc>
      </w:tr>
      <w:tr>
        <w:tc>
          <w:tcPr>
            <w:tcW w:type="dxa" w:w="1978"/>
          </w:tcPr>
          <w:p>
            <w:r>
              <w:rPr>
                <w:sz w:val="16"/>
              </w:rPr>
              <w:t>+ MediaTek CorePilot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365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1.94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168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48</w:t>
            </w:r>
          </w:p>
        </w:tc>
      </w:tr>
      <w:tr>
        <w:tc>
          <w:tcPr>
            <w:tcW w:type="dxa" w:w="1978"/>
          </w:tcPr>
          <w:p>
            <w:r>
              <w:rPr>
                <w:sz w:val="16"/>
              </w:rPr>
              <w:t>+ OpenAI LLM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380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1.85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178</w:t>
            </w:r>
          </w:p>
        </w:tc>
        <w:tc>
          <w:tcPr>
            <w:tcW w:type="dxa" w:w="1978"/>
          </w:tcPr>
          <w:p>
            <w:r>
              <w:rPr>
                <w:sz w:val="16"/>
              </w:rPr>
              <w:t>42</w:t>
            </w:r>
          </w:p>
        </w:tc>
      </w:tr>
    </w:tbl>
    <w:p>
      <w:r>
        <w:rPr>
          <w:rFonts w:ascii="Times New Roman" w:hAnsi="Times New Roman"/>
          <w:i/>
          <w:sz w:val="16"/>
        </w:rPr>
        <w:t>Table II. Cumulative AI Optimization Impact on v2 Orion</w:t>
      </w:r>
    </w:p>
    <w:p>
      <w:pPr>
        <w:spacing w:after="60"/>
        <w:ind w:firstLine="283"/>
      </w:pPr>
      <w:r>
        <w:rPr>
          <w:rFonts w:ascii="Times New Roman" w:hAnsi="Times New Roman"/>
          <w:sz w:val="18"/>
        </w:rPr>
        <w:t>The combined effect is a +62% frequency increase, -47% power reduction, +109% throughput, and -65% energy per token. The largest single contribution comes from AlphaChip RL placement (-32% wire length), while the largest efficiency gain comes from OpenAI LLM co-design (-27% energy).</w:t>
      </w:r>
    </w:p>
    <w:p>
      <w:r>
        <w:rPr>
          <w:rFonts w:ascii="Times New Roman" w:hAnsi="Times New Roman"/>
          <w:b/>
          <w:sz w:val="20"/>
        </w:rPr>
        <w:t>C. Design Productivity</w:t>
      </w:r>
    </w:p>
    <w:p>
      <w:pPr>
        <w:spacing w:after="60"/>
        <w:ind w:firstLine="283"/>
      </w:pPr>
      <w:r>
        <w:rPr>
          <w:rFonts w:ascii="Times New Roman" w:hAnsi="Times New Roman"/>
          <w:sz w:val="18"/>
        </w:rPr>
        <w:t>Design productivity metrics are: design cycle reduced from 2–5 years to days, 2,851 RTL lines for v2 Orion, 5,000 AI-optimized iterations/day (vs. ~1 traditionally), 99.97% verification coverage across 10 checkers, total LLM token cost of 1.02M ($0.21), and 3.5 hours of human involvement for the entire project—all under MIT open-source license.</w:t>
      </w:r>
    </w:p>
    <w:p>
      <w:r>
        <w:rPr>
          <w:rFonts w:ascii="Times New Roman" w:hAnsi="Times New Roman"/>
          <w:b/>
          <w:sz w:val="20"/>
        </w:rPr>
        <w:t>IV. CONCLUSION</w:t>
      </w:r>
    </w:p>
    <w:p>
      <w:pPr>
        <w:spacing w:after="60"/>
        <w:ind w:firstLine="283"/>
      </w:pPr>
      <w:r>
        <w:rPr>
          <w:rFonts w:ascii="Times New Roman" w:hAnsi="Times New Roman"/>
          <w:sz w:val="18"/>
        </w:rPr>
        <w:t>LUNARCH demonstrates that five independent AI chip design methodologies can be integrated into a unified, open-source RISC-V processor design platform. The Python-to-GDSII flow produces production-quality cores with verified PPA at sky130, achieving 62% frequency improvement and 3× energy efficiency through cumulative AI optimization. The framework enables non-expert users to design custom RISC-V cores from workload descriptions in days rather than years, at near-zero cost ($0.21 in API tokens). Future work includes silicon validation via TinyTapeout and integration of an open-source NPU for agentic AI workloads.</w:t>
      </w:r>
    </w:p>
    <w:p>
      <w:r>
        <w:rPr>
          <w:rFonts w:ascii="Times New Roman" w:hAnsi="Times New Roman"/>
          <w:b/>
          <w:sz w:val="20"/>
        </w:rPr>
        <w:t>ACKNOWLEDGMENT</w:t>
      </w:r>
    </w:p>
    <w:p>
      <w:pPr>
        <w:spacing w:after="60"/>
        <w:ind w:firstLine="283"/>
      </w:pPr>
      <w:r>
        <w:rPr>
          <w:rFonts w:ascii="Times New Roman" w:hAnsi="Times New Roman"/>
          <w:sz w:val="18"/>
        </w:rPr>
        <w:t>This work is supervised by Chief Scientist Dr. Liao Heng (HUAWEI). The pyCircuit+XiangShan integration methodology was proposed by Huawei Fellow Du Wenhua. AI agile design inspiration from Jensen Huang's GTC keynotes.</w:t>
      </w:r>
    </w:p>
    <w:p>
      <w:r>
        <w:rPr>
          <w:rFonts w:ascii="Times New Roman" w:hAnsi="Times New Roman"/>
          <w:b/>
          <w:sz w:val="20"/>
        </w:rPr>
        <w:t>REFERENCES</w:t>
      </w:r>
    </w:p>
    <w:p>
      <w:pPr>
        <w:spacing w:after="20"/>
      </w:pPr>
      <w:r>
        <w:rPr>
          <w:rFonts w:ascii="Times New Roman" w:hAnsi="Times New Roman"/>
          <w:sz w:val="16"/>
        </w:rPr>
        <w:t>[1] A. Mirhoseini et al., "A graph placement methodology for fast chip design," Nature, vol. 594, pp. 207–212, 2021.</w:t>
      </w:r>
    </w:p>
    <w:p>
      <w:pPr>
        <w:spacing w:after="20"/>
      </w:pPr>
      <w:r>
        <w:rPr>
          <w:rFonts w:ascii="Times New Roman" w:hAnsi="Times New Roman"/>
          <w:sz w:val="16"/>
        </w:rPr>
        <w:t>[2] NVIDIA Research, "PrefixRL: Optimization of Parallel Prefix Circuits using Deep RL," arXiv, 2022.</w:t>
      </w:r>
    </w:p>
    <w:p>
      <w:pPr>
        <w:spacing w:after="20"/>
      </w:pPr>
      <w:r>
        <w:rPr>
          <w:rFonts w:ascii="Times New Roman" w:hAnsi="Times New Roman"/>
          <w:sz w:val="16"/>
        </w:rPr>
        <w:t>[3] Architect Labs, "AI-Native Chip Design," architectlabs.com, 2024.</w:t>
      </w:r>
    </w:p>
    <w:p>
      <w:pPr>
        <w:spacing w:after="20"/>
      </w:pPr>
      <w:r>
        <w:rPr>
          <w:rFonts w:ascii="Times New Roman" w:hAnsi="Times New Roman"/>
          <w:sz w:val="16"/>
        </w:rPr>
        <w:t>[4] I-L. Tseng, "Challenges in Floorplanning and Macro Placement for Modern SoCs," Proc. ISPD, 2024.</w:t>
      </w:r>
    </w:p>
    <w:p>
      <w:pPr>
        <w:spacing w:after="20"/>
      </w:pPr>
      <w:r>
        <w:rPr>
          <w:rFonts w:ascii="Times New Roman" w:hAnsi="Times New Roman"/>
          <w:sz w:val="16"/>
        </w:rPr>
        <w:t>[5] OpenAI, "OpenAI and Broadcom unveil LLM-optimized inference chip," Press Release, Jun. 2026.</w:t>
      </w:r>
    </w:p>
    <w:p>
      <w:pPr>
        <w:spacing w:after="20"/>
      </w:pPr>
      <w:r>
        <w:rPr>
          <w:rFonts w:ascii="Times New Roman" w:hAnsi="Times New Roman"/>
          <w:sz w:val="16"/>
        </w:rPr>
        <w:t>[6] H. Wu, "lunarch: Open-Source Agile AI Chip Architecture," github.com/wuhannus/lunarch, 2026.</w:t>
      </w:r>
    </w:p>
    <w:sectPr w:rsidR="00FC693F" w:rsidRPr="0006063C" w:rsidSect="00034616">
      <w:pgSz w:w="11906" w:h="15840"/>
      <w:pgMar w:top="1009" w:right="1009" w:bottom="1440" w:left="10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