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sz w:val="48"/>
        </w:rPr>
        <w:t>LUNARCH: AI-Driven Chip Design Leveraging</w:t>
      </w:r>
    </w:p>
    <w:p>
      <w:pPr>
        <w:spacing w:after="40"/>
        <w:jc w:val="center"/>
      </w:pPr>
      <w:r>
        <w:rPr>
          <w:rFonts w:ascii="Times New Roman" w:hAnsi="Times New Roman"/>
          <w:b/>
          <w:i w:val="0"/>
          <w:sz w:val="48"/>
        </w:rPr>
        <w:t>Open-Source Toolchains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22"/>
        </w:rPr>
        <w:t>Han Wu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sz w:val="18"/>
        </w:rPr>
        <w:t>Lunarch Open-Source Project</w:t>
      </w:r>
    </w:p>
    <w:p>
      <w:pPr>
        <w:spacing w:after="40"/>
        <w:jc w:val="center"/>
      </w:pPr>
      <w:r>
        <w:rPr>
          <w:rFonts w:ascii="Times New Roman" w:hAnsi="Times New Roman"/>
          <w:b w:val="0"/>
          <w:i/>
          <w:sz w:val="18"/>
        </w:rPr>
        <w:t>Under Supervision of Dr. Liao Heng, HUAWEI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sz w:val="16"/>
        </w:rPr>
        <w:t>github.com/wuhannus/lunarch  •  wuhannus@gmail.com</w:t>
      </w:r>
    </w:p>
    <w:p/>
    <w:p>
      <w:pPr>
        <w:spacing w:after="60" w:before="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 w:val="0"/>
          <w:i w:val="0"/>
          <w:sz w:val="18"/>
        </w:rPr>
        <w:t>We present LUNARCH, an open-source framework that leverages AI-driven methodologies to design RISC-V processor cores from Python to GDSII. LUNARCH integrates five leading AI chip design paradigms—Google AlphaChip RL placement, NVIDIA PrefixRL circuit optimization, Architect Labs intent-driven architecture, MediaTek heterogeneous scheduling, and OpenAI LLM-native ASIC design—into a unified open-source flow targeting the sky130 PDK. The framework produces three RISC-V cores: lunahan_v1 (RV32IMC, 0.056 mm²), lunahan_v1_sram (SRAM variant, 0.020 mm²), and lunahan_v2 Orion (agentic AI, 0.176 mm²). AI-driven optimization reduces wire length by 70%, increases frequency by 62%, and improves energy efficiency by 3× versus human-designed baselines.</w:t>
      </w:r>
    </w:p>
    <w:p>
      <w:pPr>
        <w:spacing w:after="60" w:before="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 w:val="0"/>
          <w:i/>
          <w:sz w:val="18"/>
        </w:rPr>
        <w:t>RISC-V, AI chip design, open-source EDA, MLIR, Python-to-GDS, agentic AI, sky130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0"/>
        </w:rPr>
        <w:t>I. INTRODUCTION</w:t>
      </w:r>
    </w:p>
    <w:p>
      <w:pPr>
        <w:spacing w:after="60" w:before="0"/>
        <w:ind w:firstLine="283"/>
      </w:pPr>
      <w:r>
        <w:rPr>
          <w:sz w:val="18"/>
        </w:rPr>
        <w:t>The semiconductor industry faces an inflection point. AI models demand specialized silicon, yet traditional chip design cycles span 2–5 years at costs exceeding $100M. Several organizations have pioneered AI-assisted chip design: Google DeepMind’s AlphaChip uses reinforcement learning (RL) for macro placement [1], NVIDIA’s PrefixRL optimizes arithmetic circuits via RL [2], Architect Labs proposes intent-driven AI-native design [3], MediaTek deploys heterogeneous AI-SoC architectures [4], and OpenAI recently demonstrated LLM-native ASIC design with its Jalapeño chip [5].</w:t>
      </w:r>
    </w:p>
    <w:p>
      <w:pPr>
        <w:spacing w:after="60" w:before="0"/>
        <w:ind w:firstLine="283"/>
      </w:pPr>
      <w:r>
        <w:rPr>
          <w:sz w:val="18"/>
        </w:rPr>
        <w:t>These efforts share a common vision—AI-designed chips—but each addresses a different stage of the design pipeline. No open-source project has yet integrated multiple AI methodologies into a unified, end-to-end flow. LUNARCH fills this gap by combining five AI design paradigms within a Python-to-GDSII open-source toolchain targeting sky130 PDK.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0"/>
        </w:rPr>
        <w:t>II. THE LUNARCH FRAMEWORK</w:t>
      </w:r>
    </w:p>
    <w:p>
      <w:pPr>
        <w:spacing w:before="80" w:after="40"/>
      </w:pPr>
      <w:r>
        <w:rPr>
          <w:rFonts w:ascii="Times New Roman" w:hAnsi="Times New Roman"/>
          <w:b/>
          <w:i/>
          <w:sz w:val="18"/>
        </w:rPr>
        <w:t>A. Unified Design Flow</w:t>
      </w:r>
    </w:p>
    <w:p>
      <w:pPr>
        <w:spacing w:after="60" w:before="0"/>
        <w:ind w:firstLine="283"/>
      </w:pPr>
      <w:r>
        <w:rPr>
          <w:rFonts w:ascii="Times New Roman" w:hAnsi="Times New Roman"/>
          <w:b w:val="0"/>
          <w:i w:val="0"/>
          <w:sz w:val="18"/>
        </w:rPr>
        <w:t xml:space="preserve">LUNARCH’s design flow spans six automated phases. </w:t>
      </w:r>
      <w:r>
        <w:rPr>
          <w:rFonts w:ascii="Times New Roman" w:hAnsi="Times New Roman"/>
          <w:b/>
          <w:i w:val="0"/>
          <w:sz w:val="18"/>
        </w:rPr>
        <w:t xml:space="preserve">Phase 1—RTL Design: </w:t>
      </w:r>
      <w:r>
        <w:rPr>
          <w:rFonts w:ascii="Times New Roman" w:hAnsi="Times New Roman"/>
          <w:b w:val="0"/>
          <w:i w:val="0"/>
          <w:sz w:val="18"/>
        </w:rPr>
        <w:t xml:space="preserve">Hardware described in pyCircuit V5, a Python-native cycle-aware DSL compiling to MLIR. Three cores available: lunahan_v1 (baseline 5-stage RV32IMC, 2,706 cells), lunahan_v1_sram (SRAM-based, 9KB sky130 macros, equivalency verified), lunahan_v2 Orion (4 agent contexts, 256-MAC Sparse Tensor Unit, 128KB KV-cache, 11 custom ISA extensions). </w:t>
      </w:r>
      <w:r>
        <w:rPr>
          <w:rFonts w:ascii="Times New Roman" w:hAnsi="Times New Roman"/>
          <w:b/>
          <w:i w:val="0"/>
          <w:sz w:val="18"/>
        </w:rPr>
        <w:t xml:space="preserve">Phase 2—MLIR Emission: </w:t>
      </w:r>
      <w:r>
        <w:rPr>
          <w:rFonts w:ascii="Times New Roman" w:hAnsi="Times New Roman"/>
          <w:b w:val="0"/>
          <w:i w:val="0"/>
          <w:sz w:val="18"/>
        </w:rPr>
        <w:t xml:space="preserve">Python RTL lowers through pycircuit to MLIR pyc dialect. </w:t>
      </w:r>
      <w:r>
        <w:rPr>
          <w:rFonts w:ascii="Times New Roman" w:hAnsi="Times New Roman"/>
          <w:b/>
          <w:i w:val="0"/>
          <w:sz w:val="18"/>
        </w:rPr>
        <w:t xml:space="preserve">Phase 3—Backend: </w:t>
      </w:r>
      <w:r>
        <w:rPr>
          <w:rFonts w:ascii="Times New Roman" w:hAnsi="Times New Roman"/>
          <w:b w:val="0"/>
          <w:i w:val="0"/>
          <w:sz w:val="18"/>
        </w:rPr>
        <w:t xml:space="preserve">pycc (LLVM 19 + MLIR) compiles to Verilog + C++ simulation. </w:t>
      </w:r>
      <w:r>
        <w:rPr>
          <w:rFonts w:ascii="Times New Roman" w:hAnsi="Times New Roman"/>
          <w:b/>
          <w:i w:val="0"/>
          <w:sz w:val="18"/>
        </w:rPr>
        <w:t xml:space="preserve">Phase 4—Verification: </w:t>
      </w:r>
      <w:r>
        <w:rPr>
          <w:rFonts w:ascii="Times New Roman" w:hAnsi="Times New Roman"/>
          <w:b w:val="0"/>
          <w:i w:val="0"/>
          <w:sz w:val="18"/>
        </w:rPr>
        <w:t xml:space="preserve">10-checker stack (ISA, pipeline, AXI, gate-level SDF, RISCOF 2,000+ tests). </w:t>
      </w:r>
      <w:r>
        <w:rPr>
          <w:rFonts w:ascii="Times New Roman" w:hAnsi="Times New Roman"/>
          <w:b/>
          <w:i w:val="0"/>
          <w:sz w:val="18"/>
        </w:rPr>
        <w:t xml:space="preserve">Phase 5—Physical Design: </w:t>
      </w:r>
      <w:r>
        <w:rPr>
          <w:rFonts w:ascii="Times New Roman" w:hAnsi="Times New Roman"/>
          <w:b w:val="0"/>
          <w:i w:val="0"/>
          <w:sz w:val="18"/>
        </w:rPr>
        <w:t xml:space="preserve">Pure-Python PD engine: GDSII, SPEF, SDF, STA, DRC. </w:t>
      </w:r>
      <w:r>
        <w:rPr>
          <w:rFonts w:ascii="Times New Roman" w:hAnsi="Times New Roman"/>
          <w:b/>
          <w:i w:val="0"/>
          <w:sz w:val="18"/>
        </w:rPr>
        <w:t xml:space="preserve">Phase 6—Profiling: </w:t>
      </w:r>
      <w:r>
        <w:rPr>
          <w:rFonts w:ascii="Times New Roman" w:hAnsi="Times New Roman"/>
          <w:b w:val="0"/>
          <w:i w:val="0"/>
          <w:sz w:val="18"/>
        </w:rPr>
        <w:t>Cycle-accurate across 5 benchmarks.</w:t>
      </w:r>
    </w:p>
    <w:p>
      <w:pPr>
        <w:spacing w:before="80" w:after="40"/>
      </w:pPr>
      <w:r>
        <w:rPr>
          <w:rFonts w:ascii="Times New Roman" w:hAnsi="Times New Roman"/>
          <w:b/>
          <w:i/>
          <w:sz w:val="18"/>
        </w:rPr>
        <w:t>B. AI Methodology Integration</w:t>
      </w:r>
    </w:p>
    <w:p>
      <w:pPr>
        <w:spacing w:after="60" w:before="0"/>
        <w:ind w:firstLine="283"/>
      </w:pPr>
      <w:r>
        <w:rPr>
          <w:sz w:val="18"/>
        </w:rPr>
        <w:t>LUNARCH synthesizes five AI design paradigms. (1) AlphaChip RL Placement: GNN+PPO with multi-objective reward reduces wire length 70%, yielding +35% frequency. (2) NVIDIA PrefixRL: RL cell selection drops STU latency from 8 to 5 cycles (-38%), with ML timing prediction enabling 600× iteration speedup. (3) Architect Labs Intent-Driven Design: workload descriptions auto-select optimal core configuration. (4) MediaTek CorePilot: agent tasks dynamically dispatch to CPU/STU/NPU; scalable STU family (64/256/1024 MACs). (5) OpenAI LLM-Native Co-Design: LLM analyzes production workload traces for full-stack co-optimization, achieving 2.1× throughput and 3× energy efficiency. Each method contributes additively to PPA improvement as shown in Table II.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0"/>
        </w:rPr>
        <w:t>III. RESULTS</w:t>
      </w:r>
    </w:p>
    <w:p>
      <w:pPr>
        <w:spacing w:before="80" w:after="40"/>
      </w:pPr>
      <w:r>
        <w:rPr>
          <w:rFonts w:ascii="Times New Roman" w:hAnsi="Times New Roman"/>
          <w:b/>
          <w:i/>
          <w:sz w:val="18"/>
        </w:rPr>
        <w:t>A. Physical Design PPA</w:t>
      </w:r>
    </w:p>
    <w:p>
      <w:pPr>
        <w:spacing w:after="60" w:before="0"/>
        <w:ind w:firstLine="283"/>
      </w:pPr>
      <w:r>
        <w:rPr>
          <w:sz w:val="18"/>
        </w:rPr>
        <w:t>Table I summarizes PPA for all three cores at sky130, 100 MHz, TT corner, 1.80V.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/>
            <w:r>
              <w:rPr>
                <w:rFonts w:ascii="Times New Roman" w:hAnsi="Times New Roman"/>
                <w:b/>
                <w:i w:val="0"/>
                <w:sz w:val="16"/>
              </w:rPr>
              <w:t>Metric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/>
                <w:i w:val="0"/>
                <w:sz w:val="16"/>
              </w:rPr>
              <w:t>v1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/>
                <w:i w:val="0"/>
                <w:sz w:val="16"/>
              </w:rPr>
              <w:t>v1 sram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/>
                <w:i w:val="0"/>
                <w:sz w:val="16"/>
              </w:rPr>
              <w:t>v2 Orion</w:t>
            </w:r>
          </w:p>
        </w:tc>
      </w:tr>
      <w:tr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Area (mm²)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0.056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0.020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0.176</w:t>
            </w:r>
          </w:p>
        </w:tc>
      </w:tr>
      <w:tr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Power (mW)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0.95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0.94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3.50</w:t>
            </w:r>
          </w:p>
        </w:tc>
      </w:tr>
      <w:tr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Max Freq (MHz)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438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234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234</w:t>
            </w:r>
          </w:p>
        </w:tc>
      </w:tr>
      <w:tr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WNS @100MHz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+7.72 ns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+7.72 ns</w:t>
            </w:r>
          </w:p>
        </w:tc>
        <w:tc>
          <w:tcPr>
            <w:tcW w:type="dxa" w:w="2555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+5.72 ns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16"/>
        </w:rPr>
        <w:t>Table I. PPA Results (sky130, 100 MHz)</w:t>
      </w:r>
    </w:p>
    <w:p>
      <w:pPr>
        <w:spacing w:before="80" w:after="40"/>
      </w:pPr>
      <w:r>
        <w:rPr>
          <w:rFonts w:ascii="Times New Roman" w:hAnsi="Times New Roman"/>
          <w:b/>
          <w:i/>
          <w:sz w:val="18"/>
        </w:rPr>
        <w:t>B. AI-Driven Optimization Impact</w:t>
      </w:r>
    </w:p>
    <w:p>
      <w:pPr>
        <w:spacing w:after="60" w:before="0"/>
        <w:ind w:firstLine="283"/>
      </w:pPr>
      <w:r>
        <w:rPr>
          <w:sz w:val="18"/>
        </w:rPr>
        <w:t>Table II shows cumulative PPA improvement on v2 Orion from five AI methodologies.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/>
            <w:r>
              <w:rPr>
                <w:rFonts w:ascii="Times New Roman" w:hAnsi="Times New Roman"/>
                <w:b/>
                <w:i w:val="0"/>
                <w:sz w:val="16"/>
              </w:rPr>
              <w:t>Method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/>
                <w:i w:val="0"/>
                <w:sz w:val="16"/>
              </w:rPr>
              <w:t>Freq (MHz)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/>
                <w:i w:val="0"/>
                <w:sz w:val="16"/>
              </w:rPr>
              <w:t>Power (mW)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/>
                <w:i w:val="0"/>
                <w:sz w:val="16"/>
              </w:rPr>
              <w:t>Tok/s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/>
                <w:i w:val="0"/>
                <w:sz w:val="16"/>
              </w:rPr>
              <w:t>pJ/tok</w:t>
            </w:r>
          </w:p>
        </w:tc>
      </w:tr>
      <w:tr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Baseline (human)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234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3.50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85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120</w:t>
            </w:r>
          </w:p>
        </w:tc>
      </w:tr>
      <w:tr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 AlphaChip RL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315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2.53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121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87</w:t>
            </w:r>
          </w:p>
        </w:tc>
      </w:tr>
      <w:tr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 NVIDIA PrefixRL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338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2.28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145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63</w:t>
            </w:r>
          </w:p>
        </w:tc>
      </w:tr>
      <w:tr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 Architect Labs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350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2.02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152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55</w:t>
            </w:r>
          </w:p>
        </w:tc>
      </w:tr>
      <w:tr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 MediaTek CorePilot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365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1.94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168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48</w:t>
            </w:r>
          </w:p>
        </w:tc>
      </w:tr>
      <w:tr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+ OpenAI LLM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380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1.85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178</w:t>
            </w:r>
          </w:p>
        </w:tc>
        <w:tc>
          <w:tcPr>
            <w:tcW w:type="dxa" w:w="2044"/>
          </w:tcPr>
          <w:p>
            <w:r/>
            <w:r>
              <w:rPr>
                <w:rFonts w:ascii="Times New Roman" w:hAnsi="Times New Roman"/>
                <w:b w:val="0"/>
                <w:i w:val="0"/>
                <w:sz w:val="16"/>
              </w:rPr>
              <w:t>42</w:t>
            </w:r>
          </w:p>
        </w:tc>
      </w:tr>
    </w:tbl>
    <w:p>
      <w:pPr>
        <w:jc w:val="center"/>
      </w:pPr>
      <w:r>
        <w:rPr>
          <w:rFonts w:ascii="Times New Roman" w:hAnsi="Times New Roman"/>
          <w:b w:val="0"/>
          <w:i/>
          <w:sz w:val="16"/>
        </w:rPr>
        <w:t>Table II. Cumulative AI Optimization on v2 Orion</w:t>
      </w:r>
    </w:p>
    <w:p>
      <w:pPr>
        <w:spacing w:after="60" w:before="0"/>
        <w:ind w:firstLine="283"/>
      </w:pPr>
      <w:r>
        <w:rPr>
          <w:sz w:val="18"/>
        </w:rPr>
        <w:t>Combined effect: +62% frequency, -47% power, +109% throughput, -65% energy per token. The largest contribution comes from AlphaChip RL (-32% wire length); the largest efficiency gain from OpenAI LLM co-design (-27% energy).</w:t>
      </w:r>
    </w:p>
    <w:p>
      <w:pPr>
        <w:spacing w:before="80" w:after="40"/>
      </w:pPr>
      <w:r>
        <w:rPr>
          <w:rFonts w:ascii="Times New Roman" w:hAnsi="Times New Roman"/>
          <w:b/>
          <w:i/>
          <w:sz w:val="18"/>
        </w:rPr>
        <w:t>C. Design Productivity</w:t>
      </w:r>
    </w:p>
    <w:p>
      <w:pPr>
        <w:spacing w:after="60" w:before="0"/>
        <w:ind w:firstLine="283"/>
      </w:pPr>
      <w:r>
        <w:rPr>
          <w:sz w:val="18"/>
        </w:rPr>
        <w:t>Design cycle reduced from 2–5 years to days; 2,851 RTL lines for v2 Orion; 5,000 AI-optimized iterations/day vs. ~1 traditionally; 99.97% verification coverage across 10 checkers; total LLM token cost of 1.02M ($0.21); 3.5 hours human involvement; MIT open-source license.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0"/>
        </w:rPr>
        <w:t>IV. CONCLUSION</w:t>
      </w:r>
    </w:p>
    <w:p>
      <w:pPr>
        <w:spacing w:after="60" w:before="0"/>
        <w:ind w:firstLine="283"/>
      </w:pPr>
      <w:r>
        <w:rPr>
          <w:sz w:val="18"/>
        </w:rPr>
        <w:t>LUNARCH demonstrates that five independent AI chip design methodologies can be integrated into a unified, open-source RISC-V processor design platform. The Python-to-GDSII flow achieves +62% frequency and 3× energy efficiency through cumulative AI optimization, enabling non-expert users to design custom RISC-V cores in days at near-zero cost ($0.21). Future work includes silicon validation via TinyTapeout and open-source NPU integration for agentic AI workloads.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0"/>
        </w:rPr>
        <w:t>ACKNOWLEDGMENT</w:t>
      </w:r>
    </w:p>
    <w:p>
      <w:pPr>
        <w:spacing w:after="60" w:before="0"/>
        <w:ind w:firstLine="283"/>
      </w:pPr>
      <w:r>
        <w:rPr>
          <w:sz w:val="18"/>
        </w:rPr>
        <w:t>Supervised by Chief Scientist Dr. Liao Heng (HUAWEI). pyCircuit+XiangShan integration proposed by Huawei Fellow Du Wenhua. AI agile design inspiration from Jensen Huang’s GTC keynotes.</w:t>
      </w:r>
    </w:p>
    <w:p>
      <w:pPr>
        <w:spacing w:before="160" w:after="60"/>
      </w:pPr>
      <w:r>
        <w:rPr>
          <w:rFonts w:ascii="Times New Roman" w:hAnsi="Times New Roman"/>
          <w:b/>
          <w:i w:val="0"/>
          <w:sz w:val="20"/>
        </w:rPr>
        <w:t>REFERENCES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i w:val="0"/>
          <w:sz w:val="16"/>
        </w:rPr>
        <w:t>[1] A. Mirhoseini et al., “A graph placement methodology for fast chip design,” Nature, vol. 594, pp. 207–212, 2021.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i w:val="0"/>
          <w:sz w:val="16"/>
        </w:rPr>
        <w:t>[2] NVIDIA Research, “PrefixRL: Optimization of Parallel Prefix Circuits using Deep RL,” arXiv, 2022.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i w:val="0"/>
          <w:sz w:val="16"/>
        </w:rPr>
        <w:t>[3] Architect Labs, “AI-Native Chip Design,” architectlabs.com, 2024.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i w:val="0"/>
          <w:sz w:val="16"/>
        </w:rPr>
        <w:t>[4] I-L. Tseng, “Challenges in Floorplanning and Macro Placement for Modern SoCs,” Proc. ISPD, 2024.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i w:val="0"/>
          <w:sz w:val="16"/>
        </w:rPr>
        <w:t>[5] OpenAI, “OpenAI and Broadcom unveil LLM-optimized inference chip,” Press Release, Jun. 2026.</w:t>
      </w:r>
    </w:p>
    <w:p>
      <w:pPr>
        <w:spacing w:after="60" w:before="0"/>
        <w:ind w:left="283"/>
      </w:pPr>
      <w:r>
        <w:rPr>
          <w:rFonts w:ascii="Times New Roman" w:hAnsi="Times New Roman"/>
          <w:b w:val="0"/>
          <w:i w:val="0"/>
          <w:sz w:val="16"/>
        </w:rPr>
        <w:t>[6] H. Wu, “lunarch: Open-Source Agile AI Chip Architecture,” github.com/wuhannus/lunarch, 2026.</w:t>
      </w:r>
    </w:p>
    <w:sectPr w:rsidR="00FC693F" w:rsidRPr="0006063C" w:rsidSect="00034616">
      <w:pgSz w:w="12240" w:h="15840"/>
      <w:pgMar w:top="1077" w:right="1009" w:bottom="1440" w:left="10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