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示例事项管理办法</w:t>
      </w:r>
    </w:p>
    <w:p>
      <w:pPr>
        <w:pStyle w:val="Heading1"/>
        <w:numPr>
          <w:ilvl w:val="0"/>
          <w:numId w:val="2"/>
        </w:numPr>
      </w:pPr>
      <w:r>
        <w:t xml:space="preserve">总则</w:t>
      </w:r>
    </w:p>
    <w:p>
      <w:pPr>
        <w:pStyle w:val="Heading2"/>
        <w:numPr>
          <w:ilvl w:val="1"/>
          <w:numId w:val="2"/>
        </w:numPr>
      </w:pPr>
      <w:r>
        <w:t xml:space="preserve">为规范示例事项的办理，明确各方职责，依据有关规定，制定本办法。</w:t>
      </w:r>
    </w:p>
    <w:p>
      <w:pPr>
        <w:pStyle w:val="Heading2"/>
        <w:numPr>
          <w:ilvl w:val="1"/>
          <w:numId w:val="2"/>
        </w:numPr>
      </w:pPr>
      <w:r>
        <w:t xml:space="preserve">本办法适用于示例事项的申请、审核、实施与检查。</w:t>
      </w:r>
    </w:p>
    <w:p>
      <w:pPr>
        <w:pStyle w:val="Heading2"/>
        <w:numPr>
          <w:ilvl w:val="1"/>
          <w:numId w:val="2"/>
        </w:numPr>
      </w:pPr>
      <w:r>
        <w:t xml:space="preserve">办理示例事项应当遵循下列原则：</w:t>
      </w:r>
    </w:p>
    <w:p>
      <w:pPr>
        <w:pStyle w:val="Heading3"/>
        <w:numPr>
          <w:ilvl w:val="2"/>
          <w:numId w:val="2"/>
        </w:numPr>
      </w:pPr>
      <w:r>
        <w:t xml:space="preserve">依法依规，程序完备</w:t>
      </w:r>
    </w:p>
    <w:p>
      <w:pPr>
        <w:pStyle w:val="Heading3"/>
        <w:numPr>
          <w:ilvl w:val="2"/>
          <w:numId w:val="2"/>
        </w:numPr>
      </w:pPr>
      <w:r>
        <w:t xml:space="preserve">权责一致，各负其责</w:t>
      </w:r>
    </w:p>
    <w:p>
      <w:pPr>
        <w:pStyle w:val="Heading3"/>
        <w:numPr>
          <w:ilvl w:val="2"/>
          <w:numId w:val="2"/>
        </w:numPr>
      </w:pPr>
      <w:r>
        <w:t xml:space="preserve">公开透明，接受监督</w:t>
      </w:r>
    </w:p>
    <w:p>
      <w:pPr>
        <w:pStyle w:val="Heading1"/>
        <w:numPr>
          <w:ilvl w:val="0"/>
          <w:numId w:val="2"/>
        </w:numPr>
      </w:pPr>
      <w:r>
        <w:t xml:space="preserve">职责分工</w:t>
      </w:r>
    </w:p>
    <w:p>
      <w:pPr>
        <w:pStyle w:val="Heading2"/>
        <w:numPr>
          <w:ilvl w:val="1"/>
          <w:numId w:val="2"/>
        </w:numPr>
      </w:pPr>
      <w:r>
        <w:t xml:space="preserve">牵头部门负责统筹协调、组织实施与督促检查，具体职责如下：</w:t>
      </w:r>
    </w:p>
    <w:p>
      <w:pPr>
        <w:pStyle w:val="Heading3"/>
        <w:numPr>
          <w:ilvl w:val="2"/>
          <w:numId w:val="2"/>
        </w:numPr>
      </w:pPr>
      <w:r>
        <w:t xml:space="preserve">拟订年度工作计划并组织实施</w:t>
      </w:r>
    </w:p>
    <w:p>
      <w:pPr>
        <w:pStyle w:val="Heading3"/>
        <w:numPr>
          <w:ilvl w:val="2"/>
          <w:numId w:val="2"/>
        </w:numPr>
      </w:pPr>
      <w:r>
        <w:t xml:space="preserve">受理申请、组织审核并出具意见</w:t>
      </w:r>
    </w:p>
    <w:p>
      <w:pPr>
        <w:pStyle w:val="Heading2"/>
        <w:numPr>
          <w:ilvl w:val="1"/>
          <w:numId w:val="2"/>
        </w:numPr>
      </w:pPr>
      <w:r>
        <w:t xml:space="preserve">配合部门按照职责分工承办相关事项，在规定时限内反馈意见。</w:t>
      </w:r>
    </w:p>
    <w:p>
      <w:pPr>
        <w:pStyle w:val="Heading1"/>
        <w:numPr>
          <w:ilvl w:val="0"/>
          <w:numId w:val="2"/>
        </w:numPr>
      </w:pPr>
      <w:r>
        <w:t xml:space="preserve">办理程序</w:t>
      </w:r>
    </w:p>
    <w:p>
      <w:pPr>
        <w:pStyle w:val="Heading2"/>
        <w:numPr>
          <w:ilvl w:val="1"/>
          <w:numId w:val="2"/>
        </w:numPr>
      </w:pPr>
      <w:r>
        <w:t xml:space="preserve">申请人应当提交下列材料：</w:t>
      </w:r>
    </w:p>
    <w:p>
      <w:pPr>
        <w:pStyle w:val="Heading3"/>
        <w:numPr>
          <w:ilvl w:val="2"/>
          <w:numId w:val="2"/>
        </w:numPr>
      </w:pPr>
      <w:r>
        <w:t xml:space="preserve">申请书</w:t>
      </w:r>
    </w:p>
    <w:p>
      <w:pPr>
        <w:pStyle w:val="Heading3"/>
        <w:numPr>
          <w:ilvl w:val="2"/>
          <w:numId w:val="2"/>
        </w:numPr>
      </w:pPr>
      <w:r>
        <w:t xml:space="preserve">主体资格证明</w:t>
      </w:r>
    </w:p>
    <w:p>
      <w:pPr>
        <w:pStyle w:val="Heading3"/>
        <w:numPr>
          <w:ilvl w:val="2"/>
          <w:numId w:val="2"/>
        </w:numPr>
      </w:pPr>
      <w:r>
        <w:t xml:space="preserve">其他依法应当提交的材料</w:t>
      </w:r>
    </w:p>
    <w:p>
      <w:pPr>
        <w:pStyle w:val="Heading2"/>
        <w:numPr>
          <w:ilvl w:val="1"/>
          <w:numId w:val="2"/>
        </w:numPr>
      </w:pPr>
      <w:r>
        <w:t xml:space="preserve">牵头部门自收到完整材料之日起 10 个工作日内完成审核，情况复杂的可以延长 5 个工作日，并告知申请人。</w:t>
      </w:r>
    </w:p>
    <w:p>
      <w:pPr>
        <w:pStyle w:val="Heading2"/>
        <w:numPr>
          <w:ilvl w:val="1"/>
          <w:numId w:val="2"/>
        </w:numPr>
      </w:pPr>
      <w:r>
        <w:t xml:space="preserve">审核通过的，出具书面意见；不予通过的，说明理由并告知申请人。</w:t>
      </w:r>
    </w:p>
    <w:p>
      <w:pPr>
        <w:pStyle w:val="Heading1"/>
        <w:numPr>
          <w:ilvl w:val="0"/>
          <w:numId w:val="2"/>
        </w:numPr>
      </w:pPr>
      <w:r>
        <w:t xml:space="preserve">台账管理</w:t>
      </w:r>
    </w:p>
    <w:p>
      <w:pPr>
        <w:pStyle w:val="Heading2"/>
        <w:numPr>
          <w:ilvl w:val="1"/>
          <w:numId w:val="2"/>
        </w:numPr>
      </w:pPr>
      <w:r>
        <w:t xml:space="preserve">牵头部门应当建立审核台账，如实记录下列事项：</w:t>
      </w:r>
    </w:p>
    <w:p>
      <w:pPr>
        <w:pStyle w:val="Heading3"/>
        <w:numPr>
          <w:ilvl w:val="2"/>
          <w:numId w:val="2"/>
        </w:numPr>
      </w:pPr>
      <w:r>
        <w:t xml:space="preserve">申请与受理情况</w:t>
      </w:r>
    </w:p>
    <w:p>
      <w:pPr>
        <w:pStyle w:val="Heading4"/>
        <w:numPr>
          <w:ilvl w:val="3"/>
          <w:numId w:val="2"/>
        </w:numPr>
      </w:pPr>
      <w:r>
        <w:t xml:space="preserve">申请人名称、申请日期与材料接收情况</w:t>
      </w:r>
    </w:p>
    <w:p>
      <w:pPr>
        <w:pStyle w:val="Heading4"/>
        <w:numPr>
          <w:ilvl w:val="3"/>
          <w:numId w:val="2"/>
        </w:numPr>
      </w:pPr>
      <w:r>
        <w:t xml:space="preserve">补正材料的发出与接收时间</w:t>
      </w:r>
    </w:p>
    <w:p>
      <w:pPr>
        <w:pStyle w:val="Heading3"/>
        <w:numPr>
          <w:ilvl w:val="2"/>
          <w:numId w:val="2"/>
        </w:numPr>
      </w:pPr>
      <w:r>
        <w:t xml:space="preserve">审核过程与结论</w:t>
      </w:r>
    </w:p>
    <w:p>
      <w:pPr>
        <w:pStyle w:val="Heading2"/>
        <w:numPr>
          <w:ilvl w:val="1"/>
          <w:numId w:val="2"/>
        </w:numPr>
      </w:pPr>
      <w:r>
        <w:t xml:space="preserve">台账保存期限不少于五年。</w:t>
      </w:r>
    </w:p>
    <w:p>
      <w:pPr>
        <w:pStyle w:val="Heading1"/>
        <w:numPr>
          <w:ilvl w:val="0"/>
          <w:numId w:val="2"/>
        </w:numPr>
      </w:pPr>
      <w:r>
        <w:t xml:space="preserve">监督与责任</w:t>
      </w:r>
    </w:p>
    <w:p>
      <w:pPr>
        <w:pStyle w:val="Heading2"/>
        <w:numPr>
          <w:ilvl w:val="1"/>
          <w:numId w:val="2"/>
        </w:numPr>
      </w:pPr>
      <w:r>
        <w:t xml:space="preserve">牵头部门应当建立台账，如实记录办理情况，接受监督检查。</w:t>
      </w:r>
    </w:p>
    <w:p>
      <w:pPr>
        <w:pStyle w:val="Heading2"/>
        <w:numPr>
          <w:ilvl w:val="1"/>
          <w:numId w:val="2"/>
        </w:numPr>
      </w:pPr>
      <w:r>
        <w:t xml:space="preserve">违反本办法规定的，按照有关规定处理；构成犯罪的，依法追究刑事责任。</w:t>
      </w:r>
    </w:p>
    <w:p>
      <w:pPr>
        <w:pStyle w:val="Heading1"/>
        <w:numPr>
          <w:ilvl w:val="0"/>
          <w:numId w:val="2"/>
        </w:numPr>
      </w:pPr>
      <w:r>
        <w:t xml:space="preserve">附则</w:t>
      </w:r>
    </w:p>
    <w:p>
      <w:pPr>
        <w:pStyle w:val="Heading2"/>
        <w:numPr>
          <w:ilvl w:val="1"/>
          <w:numId w:val="2"/>
        </w:numPr>
      </w:pPr>
      <w:r>
        <w:t xml:space="preserve">本办法由牵头部门负责解释。</w:t>
      </w:r>
    </w:p>
    <w:p>
      <w:pPr>
        <w:pStyle w:val="Heading2"/>
        <w:numPr>
          <w:ilvl w:val="1"/>
          <w:numId w:val="2"/>
        </w:numPr>
      </w:pPr>
      <w:r>
        <w:t xml:space="preserve">本办法自发布之日起施行。</w:t>
      </w:r>
    </w:p>
    <w:p/>
    <w:p>
      <w:pPr>
        <w:ind w:right="3160" w:firstLine="0" w:firstLineChars="0"/>
        <w:jc w:val="right"/>
      </w:pPr>
      <w:r>
        <w:t xml:space="preserve">××单位</w:t>
      </w:r>
    </w:p>
    <w:p>
      <w:pPr>
        <w:ind w:right="632" w:firstLine="0" w:firstLineChars="0"/>
        <w:jc w:val="right"/>
      </w:pPr>
      <w:r>
        <w:t xml:space="preserve">2026 年 9 月 10 日</w:t>
      </w: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lvlRestart w:val="0"/>
      <w:suff w:val="nothing"/>
      <w:lvlText w:val="第%1章  "/>
      <w:lvlJc w:val="left"/>
      <w:pPr>
        <w:ind w:left="0" w:firstLine="632"/>
      </w:pPr>
    </w:lvl>
    <w:lvl w:ilvl="1" w15:tentative="1">
      <w:start w:val="1"/>
      <w:numFmt w:val="chineseCountingThousand"/>
      <w:lvlRestart w:val="0"/>
      <w:suff w:val="nothing"/>
      <w:lvlText w:val="第%2条  "/>
      <w:lvlJc w:val="left"/>
      <w:pPr>
        <w:ind w:left="0" w:firstLine="632"/>
      </w:pPr>
      <w:rPr>
        <w:rFonts w:ascii="SimHei" w:eastAsia="SimHei" w:hAnsi="SimHei"/>
      </w:rPr>
    </w:lvl>
    <w:lvl w:ilvl="2" w15:tentative="1">
      <w:start w:val="1"/>
      <w:numFmt w:val="chineseCountingThousand"/>
      <w:suff w:val="nothing"/>
      <w:lvlText w:val="（%3）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%4.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Heading1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styleId="Heading1">
    <w:name w:val="heading 1"/>
    <w:aliases w:val="| 章"/>
    <w:basedOn w:val="Normal"/>
    <w:next w:val="Heading2"/>
    <w:link w:val="Heading1Char"/>
    <w:uiPriority w:val="1"/>
    <w:qFormat/>
    <w:pPr>
      <w:keepNext/>
      <w:keepLines/>
      <w:numPr>
        <w:numId w:val="1"/>
      </w:numPr>
      <w:spacing w:before="359" w:after="220"/>
      <w:ind w:firstLineChars="0"/>
      <w:jc w:val="center"/>
      <w:outlineLvl w:val="0"/>
    </w:pPr>
    <w:rPr>
      <w:rFonts w:ascii="方正小标宋简体" w:eastAsia="方正小标宋简体"/>
      <w:bCs/>
      <w:szCs w:val="44"/>
    </w:rPr>
  </w:style>
  <w:style w:type="character" w:customStyle="1" w:styleId="Heading1Char">
    <w:name w:val="Heading 1 Char"/>
    <w:aliases w:val="| 章 Char"/>
    <w:basedOn w:val="DefaultParagraphFont"/>
    <w:link w:val="Heading1"/>
    <w:uiPriority w:val="9"/>
    <w:semiHidden/>
    <w:rPr>
      <w:rFonts w:ascii="方正小标宋简体" w:eastAsia="方正小标宋简体"/>
      <w:bCs/>
      <w:kern w:val="0"/>
      <w:szCs w:val="44"/>
    </w:rPr>
  </w:style>
  <w:style w:type="paragraph" w:styleId="Heading2">
    <w:name w:val="heading 2"/>
    <w:aliases w:val="| 条"/>
    <w:basedOn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cstheme="majorBidi"/>
      <w:bCs/>
    </w:rPr>
  </w:style>
  <w:style w:type="character" w:customStyle="1" w:styleId="Heading2Char">
    <w:name w:val="Heading 2 Char"/>
    <w:aliases w:val="| 条 Char"/>
    <w:basedOn w:val="DefaultParagraphFont"/>
    <w:link w:val="Heading2"/>
    <w:uiPriority w:val="9"/>
    <w:semiHidden/>
    <w:rPr>
      <w:rFonts w:cstheme="majorBidi"/>
      <w:bCs/>
      <w:kern w:val="0"/>
    </w:rPr>
  </w:style>
  <w:style w:type="paragraph" w:styleId="Heading3">
    <w:name w:val="heading 3"/>
    <w:aliases w:val="| 项"/>
    <w:basedOn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aliases w:val="| 项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示例事项管理办法</dc:title>
  <dc:creator>gongwen-kit</dc:creator>
  <cp:lastModifiedBy>Un-named</cp:lastModifiedBy>
  <cp:revision>1</cp:revision>
  <dcterms:created xsi:type="dcterms:W3CDTF">2026-10-14T03:52:34.878Z</dcterms:created>
  <dcterms:modified xsi:type="dcterms:W3CDTF">2026-10-14T03:52:34.879Z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