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numPr>
          <w:ilvl w:val="0"/>
          <w:numId w:val="2"/>
        </w:numPr>
      </w:pPr>
      <w:r>
        <w:t xml:space="preserve">工作安排</w:t>
      </w:r>
    </w:p>
    <w:p>
      <w:r>
        <w:t xml:space="preserve">重点做好以下三项工作。</w:t>
      </w:r>
    </w:p>
    <w:p>
      <w:pPr>
        <w:pStyle w:val="Heading2"/>
        <w:numPr>
          <w:ilvl w:val="1"/>
          <w:numId w:val="2"/>
        </w:numPr>
      </w:pPr>
      <w:r>
        <w:t xml:space="preserve">统筹部署</w:t>
      </w:r>
    </w:p>
    <w:p>
      <w:pPr>
        <w:pStyle w:val="Heading2"/>
        <w:numPr>
          <w:ilvl w:val="1"/>
          <w:numId w:val="2"/>
        </w:numPr>
      </w:pPr>
      <w:r>
        <w:t xml:space="preserve">压实责任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2026-10-16T09:36:41.884Z</dcterms:created>
  <dcterms:modified xsi:type="dcterms:W3CDTF">2026-10-16T09:36:41.884Z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