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11CEE" w14:textId="77777777" w:rsidR="003C7C03" w:rsidRDefault="00000000">
      <w:pPr>
        <w:pStyle w:val="Heading1"/>
      </w:pPr>
      <w:bookmarkStart w:id="0" w:name="_Toc522"/>
      <w:r>
        <w:rPr>
          <w:rFonts w:hint="eastAsia"/>
        </w:rPr>
        <w:t>主要研究者责任声明</w:t>
      </w:r>
      <w:bookmarkEnd w:id="0"/>
    </w:p>
    <w:p w14:paraId="0B0FC103" w14:textId="4E5FB9B3" w:rsidR="003C7C03" w:rsidRDefault="00000000">
      <w:pPr>
        <w:spacing w:line="360" w:lineRule="auto"/>
        <w:ind w:firstLineChars="200" w:firstLine="480"/>
        <w:rPr>
          <w:rFonts w:ascii="Times New Roman" w:eastAsia="FangSong" w:hAnsi="Times New Roman" w:cs="FangSong"/>
          <w:color w:val="000000"/>
          <w:sz w:val="24"/>
          <w:szCs w:val="24"/>
        </w:rPr>
      </w:pPr>
      <w:r>
        <w:rPr>
          <w:rFonts w:ascii="Times New Roman" w:eastAsia="FangSong" w:hAnsi="Times New Roman" w:cs="FangSong"/>
          <w:color w:val="000000"/>
          <w:sz w:val="24"/>
          <w:szCs w:val="24"/>
        </w:rPr>
        <w:t>我负责的项目</w:t>
      </w:r>
      <w:r>
        <w:rPr>
          <w:rFonts w:ascii="Times New Roman" w:eastAsia="FangSong" w:hAnsi="Times New Roman" w:cs="FangSong" w:hint="eastAsia"/>
          <w:color w:val="000000"/>
          <w:sz w:val="24"/>
          <w:szCs w:val="24"/>
        </w:rPr>
        <w:t>名称是</w:t>
      </w:r>
      <w:r w:rsidR="006F1635" w:rsidRPr="006F1635">
        <w:rPr>
          <w:rFonts w:ascii="Times New Roman" w:eastAsia="FangSong" w:hAnsi="Times New Roman" w:cs="FangSong" w:hint="eastAsia"/>
          <w:color w:val="000000"/>
          <w:sz w:val="24"/>
          <w:szCs w:val="24"/>
          <w:u w:val="single"/>
        </w:rPr>
        <w:t>数字化腰痛管理方案的前瞻性验证</w:t>
      </w:r>
      <w:r>
        <w:rPr>
          <w:rFonts w:ascii="Times New Roman" w:eastAsia="FangSong" w:hAnsi="Times New Roman" w:cs="FangSong"/>
          <w:color w:val="000000"/>
          <w:sz w:val="24"/>
          <w:szCs w:val="24"/>
        </w:rPr>
        <w:t>，</w:t>
      </w:r>
      <w:r>
        <w:rPr>
          <w:rFonts w:ascii="Times New Roman" w:eastAsia="FangSong" w:hAnsi="Times New Roman" w:cs="FangSong" w:hint="eastAsia"/>
          <w:color w:val="000000"/>
          <w:sz w:val="24"/>
          <w:szCs w:val="24"/>
        </w:rPr>
        <w:t>承担科室</w:t>
      </w:r>
      <w:r w:rsidR="00411276" w:rsidRPr="00411276">
        <w:rPr>
          <w:rFonts w:ascii="Times New Roman" w:eastAsia="FangSong" w:hAnsi="Times New Roman" w:cs="FangSong" w:hint="eastAsia"/>
          <w:color w:val="000000"/>
          <w:sz w:val="24"/>
          <w:szCs w:val="24"/>
          <w:u w:val="single"/>
        </w:rPr>
        <w:t>骨科</w:t>
      </w:r>
      <w:r>
        <w:rPr>
          <w:rFonts w:ascii="Times New Roman" w:eastAsia="FangSong" w:hAnsi="Times New Roman" w:cs="FangSong"/>
          <w:color w:val="000000"/>
          <w:sz w:val="24"/>
          <w:szCs w:val="24"/>
        </w:rPr>
        <w:t>，在实施此临床研究过程中我将遵照以下执行：</w:t>
      </w:r>
    </w:p>
    <w:p w14:paraId="766C4ECD" w14:textId="77777777" w:rsidR="003C7C03"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hint="eastAsia"/>
        </w:rPr>
        <w:t>遵守《涉及人的生物医学研究伦理审查办法》、《人胚胎干细胞研究伦理指导原则》、《人类遗传资源管理暂行办法》和《药物临床试验质量管理规范》或《医疗器械临床试验质量管理规范》等国内法律法规以及《赫尔辛基宣言》、《涉及人的生物医学研究的国际伦理准则》和《世界人类基因组与人权宣言》等国际指南。</w:t>
      </w:r>
    </w:p>
    <w:p w14:paraId="34180FF3" w14:textId="77777777" w:rsidR="003C7C03"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hint="eastAsia"/>
        </w:rPr>
        <w:t>遵守</w:t>
      </w:r>
      <w:r>
        <w:rPr>
          <w:rFonts w:ascii="Times New Roman" w:eastAsia="FangSong" w:hAnsi="Times New Roman" w:cs="FangSong"/>
        </w:rPr>
        <w:t>经本</w:t>
      </w:r>
      <w:r>
        <w:rPr>
          <w:rFonts w:ascii="Times New Roman" w:eastAsia="FangSong" w:hAnsi="Times New Roman" w:cs="FangSong" w:hint="eastAsia"/>
        </w:rPr>
        <w:t>院</w:t>
      </w:r>
      <w:r>
        <w:rPr>
          <w:rFonts w:ascii="Times New Roman" w:eastAsia="FangSong" w:hAnsi="Times New Roman" w:cs="FangSong"/>
        </w:rPr>
        <w:t>伦理审查委员会批准的临床研究方案、知情同意书、招募材料</w:t>
      </w:r>
      <w:r>
        <w:rPr>
          <w:rFonts w:ascii="Times New Roman" w:eastAsia="FangSong" w:hAnsi="Times New Roman" w:cs="FangSong" w:hint="eastAsia"/>
        </w:rPr>
        <w:t>等</w:t>
      </w:r>
      <w:r>
        <w:rPr>
          <w:rFonts w:ascii="Times New Roman" w:eastAsia="FangSong" w:hAnsi="Times New Roman" w:cs="FangSong"/>
        </w:rPr>
        <w:t>开展本研究，保护受试者的健康与权利。对研究方案、知情同意书和招募材料等的任何修改，均须得到伦理审查委员会审查同意后方可实施。</w:t>
      </w:r>
    </w:p>
    <w:p w14:paraId="1A28B253" w14:textId="77777777" w:rsidR="003C7C03"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rPr>
        <w:t>在</w:t>
      </w:r>
      <w:r>
        <w:rPr>
          <w:rFonts w:ascii="Times New Roman" w:eastAsia="FangSong" w:hAnsi="Times New Roman" w:cs="FangSong" w:hint="eastAsia"/>
        </w:rPr>
        <w:t>本院</w:t>
      </w:r>
      <w:r>
        <w:rPr>
          <w:rFonts w:ascii="Times New Roman" w:eastAsia="FangSong" w:hAnsi="Times New Roman" w:cs="FangSong"/>
        </w:rPr>
        <w:t>发生</w:t>
      </w:r>
      <w:r>
        <w:rPr>
          <w:rFonts w:ascii="Times New Roman" w:eastAsia="FangSong" w:hAnsi="Times New Roman" w:cs="FangSong" w:hint="eastAsia"/>
        </w:rPr>
        <w:t>的</w:t>
      </w:r>
      <w:r>
        <w:rPr>
          <w:rFonts w:ascii="Times New Roman" w:eastAsia="FangSong" w:hAnsi="Times New Roman" w:cs="FangSong" w:hint="eastAsia"/>
        </w:rPr>
        <w:t>SAE/SUSAR</w:t>
      </w:r>
      <w:r>
        <w:rPr>
          <w:rFonts w:ascii="Times New Roman" w:eastAsia="FangSong" w:hAnsi="Times New Roman" w:cs="FangSong" w:hint="eastAsia"/>
        </w:rPr>
        <w:t>以</w:t>
      </w:r>
      <w:r>
        <w:rPr>
          <w:rFonts w:ascii="Times New Roman" w:eastAsia="FangSong" w:hAnsi="Times New Roman" w:cs="FangSong"/>
        </w:rPr>
        <w:t>及研发期间安全性更新报告须按照</w:t>
      </w:r>
      <w:r>
        <w:rPr>
          <w:rFonts w:ascii="Times New Roman" w:eastAsia="FangSong" w:hAnsi="Times New Roman" w:cs="FangSong"/>
        </w:rPr>
        <w:t>NMPA/GCP</w:t>
      </w:r>
      <w:r>
        <w:rPr>
          <w:rFonts w:ascii="Times New Roman" w:eastAsia="FangSong" w:hAnsi="Times New Roman" w:cs="FangSong"/>
        </w:rPr>
        <w:t>最新要求及时递交</w:t>
      </w:r>
      <w:r>
        <w:rPr>
          <w:rFonts w:ascii="Times New Roman" w:eastAsia="FangSong" w:hAnsi="Times New Roman" w:cs="FangSong" w:hint="eastAsia"/>
        </w:rPr>
        <w:t>本</w:t>
      </w:r>
      <w:r>
        <w:rPr>
          <w:rFonts w:ascii="Times New Roman" w:eastAsia="FangSong" w:hAnsi="Times New Roman" w:cs="FangSong"/>
        </w:rPr>
        <w:t>伦理审查委员会，国内外</w:t>
      </w:r>
      <w:r>
        <w:rPr>
          <w:rFonts w:ascii="Times New Roman" w:eastAsia="FangSong" w:hAnsi="Times New Roman" w:cs="FangSong" w:hint="eastAsia"/>
        </w:rPr>
        <w:t>其它</w:t>
      </w:r>
      <w:r>
        <w:rPr>
          <w:rFonts w:ascii="Times New Roman" w:eastAsia="FangSong" w:hAnsi="Times New Roman" w:cs="FangSong"/>
        </w:rPr>
        <w:t>中心发生的</w:t>
      </w:r>
      <w:r>
        <w:rPr>
          <w:rFonts w:ascii="Times New Roman" w:eastAsia="FangSong" w:hAnsi="Times New Roman" w:cs="FangSong" w:hint="eastAsia"/>
        </w:rPr>
        <w:t>SAE/SUSAR</w:t>
      </w:r>
      <w:r>
        <w:rPr>
          <w:rFonts w:ascii="Times New Roman" w:eastAsia="FangSong" w:hAnsi="Times New Roman" w:cs="FangSong"/>
        </w:rPr>
        <w:t>需定期汇总</w:t>
      </w:r>
      <w:r>
        <w:rPr>
          <w:rFonts w:ascii="Times New Roman" w:eastAsia="FangSong" w:hAnsi="Times New Roman" w:cs="FangSong" w:hint="eastAsia"/>
        </w:rPr>
        <w:t>、评估</w:t>
      </w:r>
      <w:r>
        <w:rPr>
          <w:rFonts w:ascii="Times New Roman" w:eastAsia="FangSong" w:hAnsi="Times New Roman" w:cs="FangSong"/>
        </w:rPr>
        <w:t>后递交伦理审查委员会</w:t>
      </w:r>
      <w:r>
        <w:rPr>
          <w:rFonts w:ascii="Times New Roman" w:eastAsia="FangSong" w:hAnsi="Times New Roman" w:cs="FangSong" w:hint="eastAsia"/>
        </w:rPr>
        <w:t>。根据报告情况，</w:t>
      </w:r>
      <w:r>
        <w:rPr>
          <w:rFonts w:ascii="Times New Roman" w:eastAsia="FangSong" w:hAnsi="Times New Roman" w:cs="FangSong"/>
        </w:rPr>
        <w:t>伦理审查委员会有权对其评估做出新的决定。</w:t>
      </w:r>
    </w:p>
    <w:p w14:paraId="264DD3D9" w14:textId="77777777" w:rsidR="003C7C03"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rPr>
        <w:t>研究</w:t>
      </w:r>
      <w:r>
        <w:rPr>
          <w:rFonts w:ascii="Times New Roman" w:eastAsia="FangSong" w:hAnsi="Times New Roman" w:cs="FangSong" w:hint="eastAsia"/>
        </w:rPr>
        <w:t>过程中发生</w:t>
      </w:r>
      <w:r>
        <w:rPr>
          <w:rFonts w:ascii="Times New Roman" w:eastAsia="FangSong" w:hAnsi="Times New Roman" w:cs="FangSong"/>
        </w:rPr>
        <w:t>违背</w:t>
      </w:r>
      <w:r>
        <w:rPr>
          <w:rFonts w:ascii="Times New Roman" w:eastAsia="FangSong" w:hAnsi="Times New Roman" w:cs="FangSong"/>
        </w:rPr>
        <w:t>GCP</w:t>
      </w:r>
      <w:r>
        <w:rPr>
          <w:rFonts w:ascii="Times New Roman" w:eastAsia="FangSong" w:hAnsi="Times New Roman" w:cs="FangSong"/>
        </w:rPr>
        <w:t>原则</w:t>
      </w:r>
      <w:r>
        <w:rPr>
          <w:rFonts w:ascii="Times New Roman" w:eastAsia="FangSong" w:hAnsi="Times New Roman" w:cs="FangSong" w:hint="eastAsia"/>
        </w:rPr>
        <w:t>和研究方案</w:t>
      </w:r>
      <w:r>
        <w:rPr>
          <w:rFonts w:ascii="Times New Roman" w:eastAsia="FangSong" w:hAnsi="Times New Roman" w:cs="FangSong"/>
        </w:rPr>
        <w:t>的情况，</w:t>
      </w:r>
      <w:r>
        <w:rPr>
          <w:rFonts w:ascii="Times New Roman" w:eastAsia="FangSong" w:hAnsi="Times New Roman" w:cs="FangSong" w:hint="eastAsia"/>
        </w:rPr>
        <w:t>及时</w:t>
      </w:r>
      <w:r>
        <w:rPr>
          <w:rFonts w:ascii="Times New Roman" w:eastAsia="FangSong" w:hAnsi="Times New Roman" w:cs="FangSong"/>
        </w:rPr>
        <w:t>提交违背方案报告</w:t>
      </w:r>
      <w:r>
        <w:rPr>
          <w:rFonts w:ascii="Times New Roman" w:eastAsia="FangSong" w:hAnsi="Times New Roman" w:cs="FangSong" w:hint="eastAsia"/>
        </w:rPr>
        <w:t>；</w:t>
      </w:r>
      <w:r>
        <w:rPr>
          <w:rFonts w:ascii="Times New Roman" w:eastAsia="FangSong" w:hAnsi="Times New Roman" w:cs="FangSong"/>
        </w:rPr>
        <w:t>暂停或提前终止研究</w:t>
      </w:r>
      <w:r>
        <w:rPr>
          <w:rFonts w:ascii="Times New Roman" w:eastAsia="FangSong" w:hAnsi="Times New Roman" w:cs="FangSong" w:hint="eastAsia"/>
        </w:rPr>
        <w:t>，及</w:t>
      </w:r>
      <w:r>
        <w:rPr>
          <w:rFonts w:ascii="Times New Roman" w:eastAsia="FangSong" w:hAnsi="Times New Roman" w:cs="FangSong"/>
        </w:rPr>
        <w:t>时提交暂停或终止研究报告</w:t>
      </w:r>
      <w:r>
        <w:rPr>
          <w:rFonts w:ascii="Times New Roman" w:eastAsia="FangSong" w:hAnsi="Times New Roman" w:cs="FangSong" w:hint="eastAsia"/>
        </w:rPr>
        <w:t>；</w:t>
      </w:r>
      <w:r>
        <w:rPr>
          <w:rFonts w:ascii="Times New Roman" w:eastAsia="FangSong" w:hAnsi="Times New Roman" w:cs="FangSong"/>
        </w:rPr>
        <w:t>完成研究，</w:t>
      </w:r>
      <w:r>
        <w:rPr>
          <w:rFonts w:ascii="Times New Roman" w:eastAsia="FangSong" w:hAnsi="Times New Roman" w:cs="FangSong" w:hint="eastAsia"/>
        </w:rPr>
        <w:t>及时</w:t>
      </w:r>
      <w:r>
        <w:rPr>
          <w:rFonts w:ascii="Times New Roman" w:eastAsia="FangSong" w:hAnsi="Times New Roman" w:cs="FangSong"/>
        </w:rPr>
        <w:t>提交结题报告。</w:t>
      </w:r>
    </w:p>
    <w:p w14:paraId="12C5006E" w14:textId="77777777" w:rsidR="003C7C03"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rPr>
        <w:t>无论</w:t>
      </w:r>
      <w:r>
        <w:rPr>
          <w:rFonts w:ascii="Times New Roman" w:eastAsia="FangSong" w:hAnsi="Times New Roman" w:cs="FangSong" w:hint="eastAsia"/>
        </w:rPr>
        <w:t>研究</w:t>
      </w:r>
      <w:r>
        <w:rPr>
          <w:rFonts w:ascii="Times New Roman" w:eastAsia="FangSong" w:hAnsi="Times New Roman" w:cs="FangSong"/>
        </w:rPr>
        <w:t>开始与否，在</w:t>
      </w:r>
      <w:r>
        <w:rPr>
          <w:rFonts w:ascii="Times New Roman" w:eastAsia="FangSong" w:hAnsi="Times New Roman" w:cs="FangSong" w:hint="eastAsia"/>
        </w:rPr>
        <w:t>批件中提示的</w:t>
      </w:r>
      <w:r>
        <w:rPr>
          <w:rFonts w:ascii="Times New Roman" w:eastAsia="FangSong" w:hAnsi="Times New Roman" w:cs="FangSong"/>
        </w:rPr>
        <w:t>跟踪审查日期</w:t>
      </w:r>
      <w:r>
        <w:rPr>
          <w:rFonts w:ascii="Times New Roman" w:eastAsia="FangSong" w:hAnsi="Times New Roman" w:cs="FangSong" w:hint="eastAsia"/>
        </w:rPr>
        <w:t>的</w:t>
      </w:r>
      <w:r>
        <w:rPr>
          <w:rFonts w:ascii="Times New Roman" w:eastAsia="FangSong" w:hAnsi="Times New Roman" w:cs="FangSong"/>
        </w:rPr>
        <w:t>前</w:t>
      </w:r>
      <w:r>
        <w:rPr>
          <w:rFonts w:ascii="Times New Roman" w:eastAsia="FangSong" w:hAnsi="Times New Roman" w:cs="FangSong"/>
        </w:rPr>
        <w:t>1</w:t>
      </w:r>
      <w:r>
        <w:rPr>
          <w:rFonts w:ascii="Times New Roman" w:eastAsia="FangSong" w:hAnsi="Times New Roman" w:cs="FangSong"/>
        </w:rPr>
        <w:t>个月提交研究进展报告，得到</w:t>
      </w:r>
      <w:r>
        <w:rPr>
          <w:rFonts w:ascii="Times New Roman" w:eastAsia="FangSong" w:hAnsi="Times New Roman" w:cs="FangSong" w:hint="eastAsia"/>
        </w:rPr>
        <w:t>伦理审查委员会</w:t>
      </w:r>
      <w:r>
        <w:rPr>
          <w:rFonts w:ascii="Times New Roman" w:eastAsia="FangSong" w:hAnsi="Times New Roman" w:cs="FangSong"/>
        </w:rPr>
        <w:t>审查同意后方可继续进行。</w:t>
      </w:r>
    </w:p>
    <w:p w14:paraId="2AAE3236" w14:textId="77777777" w:rsidR="003C7C03"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hint="eastAsia"/>
        </w:rPr>
        <w:t>凡涉及中国人类遗传资源采集标本、收集数据等研究项目，必须获得中国人类遗传资源管理办公室批准后方可在本中心开展研究。</w:t>
      </w:r>
    </w:p>
    <w:p w14:paraId="77C90892" w14:textId="77777777" w:rsidR="003C7C03"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hint="eastAsia"/>
        </w:rPr>
        <w:t>经伦理审查委员会批准的研究项目在实施前，按相关规定在国家卫健委、药审中心等的临床研究登记备案信息系统平台登记研究项目相关信息。</w:t>
      </w:r>
    </w:p>
    <w:p w14:paraId="765AC9C3" w14:textId="77777777" w:rsidR="003C7C03"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hint="eastAsia"/>
        </w:rPr>
        <w:t>负责本研究临床研究全过程中的质量保证，承诺临床研究数据真实可靠，操作规范。</w:t>
      </w:r>
    </w:p>
    <w:p w14:paraId="13FB4071" w14:textId="6F87B2BD" w:rsidR="003C7C03" w:rsidRDefault="00B030F2">
      <w:pPr>
        <w:pStyle w:val="NormalWeb"/>
        <w:numPr>
          <w:ilvl w:val="0"/>
          <w:numId w:val="1"/>
        </w:numPr>
        <w:spacing w:beforeAutospacing="0" w:afterAutospacing="0"/>
        <w:ind w:left="0" w:firstLine="0"/>
        <w:jc w:val="both"/>
        <w:rPr>
          <w:rFonts w:ascii="Times New Roman" w:eastAsia="FangSong" w:hAnsi="Times New Roman" w:cs="FangSong"/>
        </w:rPr>
      </w:pPr>
      <w:r w:rsidRPr="00644112">
        <w:rPr>
          <w:rFonts w:ascii="Times New Roman" w:eastAsia="FangSong" w:hAnsi="Times New Roman" w:cs="FangSong"/>
          <w:noProof/>
        </w:rPr>
        <w:drawing>
          <wp:anchor distT="0" distB="0" distL="114300" distR="114300" simplePos="0" relativeHeight="251659264" behindDoc="0" locked="0" layoutInCell="1" allowOverlap="1" wp14:anchorId="3BED559F" wp14:editId="7BA5BFAE">
            <wp:simplePos x="0" y="0"/>
            <wp:positionH relativeFrom="column">
              <wp:posOffset>3917371</wp:posOffset>
            </wp:positionH>
            <wp:positionV relativeFrom="paragraph">
              <wp:posOffset>455189</wp:posOffset>
            </wp:positionV>
            <wp:extent cx="986790" cy="508000"/>
            <wp:effectExtent l="0" t="0" r="0" b="44450"/>
            <wp:wrapNone/>
            <wp:docPr id="2046135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1366704">
                      <a:off x="0" y="0"/>
                      <a:ext cx="986790" cy="50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Times New Roman" w:eastAsia="FangSong" w:hAnsi="Times New Roman" w:cs="FangSong" w:hint="eastAsia"/>
        </w:rPr>
        <w:t>保守研究对象的个人隐私，做好保密工作。研究过程保存精确记录，所有原始数据相关文件材料要档案保管，药物临床试验至少在研究结束后保管</w:t>
      </w:r>
      <w:r w:rsidR="00000000">
        <w:rPr>
          <w:rFonts w:ascii="Times New Roman" w:eastAsia="FangSong" w:hAnsi="Times New Roman" w:cs="FangSong" w:hint="eastAsia"/>
        </w:rPr>
        <w:t>5</w:t>
      </w:r>
      <w:r w:rsidR="00000000">
        <w:rPr>
          <w:rFonts w:ascii="Times New Roman" w:eastAsia="FangSong" w:hAnsi="Times New Roman" w:cs="FangSong" w:hint="eastAsia"/>
        </w:rPr>
        <w:t>年，医疗器械临床试验至少在研究结束后保管</w:t>
      </w:r>
      <w:r w:rsidR="00000000">
        <w:rPr>
          <w:rFonts w:ascii="Times New Roman" w:eastAsia="FangSong" w:hAnsi="Times New Roman" w:cs="FangSong" w:hint="eastAsia"/>
        </w:rPr>
        <w:t>10</w:t>
      </w:r>
      <w:r w:rsidR="00000000">
        <w:rPr>
          <w:rFonts w:ascii="Times New Roman" w:eastAsia="FangSong" w:hAnsi="Times New Roman" w:cs="FangSong" w:hint="eastAsia"/>
        </w:rPr>
        <w:t>年。</w:t>
      </w:r>
    </w:p>
    <w:p w14:paraId="28E3F99B" w14:textId="07570631" w:rsidR="003C7C03" w:rsidRDefault="003C7C03">
      <w:pPr>
        <w:spacing w:line="360" w:lineRule="auto"/>
        <w:ind w:firstLineChars="200" w:firstLine="480"/>
        <w:rPr>
          <w:rFonts w:ascii="Times New Roman" w:eastAsia="FangSong" w:hAnsi="Times New Roman" w:cs="FangSong"/>
          <w:color w:val="000000"/>
          <w:sz w:val="24"/>
          <w:szCs w:val="24"/>
        </w:rPr>
      </w:pPr>
    </w:p>
    <w:p w14:paraId="4CEB7EE2" w14:textId="7E84924D" w:rsidR="003C7C03" w:rsidRDefault="00000000">
      <w:pPr>
        <w:spacing w:line="360" w:lineRule="auto"/>
        <w:jc w:val="center"/>
        <w:rPr>
          <w:rFonts w:ascii="Times New Roman" w:eastAsia="FangSong" w:hAnsi="Times New Roman" w:cs="FangSong"/>
          <w:bCs/>
          <w:color w:val="000000"/>
          <w:sz w:val="24"/>
          <w:szCs w:val="24"/>
        </w:rPr>
      </w:pPr>
      <w:r>
        <w:rPr>
          <w:rFonts w:ascii="Times New Roman" w:eastAsia="FangSong" w:hAnsi="Times New Roman" w:cs="FangSong" w:hint="eastAsia"/>
          <w:b/>
          <w:bCs/>
          <w:color w:val="000000"/>
          <w:sz w:val="24"/>
          <w:szCs w:val="24"/>
        </w:rPr>
        <w:t xml:space="preserve">                              </w:t>
      </w:r>
      <w:r>
        <w:rPr>
          <w:rFonts w:ascii="Times New Roman" w:eastAsia="FangSong" w:hAnsi="Times New Roman" w:cs="FangSong" w:hint="eastAsia"/>
          <w:bCs/>
          <w:color w:val="000000"/>
          <w:sz w:val="24"/>
          <w:szCs w:val="24"/>
        </w:rPr>
        <w:t xml:space="preserve">     </w:t>
      </w:r>
      <w:r>
        <w:rPr>
          <w:rFonts w:ascii="Times New Roman" w:eastAsia="FangSong" w:hAnsi="Times New Roman" w:cs="FangSong" w:hint="eastAsia"/>
          <w:bCs/>
          <w:color w:val="000000"/>
          <w:sz w:val="24"/>
          <w:szCs w:val="24"/>
        </w:rPr>
        <w:t>主要研究者：</w:t>
      </w:r>
      <w:r w:rsidR="00411276" w:rsidRPr="00411276">
        <w:rPr>
          <w:rFonts w:ascii="SimSun" w:eastAsia="SimSun" w:hAnsi="SimSun" w:cs="SimSun" w:hint="eastAsia"/>
          <w:bCs/>
          <w:sz w:val="24"/>
          <w:szCs w:val="24"/>
          <w:lang w:bidi="ar"/>
        </w:rPr>
        <w:t>赵凤东</w:t>
      </w:r>
    </w:p>
    <w:p w14:paraId="016F7A33" w14:textId="1BC55049" w:rsidR="003C7C03" w:rsidRDefault="00000000">
      <w:pPr>
        <w:spacing w:line="360" w:lineRule="auto"/>
        <w:jc w:val="center"/>
        <w:rPr>
          <w:rFonts w:ascii="Times New Roman" w:eastAsia="FangSong" w:hAnsi="Times New Roman" w:cs="FangSong" w:hint="eastAsia"/>
          <w:bCs/>
          <w:color w:val="000000"/>
          <w:sz w:val="24"/>
          <w:szCs w:val="24"/>
        </w:rPr>
      </w:pPr>
      <w:r>
        <w:rPr>
          <w:rFonts w:ascii="Times New Roman" w:eastAsia="FangSong" w:hAnsi="Times New Roman" w:cs="FangSong" w:hint="eastAsia"/>
          <w:bCs/>
          <w:color w:val="000000"/>
          <w:sz w:val="24"/>
          <w:szCs w:val="24"/>
        </w:rPr>
        <w:t xml:space="preserve">                                     </w:t>
      </w:r>
      <w:r>
        <w:rPr>
          <w:rFonts w:ascii="Times New Roman" w:eastAsia="FangSong" w:hAnsi="Times New Roman" w:cs="FangSong" w:hint="eastAsia"/>
          <w:bCs/>
          <w:color w:val="000000"/>
          <w:sz w:val="24"/>
          <w:szCs w:val="24"/>
        </w:rPr>
        <w:t>日</w:t>
      </w:r>
      <w:r>
        <w:rPr>
          <w:rFonts w:ascii="Times New Roman" w:eastAsia="FangSong" w:hAnsi="Times New Roman" w:cs="FangSong" w:hint="eastAsia"/>
          <w:bCs/>
          <w:color w:val="000000"/>
          <w:sz w:val="24"/>
          <w:szCs w:val="24"/>
        </w:rPr>
        <w:t xml:space="preserve">     </w:t>
      </w:r>
      <w:r>
        <w:rPr>
          <w:rFonts w:ascii="Times New Roman" w:eastAsia="FangSong" w:hAnsi="Times New Roman" w:cs="FangSong" w:hint="eastAsia"/>
          <w:bCs/>
          <w:color w:val="000000"/>
          <w:sz w:val="24"/>
          <w:szCs w:val="24"/>
        </w:rPr>
        <w:t>期：</w:t>
      </w:r>
      <w:r w:rsidR="00411276">
        <w:rPr>
          <w:rFonts w:ascii="Times New Roman" w:eastAsia="FangSong" w:hAnsi="Times New Roman" w:cs="FangSong" w:hint="eastAsia"/>
          <w:bCs/>
          <w:color w:val="000000"/>
          <w:sz w:val="24"/>
          <w:szCs w:val="24"/>
        </w:rPr>
        <w:t>2</w:t>
      </w:r>
      <w:r w:rsidR="00411276">
        <w:rPr>
          <w:rFonts w:ascii="Times New Roman" w:eastAsia="FangSong" w:hAnsi="Times New Roman" w:cs="FangSong"/>
          <w:bCs/>
          <w:color w:val="000000"/>
          <w:sz w:val="24"/>
          <w:szCs w:val="24"/>
        </w:rPr>
        <w:t>02</w:t>
      </w:r>
      <w:r w:rsidR="006F1635">
        <w:rPr>
          <w:rFonts w:ascii="Times New Roman" w:eastAsia="FangSong" w:hAnsi="Times New Roman" w:cs="FangSong" w:hint="eastAsia"/>
          <w:bCs/>
          <w:color w:val="000000"/>
          <w:sz w:val="24"/>
          <w:szCs w:val="24"/>
        </w:rPr>
        <w:t>5</w:t>
      </w:r>
      <w:r w:rsidR="00411276">
        <w:rPr>
          <w:rFonts w:ascii="Times New Roman" w:eastAsia="FangSong" w:hAnsi="Times New Roman" w:cs="FangSong" w:hint="eastAsia"/>
          <w:bCs/>
          <w:color w:val="000000"/>
          <w:sz w:val="24"/>
          <w:szCs w:val="24"/>
        </w:rPr>
        <w:t>/</w:t>
      </w:r>
      <w:r w:rsidR="006F1635">
        <w:rPr>
          <w:rFonts w:ascii="Times New Roman" w:eastAsia="FangSong" w:hAnsi="Times New Roman" w:cs="FangSong" w:hint="eastAsia"/>
          <w:bCs/>
          <w:color w:val="000000"/>
          <w:sz w:val="24"/>
          <w:szCs w:val="24"/>
        </w:rPr>
        <w:t>0</w:t>
      </w:r>
      <w:r w:rsidR="00B030F2">
        <w:rPr>
          <w:rFonts w:ascii="Times New Roman" w:eastAsia="FangSong" w:hAnsi="Times New Roman" w:cs="FangSong" w:hint="eastAsia"/>
          <w:bCs/>
          <w:color w:val="000000"/>
          <w:sz w:val="24"/>
          <w:szCs w:val="24"/>
        </w:rPr>
        <w:t>3</w:t>
      </w:r>
      <w:r w:rsidR="00411276">
        <w:rPr>
          <w:rFonts w:ascii="Times New Roman" w:eastAsia="FangSong" w:hAnsi="Times New Roman" w:cs="FangSong"/>
          <w:bCs/>
          <w:color w:val="000000"/>
          <w:sz w:val="24"/>
          <w:szCs w:val="24"/>
        </w:rPr>
        <w:t>/</w:t>
      </w:r>
      <w:r w:rsidR="00B030F2">
        <w:rPr>
          <w:rFonts w:ascii="Times New Roman" w:eastAsia="FangSong" w:hAnsi="Times New Roman" w:cs="FangSong" w:hint="eastAsia"/>
          <w:bCs/>
          <w:color w:val="000000"/>
          <w:sz w:val="24"/>
          <w:szCs w:val="24"/>
        </w:rPr>
        <w:t>18</w:t>
      </w:r>
    </w:p>
    <w:p w14:paraId="2CAF9EB1" w14:textId="089C4ECD" w:rsidR="003C7C03" w:rsidRDefault="003C7C03"/>
    <w:sectPr w:rsidR="003C7C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AD094" w14:textId="77777777" w:rsidR="00EC448C" w:rsidRDefault="00EC448C">
      <w:pPr>
        <w:spacing w:after="0"/>
      </w:pPr>
      <w:r>
        <w:separator/>
      </w:r>
    </w:p>
  </w:endnote>
  <w:endnote w:type="continuationSeparator" w:id="0">
    <w:p w14:paraId="5B1BA9E1" w14:textId="77777777" w:rsidR="00EC448C" w:rsidRDefault="00EC44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altName w:val="Verdana"/>
    <w:panose1 w:val="020B0604030504040204"/>
    <w:charset w:val="00"/>
    <w:family w:val="swiss"/>
    <w:pitch w:val="variable"/>
    <w:sig w:usb0="E1002EFF" w:usb1="C000605B" w:usb2="00000029" w:usb3="00000000" w:csb0="000101FF" w:csb1="00000000"/>
  </w:font>
  <w:font w:name="Microsoft YaHei">
    <w:altName w:val="汉仪旗黑KW 55S"/>
    <w:panose1 w:val="020B0503020204020204"/>
    <w:charset w:val="86"/>
    <w:family w:val="swiss"/>
    <w:pitch w:val="variable"/>
    <w:sig w:usb0="80000287" w:usb1="2ACF3C50"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FangSong">
    <w:altName w:val="汉仪仿宋KW"/>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B9432" w14:textId="77777777" w:rsidR="00EC448C" w:rsidRDefault="00EC448C">
      <w:pPr>
        <w:spacing w:after="0"/>
      </w:pPr>
      <w:r>
        <w:separator/>
      </w:r>
    </w:p>
  </w:footnote>
  <w:footnote w:type="continuationSeparator" w:id="0">
    <w:p w14:paraId="6F93FAA6" w14:textId="77777777" w:rsidR="00EC448C" w:rsidRDefault="00EC44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F56AD"/>
    <w:multiLevelType w:val="multilevel"/>
    <w:tmpl w:val="0F5F56A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61321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1EE541C"/>
    <w:rsid w:val="003C7C03"/>
    <w:rsid w:val="00411276"/>
    <w:rsid w:val="006F1635"/>
    <w:rsid w:val="007075BA"/>
    <w:rsid w:val="00833C97"/>
    <w:rsid w:val="0089481B"/>
    <w:rsid w:val="00B030F2"/>
    <w:rsid w:val="00B62E8A"/>
    <w:rsid w:val="00EC448C"/>
    <w:rsid w:val="01CA101A"/>
    <w:rsid w:val="36A27067"/>
    <w:rsid w:val="40D6498B"/>
    <w:rsid w:val="51EE541C"/>
    <w:rsid w:val="5E9C7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8D6B30"/>
  <w15:docId w15:val="{13FA22EA-A374-4EDB-9FF9-AFCEA983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djustRightInd w:val="0"/>
      <w:snapToGrid w:val="0"/>
      <w:spacing w:after="200"/>
    </w:pPr>
    <w:rPr>
      <w:rFonts w:ascii="Tahoma" w:eastAsia="Microsoft YaHei" w:hAnsi="Tahoma"/>
      <w:sz w:val="22"/>
      <w:szCs w:val="22"/>
      <w:lang w:val="en-US" w:eastAsia="zh-CN"/>
    </w:rPr>
  </w:style>
  <w:style w:type="paragraph" w:styleId="Heading1">
    <w:name w:val="heading 1"/>
    <w:basedOn w:val="Normal"/>
    <w:next w:val="Normal"/>
    <w:link w:val="Heading1Char"/>
    <w:qFormat/>
    <w:pPr>
      <w:keepNext/>
      <w:keepLines/>
      <w:jc w:val="center"/>
      <w:outlineLvl w:val="0"/>
    </w:pPr>
    <w:rPr>
      <w:rFonts w:eastAsia="SimSun"/>
      <w:b/>
      <w:kern w:val="4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Autospacing="1" w:after="0" w:afterAutospacing="1"/>
    </w:pPr>
    <w:rPr>
      <w:rFonts w:ascii="SimHei" w:hAnsi="SimHei"/>
      <w:sz w:val="24"/>
      <w:szCs w:val="24"/>
    </w:rPr>
  </w:style>
  <w:style w:type="character" w:customStyle="1" w:styleId="Heading1Char">
    <w:name w:val="Heading 1 Char"/>
    <w:link w:val="Heading1"/>
    <w:qFormat/>
    <w:rPr>
      <w:rFonts w:ascii="Tahoma" w:eastAsia="SimSun" w:hAnsi="Tahoma" w:cs="Times New Roman"/>
      <w:b/>
      <w:kern w:val="44"/>
      <w:sz w:val="28"/>
      <w:szCs w:val="22"/>
    </w:rPr>
  </w:style>
  <w:style w:type="paragraph" w:styleId="Header">
    <w:name w:val="header"/>
    <w:basedOn w:val="Normal"/>
    <w:link w:val="HeaderChar"/>
    <w:rsid w:val="00B030F2"/>
    <w:pPr>
      <w:tabs>
        <w:tab w:val="center" w:pos="4513"/>
        <w:tab w:val="right" w:pos="9026"/>
      </w:tabs>
      <w:spacing w:after="0"/>
    </w:pPr>
  </w:style>
  <w:style w:type="character" w:customStyle="1" w:styleId="HeaderChar">
    <w:name w:val="Header Char"/>
    <w:basedOn w:val="DefaultParagraphFont"/>
    <w:link w:val="Header"/>
    <w:rsid w:val="00B030F2"/>
    <w:rPr>
      <w:rFonts w:ascii="Tahoma" w:eastAsia="Microsoft YaHei" w:hAnsi="Tahoma"/>
      <w:sz w:val="22"/>
      <w:szCs w:val="22"/>
      <w:lang w:val="en-US" w:eastAsia="zh-CN"/>
    </w:rPr>
  </w:style>
  <w:style w:type="paragraph" w:styleId="Footer">
    <w:name w:val="footer"/>
    <w:basedOn w:val="Normal"/>
    <w:link w:val="FooterChar"/>
    <w:rsid w:val="00B030F2"/>
    <w:pPr>
      <w:tabs>
        <w:tab w:val="center" w:pos="4513"/>
        <w:tab w:val="right" w:pos="9026"/>
      </w:tabs>
      <w:spacing w:after="0"/>
    </w:pPr>
  </w:style>
  <w:style w:type="character" w:customStyle="1" w:styleId="FooterChar">
    <w:name w:val="Footer Char"/>
    <w:basedOn w:val="DefaultParagraphFont"/>
    <w:link w:val="Footer"/>
    <w:rsid w:val="00B030F2"/>
    <w:rPr>
      <w:rFonts w:ascii="Tahoma" w:eastAsia="Microsoft YaHei" w:hAnsi="Tahom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445</Words>
  <Characters>464</Characters>
  <Application>Microsoft Office Word</Application>
  <DocSecurity>0</DocSecurity>
  <Lines>92</Lines>
  <Paragraphs>113</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dc:creator>
  <cp:lastModifiedBy>Hao Wu</cp:lastModifiedBy>
  <cp:revision>4</cp:revision>
  <dcterms:created xsi:type="dcterms:W3CDTF">2022-03-07T01:50:00Z</dcterms:created>
  <dcterms:modified xsi:type="dcterms:W3CDTF">2025-03-19T03:07:00Z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8D628DEE1A6B4A9FACC9B6CDC23D24C6</vt:lpwstr>
  </property>
</Properties>
</file>