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src.main.java.com.dazk.common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项目通用工具及系统配置，所有模块相同，注释尽量完善，</w:t>
      </w:r>
      <w:bookmarkStart w:id="0" w:name="_GoBack"/>
      <w:bookmarkEnd w:id="0"/>
      <w:r>
        <w:rPr>
          <w:rFonts w:hint="eastAsia"/>
          <w:lang w:val="en-US" w:eastAsia="zh-CN"/>
        </w:rPr>
        <w:t>远程阀控-工具包 所有模块统一，且只能新增，若修改需要通知所有成员，没问题方可修改。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注：common包放在git上，所有人员一起维护保证所有模块common包相同。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"http://118.31.102.18/sunjd/common.git"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http://118.31.102.18/sunjd/common.git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"mailto:git@118.31.102.18:sunjd/common.git"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git@118.31.102.18:sunjd/common.git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src.main.java.com.dazk.controller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mvc-控制层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src.main.java.com.dazk.db.dao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src.main.java.com.dazk.db.mapper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 xml文件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src.main.java.com.dazk.db.model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src.main.java.com.dazk.service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mvc-业务层接口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src.main.java.com.dazk.service.impl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mvc-业务层接口实现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以上目录结构必须相同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mybatis配置基于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"https://github.com/abel533/MyBatis-Spring-Boot"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https://github.com/abel533/MyBatis-Spring-Boot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自动生成插件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"https://mapperhelper.github.io/docs/1.integration/"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https://mapperhelper.github.io/docs/1.integration/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在实体类定义时所有属性均定义为java封装类，比如 int封装类为 Integer，float 为 Float。利于反射操作。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属性名与数据库字段一致，命名规范为：小写字母，单词间以下划线分隔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"http://118.31.102.18/"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http://118.31.102.18/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 参照 远程阀控git使用说明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测试数据库地址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spring.datasource.url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jdbc:mysql://118.31.102.18:8066/rvc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dunanroot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dunanroot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若要修改数据库结构，需要去 3306 端口 修改 rvc1，rvc2 数据库，两个都要修改。（账码均为 root），修改的部分需要同步到，processOn 的数据库设计上。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processOn 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"https://www.processon.com/i/5728068de4b0c618eb4cd824"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https://www.processon.com/i/5728068de4b0c618eb4cd824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注册后联系孙缙东邀请协作。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952830">
    <w:nsid w:val="5976B8FE"/>
    <w:multiLevelType w:val="singleLevel"/>
    <w:tmpl w:val="5976B8F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0952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1BEE"/>
    <w:rsid w:val="1FF52362"/>
    <w:rsid w:val="216C1A02"/>
    <w:rsid w:val="33E6525A"/>
    <w:rsid w:val="6A1D00E6"/>
    <w:rsid w:val="6DCC783B"/>
    <w:rsid w:val="72CF7964"/>
    <w:rsid w:val="77FA57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2017-07-25T02:58:37Z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