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EC10F">
      <w:pPr>
        <w:pStyle w:val="9"/>
        <w:pBdr>
          <w:top w:val="none" w:color="auto" w:sz="0" w:space="0"/>
          <w:left w:val="none" w:color="auto" w:sz="0" w:space="0"/>
          <w:bottom w:val="none" w:color="auto" w:sz="0" w:space="0"/>
          <w:right w:val="none" w:color="auto" w:sz="0" w:space="0"/>
        </w:pBdr>
        <w:spacing w:before="0" w:after="0" w:line="240" w:lineRule="auto" w:beforeLines="0" w:afterLines="0"/>
        <w:ind w:right="375"/>
        <w:jc w:val="center"/>
        <w:textAlignment w:val="baseline"/>
        <w:rPr>
          <w:rFonts w:ascii="Arial" w:hAnsi="Arial" w:eastAsia="Arial" w:cs="Arial"/>
          <w:b/>
          <w:bCs/>
          <w:sz w:val="30"/>
          <w:szCs w:val="30"/>
          <w:lang/>
        </w:rPr>
      </w:pPr>
      <w:bookmarkStart w:id="16" w:name="_GoBack"/>
      <w:bookmarkEnd w:id="16"/>
      <w:r>
        <w:rPr>
          <w:rFonts w:ascii="宋体" w:hAnsi="宋体" w:eastAsia="黑体" w:cs="宋体"/>
          <w:b w:val="0"/>
          <w:bCs/>
          <w:i w:val="0"/>
          <w:sz w:val="28"/>
          <w:lang/>
        </w:rPr>
        <w:t>合同无效与履约保证金返还——探索超越“全有或全无”的第三条道路</w:t>
      </w:r>
    </w:p>
    <w:p w14:paraId="16BE69C8">
      <w:pPr>
        <w:pStyle w:val="19"/>
        <w:pBdr>
          <w:top w:val="none" w:color="auto" w:sz="0" w:space="0"/>
          <w:left w:val="none" w:color="auto" w:sz="0" w:space="0"/>
          <w:bottom w:val="none" w:color="auto" w:sz="0" w:space="0"/>
          <w:right w:val="none" w:color="auto" w:sz="0" w:space="0"/>
        </w:pBdr>
        <w:spacing w:before="0" w:after="0" w:line="240" w:lineRule="auto" w:beforeLines="0" w:afterLines="0"/>
        <w:ind w:right="375"/>
        <w:jc w:val="left"/>
        <w:rPr>
          <w:rFonts w:hint="eastAsia" w:ascii="宋体" w:hAnsi="宋体" w:eastAsia="宋体" w:cs="宋体"/>
          <w:color w:val="000000"/>
          <w:sz w:val="27"/>
          <w:szCs w:val="27"/>
          <w:vertAlign w:val="baseline"/>
          <w:lang/>
        </w:rPr>
      </w:pPr>
      <w:bookmarkStart w:id="0" w:name="sort_1"/>
      <w:bookmarkEnd w:id="0"/>
      <w:r>
        <w:rPr>
          <w:rFonts w:hint="eastAsia" w:ascii="宋体" w:hAnsi="宋体" w:eastAsia="楷体" w:cs="宋体"/>
          <w:b w:val="0"/>
          <w:i w:val="0"/>
          <w:color w:val="000000"/>
          <w:sz w:val="24"/>
          <w:szCs w:val="27"/>
          <w:vertAlign w:val="baseline"/>
          <w:lang/>
        </w:rPr>
        <w:t>摘要：因合同无效，基于该合同给付的履约保证金依法可以主张返还，相应的返还请求权通常是给付不当得利返还请求权。履约保证金作为给付不当得利请求返还，通常作为“返还财产”即为已足，无须“折价补偿”（价额偿还）。“得利”可以表现为对金钱的受领，“返还财产”则须依不当得利法则确定其返还的方法与范围，可能但却并非必然是当初所受领的金钱。在接力给付形成给付链条且两份合同均属无效（双重瑕疵）场合，善意的接力给付人的现存利益可能表现为其对第三人的不当得利请求权，该请求权作为接力给付人所受领履约保证金的代偿物，构成相应的返还客体。这种“双重不当得利请求权”能够精准对应当事人事先对于履约保证金返还风险的分配，因其给予每个人其所应得，故更为公正。</w:t>
      </w:r>
      <w:r>
        <w:rPr>
          <w:rFonts w:eastAsia="楷体" w:ascii="宋体" w:hAnsi="宋体" w:cs="宋体"/>
          <w:b w:val="0"/>
          <w:i w:val="0"/>
          <w:sz w:val="24"/>
          <w:vertAlign w:val="superscript"/>
        </w:rPr>
        <w:footnoteReference w:id="1"/>
      </w:r>
    </w:p>
    <w:p w14:paraId="2DA72BD4">
      <w:pPr>
        <w:pStyle w:val="19"/>
        <w:pBdr>
          <w:top w:val="none" w:color="auto" w:sz="0" w:space="0"/>
          <w:left w:val="none" w:color="auto" w:sz="0" w:space="0"/>
          <w:bottom w:val="none" w:color="auto" w:sz="0" w:space="0"/>
          <w:right w:val="none" w:color="auto" w:sz="0" w:space="0"/>
        </w:pBdr>
        <w:spacing w:before="0" w:after="0" w:line="240" w:lineRule="auto" w:beforeLines="0" w:afterLines="0"/>
        <w:ind w:right="375"/>
        <w:jc w:val="left"/>
        <w:rPr>
          <w:rFonts w:ascii="宋体" w:hAnsi="宋体" w:eastAsia="宋体" w:cs="宋体"/>
          <w:color w:val="000000"/>
          <w:sz w:val="27"/>
          <w:szCs w:val="27"/>
          <w:vertAlign w:val="baseline"/>
          <w:lang/>
        </w:rPr>
      </w:pPr>
      <w:r>
        <w:rPr>
          <w:rFonts w:hint="eastAsia" w:ascii="宋体" w:hAnsi="宋体" w:eastAsia="楷体" w:cs="宋体"/>
          <w:b w:val="0"/>
          <w:i w:val="0"/>
          <w:color w:val="000000"/>
          <w:sz w:val="24"/>
          <w:szCs w:val="27"/>
          <w:vertAlign w:val="baseline"/>
          <w:lang/>
        </w:rPr>
        <w:t>关键词：不当得利 履约保证金 返还财产 代偿物 给付链条</w:t>
      </w:r>
      <w:r>
        <w:rPr>
          <w:rFonts w:eastAsia="楷体" w:ascii="宋体" w:hAnsi="宋体" w:cs="宋体"/>
          <w:b w:val="0"/>
          <w:i w:val="0"/>
          <w:sz w:val="24"/>
          <w:vertAlign w:val="superscript"/>
        </w:rPr>
        <w:footnoteReference w:id="2"/>
      </w:r>
    </w:p>
    <w:p w14:paraId="7E1300AD">
      <w:pPr>
        <w:pStyle w:val="19"/>
        <w:pBdr>
          <w:top w:val="none" w:color="auto" w:sz="0" w:space="0"/>
          <w:left w:val="none" w:color="auto" w:sz="0" w:space="0"/>
          <w:bottom w:val="none" w:color="auto" w:sz="0" w:space="0"/>
          <w:right w:val="none" w:color="auto" w:sz="0" w:space="0"/>
        </w:pBdr>
        <w:spacing w:before="0" w:after="0" w:line="240" w:lineRule="auto" w:beforeLines="0" w:afterLines="0"/>
        <w:ind w:right="375"/>
        <w:jc w:val="center"/>
        <w:rPr>
          <w:rFonts w:ascii="宋体" w:hAnsi="宋体" w:eastAsia="宋体" w:cs="宋体"/>
          <w:color w:val="000000"/>
          <w:sz w:val="27"/>
          <w:szCs w:val="27"/>
          <w:lang/>
        </w:rPr>
      </w:pPr>
      <w:r>
        <w:rPr>
          <w:rFonts w:ascii="宋体" w:hAnsi="宋体" w:eastAsia="宋体" w:cs="宋体"/>
          <w:b/>
          <w:i w:val="0"/>
          <w:color w:val="000000"/>
          <w:sz w:val="24"/>
          <w:szCs w:val="27"/>
          <w:vertAlign w:val="baseline"/>
          <w:lang/>
        </w:rPr>
        <w:t>一、引言</w:t>
      </w:r>
      <w:r>
        <w:rPr>
          <w:rFonts w:eastAsia="宋体" w:ascii="宋体" w:hAnsi="宋体" w:cs="宋体"/>
          <w:b/>
          <w:i w:val="0"/>
          <w:sz w:val="24"/>
          <w:vertAlign w:val="superscript"/>
        </w:rPr>
        <w:footnoteReference w:id="3"/>
      </w:r>
    </w:p>
    <w:p w14:paraId="5D9A642E">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民法学是实用科学，以为实践问题提供解决方案为其正当性基础，因而学理与裁判应彼此密切结合，法律人的目光应往返穿梭于学理与裁判实例，发现真问题，思考合理的解决方案，或可借此而使学理与裁判各有提升。</w:t>
      </w:r>
      <w:r>
        <w:rPr>
          <w:rFonts w:eastAsia="宋体" w:ascii="宋体" w:hAnsi="宋体" w:cs="宋体"/>
          <w:b w:val="0"/>
          <w:i w:val="0"/>
          <w:sz w:val="21"/>
          <w:vertAlign w:val="superscript"/>
        </w:rPr>
        <w:footnoteReference w:id="4"/>
      </w:r>
    </w:p>
    <w:p w14:paraId="39A3F52B">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设若A公司经正常招投标程序将某工程项目发包给了Z建筑公司，Z又将该工程转包给了自然人Y，Y又以“合作”之名将工程的一半分给自然人X。X及Y作为自然人，均无建设工程施工资质。A与Z的《建设工程施工合同》约定，“承包人在合同签订后一周内向发包人提供200万元履约保证金，履约保证金在承包人正式进场施工后5个工作日内由发包人一次性无息返还”。Z将工程转包给Y时，在《转包合同》中依样约定“转包人应承担施工合同中承包人的工程担保责任（即200万元履约保证金），承包人应在建设单位返还工程担保金后3个工作日内一次性退还给转包人”。Y与X在其《合作协议》中约定，“X应承担施工合同中Y的工程担保责任，即X在合同签订后一周内向发包方提供100万元履约保证金，履约保证金在X正式进场施工后由Y在5个工作日内一次性无息返还”。上述合同签订后，X依约向Y指定账户支付了100万元；Y向Z账户支付了200万元；Z向A支付了履约保证金200万元。此后，由于A资金链断裂，工程停滞，无论X还是Y抑或其施工队伍，均没有实际进场施工。A虽想方设法，终未解决资金问题，此种状态一晃持续数年。X最终失去耐心，向法院提起诉讼，要求Y返还履约保证金并支付利息、承担因违约所产生的费用等。</w:t>
      </w:r>
      <w:r>
        <w:rPr>
          <w:rFonts w:eastAsia="宋体" w:ascii="宋体" w:hAnsi="宋体" w:cs="宋体"/>
          <w:b w:val="0"/>
          <w:i w:val="0"/>
          <w:sz w:val="21"/>
          <w:vertAlign w:val="superscript"/>
        </w:rPr>
        <w:footnoteReference w:id="5"/>
      </w:r>
    </w:p>
    <w:p w14:paraId="0F1BFDC4">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由此例可知，在建设工程施工合同中，施工人往往被要求先缴纳一笔履约保证金。如果遇到了转包或者违法分包，相应的施工合同在司法实践中通常会被认定为无效[1]，相应地，履约保证金应如何返还，看似简单，但司法裁判方法不一。其中，涉及履约保证金返还请求权基础何在，该请求权的性质如何（是约定请求权抑或法定请求权、物权请求权抑或债权请求权），是不当得利抑或损害赔偿请求权，这些问题都需要学界对其进行清晰界定。另外，不当得利法与损害赔偿法背后的理念差异及法规则也有进一步探讨的必要。从履约保证金或可以小见大，检视《</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中华人民共和国民法典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》（以下简称《</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》）的体系关联。</w:t>
      </w:r>
      <w:r>
        <w:rPr>
          <w:rFonts w:eastAsia="宋体" w:ascii="宋体" w:hAnsi="宋体" w:cs="宋体"/>
          <w:b w:val="0"/>
          <w:i w:val="0"/>
          <w:sz w:val="21"/>
          <w:vertAlign w:val="superscript"/>
        </w:rPr>
        <w:footnoteReference w:id="6"/>
      </w:r>
    </w:p>
    <w:p w14:paraId="322A7757">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图1 多合同关系与给付链条</w:t>
      </w:r>
      <w:r>
        <w:rPr>
          <w:rFonts w:eastAsia="宋体" w:ascii="宋体" w:hAnsi="宋体" w:cs="宋体"/>
          <w:b w:val="0"/>
          <w:i w:val="0"/>
          <w:sz w:val="21"/>
          <w:vertAlign w:val="superscript"/>
        </w:rPr>
        <w:footnoteReference w:id="7"/>
      </w:r>
    </w:p>
    <w:p w14:paraId="008087C9">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图1略</w:t>
      </w:r>
      <w:r>
        <w:rPr>
          <w:rFonts w:eastAsia="宋体" w:ascii="宋体" w:hAnsi="宋体" w:cs="宋体"/>
          <w:b w:val="0"/>
          <w:i w:val="0"/>
          <w:sz w:val="21"/>
          <w:vertAlign w:val="superscript"/>
        </w:rPr>
        <w:footnoteReference w:id="8"/>
      </w:r>
    </w:p>
    <w:p w14:paraId="5335DA1B">
      <w:pPr>
        <w:pStyle w:val="19"/>
        <w:spacing w:before="0" w:after="0" w:line="240" w:lineRule="auto" w:beforeLines="0" w:afterLines="0"/>
        <w:ind w:right="375"/>
        <w:jc w:val="center"/>
        <w:rPr>
          <w:rFonts w:ascii="宋体" w:hAnsi="宋体" w:eastAsia="宋体" w:cs="宋体"/>
          <w:color w:val="000000"/>
          <w:sz w:val="27"/>
          <w:szCs w:val="27"/>
          <w:lang/>
        </w:rPr>
      </w:pPr>
      <w:bookmarkStart w:id="1" w:name="sort_2"/>
      <w:bookmarkEnd w:id="1"/>
      <w:r>
        <w:rPr>
          <w:rFonts w:ascii="宋体" w:hAnsi="宋体" w:eastAsia="宋体" w:cs="宋体"/>
          <w:b/>
          <w:i w:val="0"/>
          <w:color w:val="000000"/>
          <w:sz w:val="24"/>
          <w:szCs w:val="27"/>
          <w:vertAlign w:val="baseline"/>
          <w:lang/>
        </w:rPr>
        <w:t>二、履约保证金条款及其效力</w:t>
      </w:r>
      <w:r>
        <w:rPr>
          <w:rFonts w:eastAsia="宋体" w:ascii="宋体" w:hAnsi="宋体" w:cs="宋体"/>
          <w:b/>
          <w:i w:val="0"/>
          <w:sz w:val="24"/>
          <w:vertAlign w:val="superscript"/>
        </w:rPr>
        <w:footnoteReference w:id="9"/>
      </w:r>
    </w:p>
    <w:p w14:paraId="58508BB4">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履约保证金（或称“投标保证金”“参选保证金”等），不仅是合同实务中的存在，在法律法规中也有出现，比如《</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"https://www.pkulaw.com/chl/eb84b457e4189187bdfb.html?way=textSlc"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中华人民共和国招标投标法</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》（2017修正）第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"https://www.pkulaw.com/chl/eb84b457e4189187bdfb.html?way=textSlc" \l "tiao_46"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46</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第2款规定：“招标文件要求中标人提交履约保证金的，中标人应当提交。”第60条第1款规定：“中标人不履行与招标人订立的合同的，履约保证金不予退还，给招标人造成的损失超过履约保证金数额的，还应当对超过部分予以赔偿；没有提交履约保证金的，应当对招标人的损失承担赔偿责任。”《</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"https://www.pkulaw.com/chl/e7f93f8a4b71aef3bdfb.html?way=textSlc"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中华人民共和国招标投标法实施条例</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》（2019修订）第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"https://www.pkulaw.com/chl/e7f93f8a4b71aef3bdfb.html?way=textSlc" \l "tiao_58"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58</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规定：“招标文件要求中标人提交履约保证金的，中标人应当按照招标文件的要求提交。履约保证金不得超过中标合同金额的10%。”在招标投标法语境中，履约保证金具有如下特点：（1）它是由招标文件所要求，投标人参与竞标，即默示同意提交履约保证金，进而构成双方约定的内容。因而，履约保证金的发生是基于当事人的意思，而非法律的一般性要求。（2）它是用于保障招投标所订合同的履行，而且只制约中标人，不制约招标人；因而，它不同于违约定金，不具有双向制约属性。（3）法律拟制其为中标人违约时的最低赔偿额，如招标人所受损失更大，就超出的部分仍可继续请求赔偿。（4）规范对履约保证金金额有管制，即不得超过中标合同金额的10%。</w:t>
      </w:r>
      <w:r>
        <w:rPr>
          <w:rFonts w:eastAsia="宋体" w:ascii="宋体" w:hAnsi="宋体" w:cs="宋体"/>
          <w:b w:val="0"/>
          <w:i w:val="0"/>
          <w:sz w:val="21"/>
          <w:vertAlign w:val="superscript"/>
        </w:rPr>
        <w:footnoteReference w:id="10"/>
      </w:r>
    </w:p>
    <w:p w14:paraId="5796C809">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除必须招标的工程建设项目（《</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"https://www.pkulaw.com/chl/eb84b457e4189187bdfb.html?way=textSlc"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中华人民共和国招标投标法</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"https://www.pkulaw.com/chl/eb84b457e4189187bdfb.html?way=textSlc" \l "tiao_3"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3</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外，当事人缔约时也可能要求先给付履约保证金，该场合的履约保证金则应依合同解释，确定其效力。比如，承包人可能与分包人约定，“分包人应承担承包人在施工合同中的工程担保责任，在合同签订后一个工作周内向发包方提供履约保证金若干，履约保证金在分包人正式进场施工后由承包人5个工作日内一次性无息返还”。该约定虽称“履约保证金”，从其内容来看，像是对于“进场施工”的担保，但并未约定届时如不进场施工则予以没收，实质上更像是：（1）在进场施工前展示其对于合同的真诚（Seriousness，认真性）；（2）对此笔金钱的无息可用性之赋予。总之，“履约保证金”虽是出现在《合作协议》中，此项金钱的支付，更像是当事人获得施工机会的“敲门砖”，不缴纳则不足以显示分包人的真诚性。</w:t>
      </w:r>
      <w:r>
        <w:rPr>
          <w:rFonts w:eastAsia="宋体" w:ascii="宋体" w:hAnsi="宋体" w:cs="宋体"/>
          <w:b w:val="0"/>
          <w:i w:val="0"/>
          <w:sz w:val="21"/>
          <w:vertAlign w:val="superscript"/>
        </w:rPr>
        <w:footnoteReference w:id="11"/>
      </w:r>
    </w:p>
    <w:p w14:paraId="61948381">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就本文开头案例而言，“履约保证金”最初是出现在《建设工程施工合同》中，其后出现在《转包合同》中，最终出现在《合作协议》中。这笔钱（200万元）从一开始就确定收取的主体是发包方，保证金的提供方原本是承包方（Z），承包方通过合同将其义务转嫁给了Y，Y最终通过协议让X分担了上述义务的一半（100万元）。Y及X，作为自然人，无论是通过“转包”还是“分包”，无非想有活干、有钱挣，为此，要先拿出“敲门砖”来。如此，有活干（获得施工工程）是目的，共同出资支付“履约保证金”纯属手段；一般在施工合同中，构成给付与对待给付的是工程施工与支付工程价款，支付履约保证金并非施工合同的必要组成部分，而是外在于上述给付与对待给付的单方义务，甚至在很多场合，它先于施工合同存在，具有一定的独立性。由于履约保证金的手段属性，往往相应的约定会依托于施工合同等基础合同。在施工合同效力瑕疵场合（比如“转包”或“分包”无效）[2]，履约保证金条款也相应一并失其效力。给付人会审时度势，提起诉讼，主张返还履约保证金。对于此类诉求，法院一般遵循“要么全有、要么全无”（all or nothing）的处理模式，即要么支持，要么不支持。[3]对此，法律人在检视相应请求权基础的同时还应思考：究竟如何能在当事人之间实现公正？在设例情形，是否存在超越“全有全无”的“第三条道路”？</w:t>
      </w:r>
      <w:r>
        <w:rPr>
          <w:rFonts w:eastAsia="宋体" w:ascii="宋体" w:hAnsi="宋体" w:cs="宋体"/>
          <w:b w:val="0"/>
          <w:i w:val="0"/>
          <w:sz w:val="21"/>
          <w:vertAlign w:val="superscript"/>
        </w:rPr>
        <w:footnoteReference w:id="12"/>
      </w:r>
    </w:p>
    <w:p w14:paraId="0D502635">
      <w:pPr>
        <w:pStyle w:val="19"/>
        <w:spacing w:before="0" w:after="0" w:line="240" w:lineRule="auto" w:beforeLines="0" w:afterLines="0"/>
        <w:ind w:right="375"/>
        <w:jc w:val="center"/>
        <w:rPr>
          <w:rFonts w:ascii="宋体" w:hAnsi="宋体" w:eastAsia="宋体" w:cs="宋体"/>
          <w:color w:val="000000"/>
          <w:sz w:val="27"/>
          <w:szCs w:val="27"/>
          <w:lang/>
        </w:rPr>
      </w:pPr>
      <w:bookmarkStart w:id="2" w:name="sort_3"/>
      <w:bookmarkEnd w:id="2"/>
      <w:r>
        <w:rPr>
          <w:rFonts w:ascii="宋体" w:hAnsi="宋体" w:eastAsia="宋体" w:cs="宋体"/>
          <w:b/>
          <w:i w:val="0"/>
          <w:color w:val="000000"/>
          <w:sz w:val="24"/>
          <w:szCs w:val="27"/>
          <w:vertAlign w:val="baseline"/>
          <w:lang/>
        </w:rPr>
        <w:t>三、合同无效场合可能的返还请求权</w:t>
      </w:r>
      <w:r>
        <w:rPr>
          <w:rFonts w:eastAsia="宋体" w:ascii="宋体" w:hAnsi="宋体" w:cs="宋体"/>
          <w:b/>
          <w:i w:val="0"/>
          <w:sz w:val="24"/>
          <w:vertAlign w:val="superscript"/>
        </w:rPr>
        <w:footnoteReference w:id="13"/>
      </w:r>
    </w:p>
    <w:p w14:paraId="0BACF108">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本文所关注的是合同无效的法律后果，特别是对已给付履约保证金的返还请求。依据《</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"tiao_157"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157</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条，民事法律行为无效，行为人因该行为取得的财产，应当予以返还。这是对取得财产方的财产返还义务的规定，源于原《</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"https://www.pkulaw.com/chl/27f092abe1cd5ab4bdfb.html?way=textSlc"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民法通则</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"https://www.pkulaw.com/chl/27f092abe1cd5ab4bdfb.html?way=textSlc" \l "tiao_61"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61</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条第1款及原《</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"https://www.pkulaw.com/chl/2367b1767194112cbdfb.html?way=textSlc"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合同法</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"https://www.pkulaw.com/chl/2367b1767194112cbdfb.html?way=textSlc" \l "tiao_58"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58</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条，作为《</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》总则编中的总括性规定，它在体系上与物权编、合同编（特别是作为准合同的不当得利）等的规定是何关系？与之相应的请求权是怎样的呢？值得深思。</w:t>
      </w:r>
      <w:r>
        <w:rPr>
          <w:rFonts w:eastAsia="宋体" w:ascii="宋体" w:hAnsi="宋体" w:cs="宋体"/>
          <w:b w:val="0"/>
          <w:i w:val="0"/>
          <w:sz w:val="21"/>
          <w:vertAlign w:val="superscript"/>
        </w:rPr>
        <w:footnoteReference w:id="14"/>
      </w:r>
    </w:p>
    <w:p w14:paraId="34FDE0C0">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3" w:name="sort_3_1"/>
      <w:bookmarkEnd w:id="3"/>
      <w:r>
        <w:rPr>
          <w:rFonts w:ascii="宋体" w:hAnsi="宋体" w:eastAsia="楷体" w:cs="宋体"/>
          <w:b/>
          <w:i w:val="0"/>
          <w:color w:val="000000"/>
          <w:sz w:val="24"/>
          <w:szCs w:val="27"/>
          <w:vertAlign w:val="baseline"/>
          <w:lang/>
        </w:rPr>
        <w:t>（一）履约保证金可否基于物权请求权要求返还</w:t>
      </w:r>
      <w:r>
        <w:rPr>
          <w:rFonts w:eastAsia="楷体" w:ascii="宋体" w:hAnsi="宋体" w:cs="宋体"/>
          <w:b/>
          <w:i w:val="0"/>
          <w:sz w:val="24"/>
          <w:vertAlign w:val="superscript"/>
        </w:rPr>
        <w:footnoteReference w:id="15"/>
      </w:r>
    </w:p>
    <w:p w14:paraId="18CE780E">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金钱可否作为物权客体，进而可否基于原物返还请求权（《</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"tiao_235"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235</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要求返还？金钱具有特殊性，广为流传的一种说法是“金钱的占有即所有”。对此，有人从学理上质疑其准确性，并以金钱的混合（依添附规则发生占有人原始取得）来解释所有权与其权利客体的重配需要。[4]换言之，金钱虽然可以作为物权的客体，但其一般等价物的属性通常决定了，直接占有丧失后的返还请求权并非基于原物返还请求权，而只能是债权性的返还请求权。</w:t>
      </w:r>
      <w:r>
        <w:rPr>
          <w:rFonts w:eastAsia="宋体" w:ascii="宋体" w:hAnsi="宋体" w:cs="宋体"/>
          <w:b w:val="0"/>
          <w:i w:val="0"/>
          <w:sz w:val="21"/>
          <w:vertAlign w:val="superscript"/>
        </w:rPr>
        <w:footnoteReference w:id="16"/>
      </w:r>
    </w:p>
    <w:p w14:paraId="4E04CDBA">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4" w:name="sort_3_2"/>
      <w:bookmarkEnd w:id="4"/>
      <w:r>
        <w:rPr>
          <w:rFonts w:ascii="宋体" w:hAnsi="宋体" w:eastAsia="楷体" w:cs="宋体"/>
          <w:b/>
          <w:i w:val="0"/>
          <w:color w:val="000000"/>
          <w:sz w:val="24"/>
          <w:szCs w:val="27"/>
          <w:vertAlign w:val="baseline"/>
          <w:lang/>
        </w:rPr>
        <w:t>（二）可否基于赔偿请求权</w:t>
      </w:r>
      <w:r>
        <w:rPr>
          <w:rFonts w:eastAsia="楷体" w:ascii="宋体" w:hAnsi="宋体" w:cs="宋体"/>
          <w:b/>
          <w:i w:val="0"/>
          <w:sz w:val="24"/>
          <w:vertAlign w:val="superscript"/>
        </w:rPr>
        <w:footnoteReference w:id="17"/>
      </w:r>
    </w:p>
    <w:p w14:paraId="2F8670FC">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"tiao_157"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157</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后段规定了法律行为无效场合的过错赔偿责任，履约保证金可否基于该赔偿请求权主张？这涉及对于返还请求权基本性质的认定，如果认定不清，则难免适用法律错误。比如，在司法实务中，在裁判履约保证金是否返还时，有判决明确援引了《</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"https://www.pkulaw.com/chl/743f5100efbdf451bdfb.html?way=textSlc"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最高人民法院关于审理建设工程施工合同纠纷案件适用法律问题的解释（一）</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"https://www.pkulaw.com/chl/743f5100efbdf451bdfb.html?way=textSlc" \l "tiao_6"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6</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条，该条正是关于赔偿损失的规定。</w:t>
      </w:r>
      <w:r>
        <w:rPr>
          <w:rFonts w:eastAsia="宋体" w:ascii="宋体" w:hAnsi="宋体" w:cs="宋体"/>
          <w:b w:val="0"/>
          <w:i w:val="0"/>
          <w:sz w:val="21"/>
          <w:vertAlign w:val="superscript"/>
        </w:rPr>
        <w:footnoteReference w:id="18"/>
      </w:r>
    </w:p>
    <w:p w14:paraId="77CFE01D">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当然，如果说支付的履约保证金无法收回，进而以此作为损失，固无不可。不过，如果将履约保证金本金（而非利息）作为损失请求赔偿，此种路径选择一方面会面临赔偿责任构成要件（作为缔约过失责任要求过错、因果关系等要件）的考验，另一方面，也面临依过失相抵规则（比如双方对于合同无效都有过错）扣减赔偿额的可能性，缺点明显。</w:t>
      </w:r>
      <w:r>
        <w:rPr>
          <w:rFonts w:eastAsia="宋体" w:ascii="宋体" w:hAnsi="宋体" w:cs="宋体"/>
          <w:b w:val="0"/>
          <w:i w:val="0"/>
          <w:sz w:val="21"/>
          <w:vertAlign w:val="superscript"/>
        </w:rPr>
        <w:footnoteReference w:id="19"/>
      </w:r>
    </w:p>
    <w:p w14:paraId="6DBB825B">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实践中，针对当事人要求返还履约保证金的诉讼请求，确有按照赔偿损失进行裁判的事例，比如，有法院判决认为，X、Y公司一致陈述双方存在口头协议转包涉案工程的关系，而X作为个人并不具备相应的资质，故双方口头达成的涉案暖通工程转包协议因违反了法律法规强制性规定，应认定无效。现涉案工程已停工烂尾，不具备进场施工条件，对X支付的27.5万元保证金目前无法退回的损失，双方均存在过错，法院酌情认定双方各自承担50%责任。[5]此种判法颇受质疑，比如该案上诉人认为：“即便双方所谓的口头转包协议无效，也应适用合同法第58条返还财产的规定，而非各自承担责任。合同无效或被撤销后，双方的财产状况即应恢复至合同订立前的情形。故无论接受财产的一方是否有过错都应当负有返还财产的义务。相关司法判例已确认在合同无效后，依据合同所取得的履约保证金应予以返还。在合同被确认无效或被撤销后，因此给对方造成的损失，由过错方承担损失赔偿责任。本案X并未主张损失，原审法院适用该条款有误。”[6]</w:t>
      </w:r>
      <w:r>
        <w:rPr>
          <w:rFonts w:eastAsia="宋体" w:ascii="宋体" w:hAnsi="宋体" w:cs="宋体"/>
          <w:b w:val="0"/>
          <w:i w:val="0"/>
          <w:sz w:val="21"/>
          <w:vertAlign w:val="superscript"/>
        </w:rPr>
        <w:footnoteReference w:id="20"/>
      </w:r>
    </w:p>
    <w:p w14:paraId="62F3FD87">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上述案件一审判决虽然在二审获得了维持，但留下了值得探讨的问题。由于工程烂尾而导致履约保证金的返还遥遥无期，这究竟是损失还是风险？一审和二审法院均直接将此作为损失，并在当事人之间进行分摊，也可以算是一种超越“全有全无”的第三种裁判模式。可是，如果当事人就此种不利益事先已经分配给了某一方，而事后此种不利益实际发生，只要其发生与另一方当事人没有因果关系，或者不可归责于另一方当事人，就不应作为可赔损失而由另一方当事人负责。比如说工程烂尾，直接原因是建设单位资金链断裂，对于承包人及分包人来说，这便属于商业风险，它是由当事人缔约时无法预知的不确定因素所导致的不利益。如果说当事人在合同中将履约保证金的返还附在“进场施工”或者工程进展到某种程度之类“条件”的成就上，就已表明履约保证金给付人已自愿承担了该“条件”能否成就的风险，而一旦该风险实际发生，相应的不利益便应由该当事人承担，因为这符合其缔约时的意思，而不应由对方当事人负责。上述案例一、二审法院均按赔偿损失处理履约保证金是否返还的问题，根据过错程度，各打五十大板，看似公平，实际并不合理，该“第三条道路”不值得推荐。</w:t>
      </w:r>
      <w:r>
        <w:rPr>
          <w:rFonts w:eastAsia="宋体" w:ascii="宋体" w:hAnsi="宋体" w:cs="宋体"/>
          <w:b w:val="0"/>
          <w:i w:val="0"/>
          <w:sz w:val="21"/>
          <w:vertAlign w:val="superscript"/>
        </w:rPr>
        <w:footnoteReference w:id="21"/>
      </w:r>
    </w:p>
    <w:p w14:paraId="204906F0">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5" w:name="sort_3_3"/>
      <w:bookmarkEnd w:id="5"/>
      <w:r>
        <w:rPr>
          <w:rFonts w:ascii="宋体" w:hAnsi="宋体" w:eastAsia="楷体" w:cs="宋体"/>
          <w:b/>
          <w:i w:val="0"/>
          <w:color w:val="000000"/>
          <w:sz w:val="24"/>
          <w:szCs w:val="27"/>
          <w:vertAlign w:val="baseline"/>
          <w:lang/>
        </w:rPr>
        <w:t>（三）基于不当得利请求返还</w:t>
      </w:r>
      <w:r>
        <w:rPr>
          <w:rFonts w:eastAsia="楷体" w:ascii="宋体" w:hAnsi="宋体" w:cs="宋体"/>
          <w:b/>
          <w:i w:val="0"/>
          <w:sz w:val="24"/>
          <w:vertAlign w:val="superscript"/>
        </w:rPr>
        <w:footnoteReference w:id="22"/>
      </w:r>
    </w:p>
    <w:p w14:paraId="253FEF54">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合同无效场合，对基于无效合同之履行而给付的金钱可作为不当得利请求返还，对此在一般学理上不存在异议。不过，如果落实到法条上，其具体的法律构成，则认识未必统一。换言之，不当得利返还请求的规范基础，是《</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"tiao_157"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157</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条中的哪一句？是“行为人因该行为取得的财产，应当予以返还”，抑或“不能返还或者没有必要返还的，应当折价补偿”？</w:t>
      </w:r>
      <w:r>
        <w:rPr>
          <w:rFonts w:eastAsia="宋体" w:ascii="宋体" w:hAnsi="宋体" w:cs="宋体"/>
          <w:b w:val="0"/>
          <w:i w:val="0"/>
          <w:sz w:val="21"/>
          <w:vertAlign w:val="superscript"/>
        </w:rPr>
        <w:footnoteReference w:id="23"/>
      </w:r>
    </w:p>
    <w:p w14:paraId="3D339293">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立法机关所编写释义书中，返还财产包括货币的返还。如果当事人接受交付的是货币，应当返还货币。另外，如果原物已经灭失，造成无法实际返还的，如果存在可以替代的种类物，则应返还同一种类物。[7]如此，第157条中的“返还财产”本身可以涵盖金钱的返还。金钱基于其为一般等价物的属性，其返还通常并不要求须为原物，只要求返还同种金钱的相应金额，便已足够。如此，无须基于起初所给付的货币已不能返还而走向“折价补偿”。另外，也可由此获得一项认识：第157条所规定的返还财产，在财产表现为一般物的场合，其返还可以是《</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"tiao_235"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235</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条所规定的返还原物请求权（物权请求权）；在金钱场合，返还财产则是不当得利返还（债权请求权）。</w:t>
      </w:r>
      <w:r>
        <w:rPr>
          <w:rFonts w:eastAsia="宋体" w:ascii="宋体" w:hAnsi="宋体" w:cs="宋体"/>
          <w:b w:val="0"/>
          <w:i w:val="0"/>
          <w:sz w:val="21"/>
          <w:vertAlign w:val="superscript"/>
        </w:rPr>
        <w:footnoteReference w:id="24"/>
      </w:r>
    </w:p>
    <w:p w14:paraId="0D47E888">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所给付的金钱已有所转换场合，特别是在涉及向第三人履行场合，比如给付人（X）明知履约保证金的收受人是第三人（A）而依然给付，进而转换成为履约保证金返还请求权（不论其为约定的请求权抑或法定的请求权），给付人以合同无效为由请求相对人（Y）返还，这时会面临相对人的抗辩：相对人只不过是履约保证金“接力”给付中的一环，并未实际占有X给付的金钱，不应返还金钱，但可以将其对第三人（Z或者A）的“返还请求权”让与给给付人（X）。如此，争议点便是，此时的“返还财产”究竟应返还什么（返还的客体）？是否必须为金钱？另外，不当得利法中的善意得利人得利丧失抗辩，在此场合是否有适用的可能（返还的范围）？对此，后文另行分析。基于返还财产以恢复原状为原则，而强调给付的是实物或者货币，原则上应返还原物或者货币，不能相互替代[8]，于此场合，显得过于简单和机械，如何将不当得利法规则一并纳入考量，从而在体系上做融贯解释，无疑是项新课题。</w:t>
      </w:r>
      <w:r>
        <w:rPr>
          <w:rFonts w:eastAsia="宋体" w:ascii="宋体" w:hAnsi="宋体" w:cs="宋体"/>
          <w:b w:val="0"/>
          <w:i w:val="0"/>
          <w:sz w:val="21"/>
          <w:vertAlign w:val="superscript"/>
        </w:rPr>
        <w:footnoteReference w:id="25"/>
      </w:r>
    </w:p>
    <w:p w14:paraId="05508872">
      <w:pPr>
        <w:pStyle w:val="19"/>
        <w:spacing w:before="0" w:after="0" w:line="240" w:lineRule="auto" w:beforeLines="0" w:afterLines="0"/>
        <w:ind w:right="375"/>
        <w:jc w:val="center"/>
        <w:rPr>
          <w:rFonts w:ascii="宋体" w:hAnsi="宋体" w:eastAsia="宋体" w:cs="宋体"/>
          <w:color w:val="000000"/>
          <w:sz w:val="27"/>
          <w:szCs w:val="27"/>
          <w:lang/>
        </w:rPr>
      </w:pPr>
      <w:bookmarkStart w:id="6" w:name="sort_4"/>
      <w:bookmarkEnd w:id="6"/>
      <w:r>
        <w:rPr>
          <w:rFonts w:ascii="宋体" w:hAnsi="宋体" w:eastAsia="宋体" w:cs="宋体"/>
          <w:b/>
          <w:i w:val="0"/>
          <w:color w:val="000000"/>
          <w:sz w:val="24"/>
          <w:szCs w:val="27"/>
          <w:vertAlign w:val="baseline"/>
          <w:lang/>
        </w:rPr>
        <w:t>四、“履约保证金”的给付与返还义务人</w:t>
      </w:r>
      <w:r>
        <w:rPr>
          <w:rFonts w:eastAsia="宋体" w:ascii="宋体" w:hAnsi="宋体" w:cs="宋体"/>
          <w:b/>
          <w:i w:val="0"/>
          <w:sz w:val="24"/>
          <w:vertAlign w:val="superscript"/>
        </w:rPr>
        <w:footnoteReference w:id="26"/>
      </w:r>
    </w:p>
    <w:p w14:paraId="329C799F">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7" w:name="sort_4_1"/>
      <w:bookmarkEnd w:id="7"/>
      <w:r>
        <w:rPr>
          <w:rFonts w:ascii="宋体" w:hAnsi="宋体" w:eastAsia="楷体" w:cs="宋体"/>
          <w:b/>
          <w:i w:val="0"/>
          <w:color w:val="000000"/>
          <w:sz w:val="24"/>
          <w:szCs w:val="27"/>
          <w:vertAlign w:val="baseline"/>
          <w:lang/>
        </w:rPr>
        <w:t>（一）履约保证金的给付及“给付目的”</w:t>
      </w:r>
      <w:r>
        <w:rPr>
          <w:rFonts w:eastAsia="楷体" w:ascii="宋体" w:hAnsi="宋体" w:cs="宋体"/>
          <w:b/>
          <w:i w:val="0"/>
          <w:sz w:val="24"/>
          <w:vertAlign w:val="superscript"/>
        </w:rPr>
        <w:footnoteReference w:id="27"/>
      </w:r>
    </w:p>
    <w:p w14:paraId="565B8C7B">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本文开头设例，如示意图所示，涉及三个合同、四方主体，法律关系相对复杂，X起诉想讨回100万元，就要进一步分析其请求权的构成：基于什么、向谁要？因而，需要在《</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"tiao_157"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157</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条基础上，进一步分析其与《</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"tiao_122"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122</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条及第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"tiao_985"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985</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条的意义关联，特别是“没有法律根据”的内涵。</w:t>
      </w:r>
      <w:r>
        <w:rPr>
          <w:rFonts w:eastAsia="宋体" w:ascii="宋体" w:hAnsi="宋体" w:cs="宋体"/>
          <w:b w:val="0"/>
          <w:i w:val="0"/>
          <w:sz w:val="21"/>
          <w:vertAlign w:val="superscript"/>
        </w:rPr>
        <w:footnoteReference w:id="28"/>
      </w:r>
    </w:p>
    <w:p w14:paraId="590B931C">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基于无效合同做出给付场合，不当得利被称为给付不当得利（Leistungskondiktion），相应地“没有法律根据”通常解释为“欠缺给付目的”[9]。给付不当得利意义上的给付（Leistung），是有意识且有目的地增加他人的整体财产（eine bewußte und zweckgerichtete Mehrung fremden Vermögens）。[10]因而，给付不等于单纯的财产“给予”（Zuwendung）。在案件中，分析“给付目的（Leistungszweck）”有两项重要功能：其一，通过给付目的，确定给付是否具有法律上的原因（Rechtsgrund，法律根据）；其二，给付目的用以确定给付不当得利的当事人：给付人（和不当得利的债权人）是确立给付目的的人；给付受领人（和不当得利的债务人），是目的针对的人。[11]</w:t>
      </w:r>
      <w:r>
        <w:rPr>
          <w:rFonts w:eastAsia="宋体" w:ascii="宋体" w:hAnsi="宋体" w:cs="宋体"/>
          <w:b w:val="0"/>
          <w:i w:val="0"/>
          <w:sz w:val="21"/>
          <w:vertAlign w:val="superscript"/>
        </w:rPr>
        <w:footnoteReference w:id="29"/>
      </w:r>
    </w:p>
    <w:p w14:paraId="0E444106">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就第一点而言，X分两次向Y指定账户转账100万元，这是在依其与Y的约定“向发包方提供”履约保证金，是清偿X依其与Y的约定所负担的债务（清偿目的，即清偿自己的债务）。如果该约定被认定无效，则X所清偿的债务便丧失根据，相应的清偿也就自始无清偿目的。由此可见，当事人的约定无效，只是不发生法律行为所追求的法律效果，但无妨依对该约定的解释判断相应义务的给付目的及给付的原因是否存在。</w:t>
      </w:r>
      <w:r>
        <w:rPr>
          <w:rFonts w:eastAsia="宋体" w:ascii="宋体" w:hAnsi="宋体" w:cs="宋体"/>
          <w:b w:val="0"/>
          <w:i w:val="0"/>
          <w:sz w:val="21"/>
          <w:vertAlign w:val="superscript"/>
        </w:rPr>
        <w:footnoteReference w:id="30"/>
      </w:r>
    </w:p>
    <w:p w14:paraId="0AE84209">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8" w:name="sort_4_2"/>
      <w:bookmarkEnd w:id="8"/>
      <w:r>
        <w:rPr>
          <w:rFonts w:ascii="宋体" w:hAnsi="宋体" w:eastAsia="楷体" w:cs="宋体"/>
          <w:b/>
          <w:i w:val="0"/>
          <w:color w:val="000000"/>
          <w:sz w:val="24"/>
          <w:szCs w:val="27"/>
          <w:vertAlign w:val="baseline"/>
          <w:lang/>
        </w:rPr>
        <w:t>（二）返还义务人</w:t>
      </w:r>
      <w:r>
        <w:rPr>
          <w:rFonts w:eastAsia="楷体" w:ascii="宋体" w:hAnsi="宋体" w:cs="宋体"/>
          <w:b/>
          <w:i w:val="0"/>
          <w:sz w:val="24"/>
          <w:vertAlign w:val="superscript"/>
        </w:rPr>
        <w:footnoteReference w:id="31"/>
      </w:r>
    </w:p>
    <w:p w14:paraId="2B0661BA">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就第二点“确定给付不当得利的当事人（die Parteien der Leistungskondiktion festzustellen）”而言，典型的困难情形出现在给付链条（Leistungsketten，或译“给付连锁”[12]）和三角关系（Dreiecksverhältnisse）案型中，其中谁可以向谁请求不当得利返还（kondizieren），无论过去还是现在，都极富争议。[13]以下就接力给付（或称顺次给付）形成的给付链条及三角关系（包括向第三人履行和第三人代为履行等），分别说明。</w:t>
      </w:r>
      <w:r>
        <w:rPr>
          <w:rFonts w:eastAsia="宋体" w:ascii="宋体" w:hAnsi="宋体" w:cs="宋体"/>
          <w:b w:val="0"/>
          <w:i w:val="0"/>
          <w:sz w:val="21"/>
          <w:vertAlign w:val="superscript"/>
        </w:rPr>
        <w:footnoteReference w:id="32"/>
      </w:r>
    </w:p>
    <w:p w14:paraId="26CFA629">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给付链条的形成恰如接力棒传递，在设例中是X将钱汇给Y，Y再将钱汇给Z。三角关系与此有所不同，虽然同样是X对Y负有债务、Y对Z负有债务，但具体给付却是，X依Y的请求及指示将钱直接付给Z，没有经过Y。在给付链条场合，假如三人之间的两份合同均属无效，即所谓双重瑕疵（Doppelmangel）[14]，相应的返还请求也依各自的合同关系相对地展开，即X向Y请求返还、Y向Z请求返还。而在三角关系场合，给付关系是在X与Y之间，抑或在X与Z之间，认识不易统一。</w:t>
      </w:r>
      <w:r>
        <w:rPr>
          <w:rFonts w:eastAsia="宋体" w:ascii="宋体" w:hAnsi="宋体" w:cs="宋体"/>
          <w:b w:val="0"/>
          <w:i w:val="0"/>
          <w:sz w:val="21"/>
          <w:vertAlign w:val="superscript"/>
        </w:rPr>
        <w:footnoteReference w:id="33"/>
      </w:r>
    </w:p>
    <w:p w14:paraId="2DB16940">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在向第三人履行场合，谁是这里给付目的针对的人？（1）假如Y向X提供的是A的账户，X依约也是要向发包方（A）提供履约保证金，这样就会形成一种“缩短给付”（abgekürzte Lieferung，缩短交付）。[15]如果X以其与Y的合同无效为由向A公司主张返还履约保证金100万元，A公司恐怕就要主张自己收取200万元履约保证金均系来自Z公司，是基于Z公司履行（哪怕Z公司委托第三人代为履行）有效的《建设工程施工合同》，故不构成给付不当得利。如此，X要求A返还不当得利便无法奏效。因而，关键要看给付人（X）履行的是对谁所负的债务，这也就是要判断其清偿目的。（2）在上述假定下，X可否要求Z返还不当得利呢？毕竟客观上，一方面X基于无效的合同向A给付了100万元履约保证金，另一方面，Z对A所负相应履约保证金债务因此而获清偿。如果X向Z请求返还不当得利，Z可以抗辩说自己已将债务转嫁给了Y，是Y负责200万元履约保证金的给付事宜，X不应越过Y直接向自己追索，即便Z与Y之间的合同无效，相应的返还只应由Y主张。如果Y与Z合同约定了仲裁条款，Y势必也会提出仲裁（而非诉讼）的抗辩。更根本的是，X向A支付100万元，目的是在清偿其对于Y约定的债务，X对于Z的债务没有清偿目的。（3）X只应向Y主张不当得利返还。在约定了向第三人履行场合，原则上仍是债务人（给付人）履行其对于债权人（约定的相对人）的债务，这一点无论是在真正的利益第三人合同，还是在不真正利益第三人合同场合（比如，X与Y虽约定“向发包方提供”，但各方的意思是明确的，A的请求权根据在于其与Z的合同，而非X与Y的合同；因而，A只有一项金额为200万元的履约保证金请求权，尽管有多份合同，它们只是“串联”地存在，并非“并连”地赋予A多个请求权），结论相同，给付方向的改变并未改变相应的债权人。在设例中，X之所以向Y指定的账户汇款，其目的是在清偿自己在《合作协议》中对Y所负的债务。因而，在该协议无效场合，作为不当得利债务人，不是相应的第三人（Z），而只应是依该无效合同请求给付的债权人（Y）。</w:t>
      </w:r>
      <w:r>
        <w:rPr>
          <w:rFonts w:eastAsia="宋体" w:ascii="宋体" w:hAnsi="宋体" w:cs="宋体"/>
          <w:b w:val="0"/>
          <w:i w:val="0"/>
          <w:sz w:val="21"/>
          <w:vertAlign w:val="superscript"/>
        </w:rPr>
        <w:footnoteReference w:id="34"/>
      </w:r>
    </w:p>
    <w:p w14:paraId="25B7F539">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一般学理上，也是借助于现代的给付观念，认为在法律上对给付链条和三角关系的处理须达到如下效果：避免X对Z的穿透追索（Durchgriff，或译“直索”），清算只在发生障碍的合同关系内部展开。[16]在实务中，由于未分清这层关系而判决两个主体（即向第三人履行之约定的债权人及第三人）共同返还履约保证金的事例，亦属有之。[17]</w:t>
      </w:r>
      <w:r>
        <w:rPr>
          <w:rFonts w:eastAsia="宋体" w:ascii="宋体" w:hAnsi="宋体" w:cs="宋体"/>
          <w:b w:val="0"/>
          <w:i w:val="0"/>
          <w:sz w:val="21"/>
          <w:vertAlign w:val="superscript"/>
        </w:rPr>
        <w:footnoteReference w:id="35"/>
      </w:r>
    </w:p>
    <w:p w14:paraId="47FBDC72">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第三人代为履行场合，给付关系是存在于第三人与受领人之间，抑或存在于债务人与受领人之间，无论理论还是实务，争议极大。从中国裁判实例来看，在因“挂靠”而判定施工合同无效的事例中，就存在着履约保证金返还请求权人究竟是谁的争议。比如某法院认为，“由于长富广场公司确认其已收到合同约定的履约保证金，而当时签订合同时另一方是东深公司，现东深公司自认上述履约保证金属莫某所有，因此，应当确认长富广场公司收到的270万元的履约保证金属莫某所有。由于合同无效，长富广场公司依据合同取得的履约保证金应当返还莫某”[18]。这一立场，与德国通说不谋而合。不过，德国也有反对该通说的意见，认为将第三人（比如挂靠人莫某）清偿承包人（被挂靠的东深公司）的债务的目的认为是第三人与发包人（长富广场公司）之间的给付目的是说不通的，根据现代的给付观念，第三人对发包人本身没有给付目的。尽管第三人遵循的目的是清偿债务，但是其清偿的并非他自己的债务，而是承包人的债务。因此，第三人想要为承包人向发包人给付，根据第三人给付的规定（《德国民法典》第267条，中国《</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"tiao_524"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524</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条），给付存在于承包人与发包人之间在，而非第三人与发包人之间在，从而排除第三人对发包人的给付型不当得利请求权的成立。[19]</w:t>
      </w:r>
      <w:r>
        <w:rPr>
          <w:rFonts w:eastAsia="宋体" w:ascii="宋体" w:hAnsi="宋体" w:cs="宋体"/>
          <w:b w:val="0"/>
          <w:i w:val="0"/>
          <w:sz w:val="21"/>
          <w:vertAlign w:val="superscript"/>
        </w:rPr>
        <w:footnoteReference w:id="36"/>
      </w:r>
    </w:p>
    <w:p w14:paraId="1A4F336B">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回到本文设例，由于X并非向A公司直接给付进而形成三角关系，而是X按Y的指示支付了100万元，Y向Z公司支付了200万元（给付链条）。给付不同，各有其目的。这里虽然有“向第三人履行”的约定，但实际操作均是按各个合同中的“甲方”的指示（或者直接向“甲方”）转账，没有“缩短给付”。因而，宜分别认定为“乙方”向“甲方”的给付。即便在“缩短给付”形成的三角关系案型，依现代给付观念，也是将该“缩短给付”依给付目的做逻辑上的拆分。无论如何，如果要求返还的话，“乙方”请求的对象只能是相应的“甲方”。具体而言，X要求Y返还100万元，Y要求Z公司返还200万元。</w:t>
      </w:r>
      <w:r>
        <w:rPr>
          <w:rFonts w:eastAsia="宋体" w:ascii="宋体" w:hAnsi="宋体" w:cs="宋体"/>
          <w:b w:val="0"/>
          <w:i w:val="0"/>
          <w:sz w:val="21"/>
          <w:vertAlign w:val="superscript"/>
        </w:rPr>
        <w:footnoteReference w:id="37"/>
      </w:r>
    </w:p>
    <w:p w14:paraId="1E424BE7">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接下来的问题是，这里作为不当得利要求返还的“利益”，究竟是什么。对于“接力给付”或者三角关系中履约保证金的返还，实践中常见的做法是，基于合同相对性，裁判由合同相对人以金钱形式返还履约保证金。[20]对于此处的问题没有意识，更欠缺反思精神。</w:t>
      </w:r>
    </w:p>
    <w:p w14:paraId="53F0478F">
      <w:pPr>
        <w:pStyle w:val="19"/>
        <w:spacing w:before="0" w:after="0" w:line="240" w:lineRule="auto" w:beforeLines="0" w:afterLines="0"/>
        <w:ind w:right="375"/>
        <w:jc w:val="center"/>
        <w:rPr>
          <w:rFonts w:ascii="宋体" w:hAnsi="宋体" w:eastAsia="宋体" w:cs="宋体"/>
          <w:color w:val="000000"/>
          <w:sz w:val="27"/>
          <w:szCs w:val="27"/>
          <w:lang/>
        </w:rPr>
      </w:pPr>
      <w:bookmarkStart w:id="9" w:name="sort_5"/>
      <w:bookmarkEnd w:id="9"/>
      <w:r>
        <w:rPr>
          <w:rFonts w:ascii="宋体" w:hAnsi="宋体" w:eastAsia="宋体" w:cs="宋体"/>
          <w:b/>
          <w:i w:val="0"/>
          <w:color w:val="000000"/>
          <w:sz w:val="24"/>
          <w:szCs w:val="27"/>
          <w:vertAlign w:val="baseline"/>
          <w:lang/>
        </w:rPr>
        <w:t>五、接力给付人“得利”返还的客体与范围</w:t>
      </w:r>
    </w:p>
    <w:p w14:paraId="243DD255">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10" w:name="sort_5_1"/>
      <w:bookmarkEnd w:id="10"/>
      <w:r>
        <w:rPr>
          <w:rFonts w:ascii="宋体" w:hAnsi="宋体" w:eastAsia="楷体" w:cs="宋体"/>
          <w:b/>
          <w:i w:val="0"/>
          <w:color w:val="000000"/>
          <w:sz w:val="24"/>
          <w:szCs w:val="27"/>
          <w:vertAlign w:val="baseline"/>
          <w:lang/>
        </w:rPr>
        <w:t>（一）接力给付人的“得利”及返还的客体</w:t>
      </w:r>
    </w:p>
    <w:p w14:paraId="6212DF3A">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就不当得利请求权的客体，《</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"tiao_122"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122</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条及第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"tiao_985"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985</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条均使用“不当利益”一语，不过，一般学理通常参照我国台湾地区“民法”第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"tiao_181"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181</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解释为“所受利益”及“本于该利益更有所取得”，后者可包括：（1）原物的用益（孳息及使用利益）；（2）基于权利的所得（如基于债权所受清偿）；（3）原物的代偿物。[21]至于返还所受利益以原物返还为原则，以价额偿还为例，则是返还的方法。[22]</w:t>
      </w:r>
    </w:p>
    <w:p w14:paraId="6A242187">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法理逻辑上，自是先有不当得利请求权的成立，其后方能讨论该请求权的主张以及义务人对于得利的返还或者偿还。如此，不当得利请求权的客体，在权利是否成立层面，自应以权利发生时为准据（在给付不当得利场合，也就是给付时）。及至不当得利被请求返还时，所受领的财产往往发生变化，比如，给付的可消费物已被消费、支付的金钱已被使用或转出，如此，所受利益是否尚存，立法虽未明定其时点，解释上往往主张以受返还请求之时为准。[23]如此，不当得利请求权的客体，似应区分两层意思：在该请求权是否成立层面（构成要件）固然有其价值，及至权利人主张该权利时，无论不当得利返还的方法抑或返还的范围（法律效果），尚要面临可行性等的考验，进而权利的客体未必就是最终返还的实际内容。换言之，前者所指往往是因不当得利过程所取得的个别、具体的利益，后者则是就受领人的整体财产所认定的应返还的现存利益（Bereicherung）。[24]此二者在法条上虽不易明确区分，“返还取得的利益”确实易使人以为二者实为一事，如果如此认识，则不免简单化，若以之指导裁判思维，则易致“全有或全无”的结果。</w:t>
      </w:r>
    </w:p>
    <w:p w14:paraId="57E45223">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聚焦于开篇所示案例，其中履约保证金的支付表现为“接力给付”，并形成给付链条，即X向Y（指定的）账号转账100万元，Y向Z公司转账200万元，最后，由Z公司向A公司转账200万元。[25]在“接力给付”的状态下，X向Y指定账号支付的100万元，哪怕这钱在该账号上停留时间很短，也仍然可以说是X对于Y的给付，如此说来Y因此所获得的利益便是100万元，属于积极的财产增加（positive Vermögensmehrung）。在X的不当得利请求权成立意义上，可以说Y因X的给付获得过100万元。</w:t>
      </w:r>
    </w:p>
    <w:p w14:paraId="530C95E1">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可是，X要求Y返还不当得利时，是否给付了100万元就必须返还100万元，则涉及不当得利返还的方法与范围问题。不当得利的基本理念是消除得利人不当获取的利益，在X要求Y返还不当得利时，则应该审视何为Y的现存利益。依据X与Y当初的合意，该X的100万元是用于支付发包方所要求的履约保证金，这也可以说是X给付目的的进一步具体化，仅仅让钱停留在Y的账号上，既非给付的目的，也是Y对X的违约。如此，Y自然要继续“接力给付”，即向Z给付（相应的债务是200万元）。在《转包合同》被认定为无效的前提下，Y同理也可以向Z公司主张返还，由于《合作协议》及《转包合同》均无效，学理称此为“双重瑕疵”。如此，在X要求Y返还不当得利时，Y是否有所“得利”，应就受领人的财产总额加以认定。准此以言，Y现尚存在的利益，而应返还于X的，系对Z的不当得利请求权。因此，Y应依债权让与的方式，将其对Z的不当得利返还请求权移转于X。在X与Y的合同以及Y与Z的合同均无效（双重瑕疵）的情况下，传统见解认为，X得依不当得利规定向Y请求返还的，乃Y对Z的不当得利请求权（双重不当得利请求权，Doppelkondiktion,Kondiktion der Kondiktion）。[26]</w:t>
      </w:r>
    </w:p>
    <w:p w14:paraId="0D35E844">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对于“双重不当得利请求权说”并非没有相左意见，比如，认为Y自X所受之利益乃是该物之所有权，而非该说所称之“Y对Z之不当得利返还请求权”，而且由于Y移转该物之所有权予Z，Y无从就原物所有权予以返还，故应偿还价额。[27]该说虽以物之所有权为对象，对于金钱而言，似亦能得出Y应依价额偿还法理向X偿还100万元的结论。对此，应作进一步的分析。</w:t>
      </w:r>
    </w:p>
    <w:p w14:paraId="56C386AC">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11" w:name="sort_5_1_1"/>
      <w:bookmarkEnd w:id="11"/>
      <w:r>
        <w:rPr>
          <w:rFonts w:ascii="宋体" w:hAnsi="宋体" w:eastAsia="宋体" w:cs="宋体"/>
          <w:b/>
          <w:i w:val="0"/>
          <w:color w:val="000000"/>
          <w:sz w:val="21"/>
          <w:szCs w:val="27"/>
          <w:vertAlign w:val="baseline"/>
          <w:lang/>
        </w:rPr>
        <w:t>1.不当得利返还抑或价额偿还？</w:t>
      </w:r>
    </w:p>
    <w:p w14:paraId="43488192">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不当得利的返还方法，以返还所受利益的原状为原则（学说上称为原物返还），以价额偿还为例外。原物返还，包括所受利益，以及本于该利益更有所取得。[28]所受利益或者本于该利益更有所取得者，依其性质或其他情形，不能返还者，应偿还其价额。《</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"tiao_157"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157</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条所规定的返还财产与折价补偿，亦属对上述方法的规定。而就金钱债务而言，原则上并不存在履行不能问题；能够发生法律上或者事实上不能履行的，恰恰是非金钱债务（参照《</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"tiao_580"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580</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第1款）。因而，那种严格形式的看法，即认为所受利益为金钱时，债务人所受利益为货币的所有权，其应返还的亦为该货币的所有权，于不能原物返还时（如业已存入银行、使用消费），应偿还其价额，不过是一种文字游戏。换言之，对于金钱之给付，如发生不当得利，只应是请求返还金钱价值（金额债权），非谓请求返还特定货币本身（特定金钱债权），而返还同种同额的货币，或其代偿物，这仍属原物返还范畴，而非价额偿还。</w:t>
      </w:r>
    </w:p>
    <w:p w14:paraId="7CB6386E">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12" w:name="sort_5_1_2"/>
      <w:bookmarkEnd w:id="12"/>
      <w:r>
        <w:rPr>
          <w:rFonts w:ascii="宋体" w:hAnsi="宋体" w:eastAsia="宋体" w:cs="宋体"/>
          <w:b/>
          <w:i w:val="0"/>
          <w:color w:val="000000"/>
          <w:sz w:val="21"/>
          <w:szCs w:val="27"/>
          <w:vertAlign w:val="baseline"/>
          <w:lang/>
        </w:rPr>
        <w:t>2.原物返还抑或代偿物返还？</w:t>
      </w:r>
    </w:p>
    <w:p w14:paraId="5A95A8AF">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原物返还范畴下，既区分所受利益与本于该利益更有所取得，故仍须进一步说明，受领的金钱构成不当得利时，所应返还者究为所受利益，抑或为本于该利益更有所取得。在双重法律行为效力瑕疵场合，接力给付人受领并接力给付金钱，由第三人取得的不当得利请求权属于原物的代偿（Surrogate），又因该不当得利请求权系基于法律规定而生，故并非依法律行为而取得对价（交易替代物，commodum ex negotiatione）。[29]代偿物的典型有如土地征收场合的补偿金请求权、因物的毁损灭失而引出的保险金请求权或者损害赔偿请求权等，却并不以此为限，只要是在经济上可以视同得利人当初“取得的利益”的事物代之而生，均可作为代偿物，成为给付不当得利返还的客体。[30]</w:t>
      </w:r>
    </w:p>
    <w:p w14:paraId="517F6A6E">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13" w:name="sort_5_2"/>
      <w:bookmarkEnd w:id="13"/>
      <w:r>
        <w:rPr>
          <w:rFonts w:ascii="宋体" w:hAnsi="宋体" w:eastAsia="楷体" w:cs="宋体"/>
          <w:b/>
          <w:i w:val="0"/>
          <w:color w:val="000000"/>
          <w:sz w:val="24"/>
          <w:szCs w:val="27"/>
          <w:vertAlign w:val="baseline"/>
          <w:lang/>
        </w:rPr>
        <w:t>（二）返还的范围</w:t>
      </w:r>
    </w:p>
    <w:p w14:paraId="7D97F893">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》对受领人应返还的范围，依受领人为善意或恶意而设不同规定（第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"tiao_986"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986</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条和第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"tiao_987"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987</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条），上述返还客体的分析，特别是双重瑕疵场合接力给付人的得利体现为其对于第三人的不当得利返还请求权，其实系以现存利益为着眼点，进而是以接力给付人的善意为前提，就此，仍有必要进一步说明。</w:t>
      </w:r>
    </w:p>
    <w:p w14:paraId="2A5A13CD">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在本文所设案例中，之所以应将Y认定为善意得利人，是因为他不知道且不应当知道其接收并转付100万元“没有法律根据”。如何掌握《</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"tiao_986"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986</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条中的“不应当知道”[31]，需要作些解释。如果从严掌握，无论是X还是Y，对于因他们不具有施工企业资质而使合同无效是应当知道（Nemo censetur ignorare legem.No one is presumed to be ignorant of law[32].推定全民知法），那么便不符合“不应当知道”取得利益没有法律根据。可是，这么解释会有“反噬效果”，即既然当事人明知或应知合同无效，还进行转包或违法分包，就属于明知或应知没有给付履约保证金的义务，根据《</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"tiao_985"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985</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但书第（3）项，明知无给付义务而进行的债务清偿，受损失的人无权要求返还不当得利。如此，便应当驳回X的全部诉讼请求，裁判效果显然不佳。因而，对于第986条中的“不应当知道”应从现实主义出发，并结合不当得利制度目的在于“取除利益”（即“抹平”善意得利人的因得利而增加的部分）[33]，不在于惩罚过错、填补损失（这是民事赔偿责任的功能），故实应从普通人（而非法律人）的角度，作宽松解释。无论是X还是Y，实实在在地支付履约保证金，已足以表明其对于合同是严肃认真的，由此可以表明他们并不知合同无效；至于“不应当知道”，实应从法一经公布便天下尽知的理想主义回归现实，只要想一想国家多年来不断致力于“普法”教育，便可知道普通老百姓不知法、不懂法实属社会常态。</w:t>
      </w:r>
    </w:p>
    <w:p w14:paraId="005AE28B">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合同既属无效，其中履约保证金的返还是基于不当得利的返还请求权，属于法定的债权。如X要求Y返还不当得利，Y作为善意得利人，只应返还现存利益，自Y的财产总额观察，其现存利益仅仅是其对于Z的不当得利返还请求权，也就是将其对于Z的履行保证金对应的返还请求权（200万元）中的100万元的债权转让给X，而非直接向X支付100万元（价额偿还）。[34]如此，判决Y将其“现存利益”，即其对Z公司的履约保证金返还请求权中的100万元债权，转让给X。就返还履约保证金的请求，相较于“全有或全无”的裁判方式，这属于第三条道路。如此，X若想最终要回100万元，恐怕还要打第二场官司，即基于所受让的对Z的100万元返还请求权，要求Z清偿债务。</w:t>
      </w:r>
    </w:p>
    <w:p w14:paraId="1255196C">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14" w:name="sort_5_3"/>
      <w:bookmarkEnd w:id="14"/>
      <w:r>
        <w:rPr>
          <w:rFonts w:ascii="宋体" w:hAnsi="宋体" w:eastAsia="楷体" w:cs="宋体"/>
          <w:b/>
          <w:i w:val="0"/>
          <w:color w:val="000000"/>
          <w:sz w:val="24"/>
          <w:szCs w:val="27"/>
          <w:vertAlign w:val="baseline"/>
          <w:lang/>
        </w:rPr>
        <w:t>（三）何以第三条道路更公正？</w:t>
      </w:r>
    </w:p>
    <w:p w14:paraId="7562FB20">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接力给付进而形成给付链条场合，加之双份合同均存在效力瑕疵，相较于完全支持X要求Y返还所给付金钱，自不当得利角度，准确把握Y所得现存利益是其对于Z的不当得利返还请求权，并裁判Y将相应的请求权转让给X，会更为公正，以下说明理由。</w:t>
      </w:r>
    </w:p>
    <w:p w14:paraId="5BDBF1EC">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所谓公正，可表现在“给予每个人其所应得的”（suum cuique tribuere[35];to render to everyone his due）。在设例中，如让Y向X返还100万元，无异于将所有的“风险”加在Y头上。对于Y而言，仅仅因为相信有挣钱的机会而向X介绍并分享该机会，便要负担全部的交易失败“风险”，其实是“赚了”两人一起分、“赔了”却要Y一人担责，显然违背公平原则。发包人资金链断裂、工程烂尾，对于想充当施工人的X及Y而言属于商业风险，在他们达成合作协议并一人一半共担发包人所要求的200万元履约保证金时，也就分担了该保证金返还时日迁延的风险。X实际支付100万元履约保证金，更是依自主意思支配其财产，也进一步确认了其对于上述风险的自愿承担。X给付的是金钱，“因金钱具有高度的可代替性和普遍使用性，只要移入受领人的财产，就难以识别，原则上无法判断其不存在。但受领人若能证明确实以该项金钱赠予他人时，则可主张所受利益不存在”[36]。在受领人与给付人均明白支付的金钱是用于履约保证金时，对于该履约保证金的返还请求权便成了相应的代偿（Surrogate），成为Y所受利益的现存状态。当保证金返还迁延的风险实际到来，X选择起诉要求返还100万元履约保证金（而非其代偿物），实际是想将上述风险完全甩给Y，相较于双方既有的风险分配安排，其所追求的已然超越了其所应得的（his due）。对此，简单的“全有或全无”的裁判方式都不会带来真正的公正。将不当得利化作损害赔偿并各打五十大板，也只是临时解决其中的一部分问题，遗留的问题则更复杂及棘手，不值得效仿。而作为第三条道路，通过让Y将其对Z的200万元不当得利返还请求权中的100万元请求权转让给X，一方面并未否定X的权益，另一方面，也将相应的风险在当事人之间进行了公平分担，恰恰是对于此类案件量身定做的公正。公正，就是给予每个人其所应得的，不多也不少。</w:t>
      </w:r>
    </w:p>
    <w:p w14:paraId="3798CE60">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假如在Y将其对Z的履约保证金返还请求权中的100万元债权转让给X之前，Z将其受领的履约保证金退还给了Y，那么，Y的“现存利益”便不再是其对于Z的债权形态的返还请求权（该债权此时已因清偿而消灭），而是其自Z受领的履约保证金，在这种场合，则应由Y向X返还该履约保证金。[37]</w:t>
      </w:r>
    </w:p>
    <w:p w14:paraId="7DAC9974">
      <w:pPr>
        <w:pStyle w:val="19"/>
        <w:spacing w:before="0" w:after="0" w:line="240" w:lineRule="auto" w:beforeLines="0" w:afterLines="0"/>
        <w:ind w:right="375"/>
        <w:jc w:val="center"/>
        <w:rPr>
          <w:rFonts w:ascii="宋体" w:hAnsi="宋体" w:eastAsia="宋体" w:cs="宋体"/>
          <w:color w:val="000000"/>
          <w:sz w:val="27"/>
          <w:szCs w:val="27"/>
          <w:lang/>
        </w:rPr>
      </w:pPr>
      <w:bookmarkStart w:id="15" w:name="sort_6"/>
      <w:bookmarkEnd w:id="15"/>
      <w:r>
        <w:rPr>
          <w:rFonts w:ascii="宋体" w:hAnsi="宋体" w:eastAsia="宋体" w:cs="宋体"/>
          <w:b/>
          <w:i w:val="0"/>
          <w:color w:val="000000"/>
          <w:sz w:val="24"/>
          <w:szCs w:val="27"/>
          <w:vertAlign w:val="baseline"/>
          <w:lang/>
        </w:rPr>
        <w:t>六、结论</w:t>
      </w:r>
    </w:p>
    <w:p w14:paraId="00FADA9E">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第一，履约保证金作为展示合同真诚性的手段，常见于建设工程合同，相应的条款虽可呈现于合同协议中，因其手段属性及约定内容的继续性，更易使之与其所服务的基础合同一体呈现。基础合同出现效力瑕疵，履约保证金条款往往同其效力，因而，建设工程转包、违法分包往往会带来以合同无效为由要求返还履约保证金的诉讼。</w:t>
      </w:r>
    </w:p>
    <w:p w14:paraId="05232708">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第二，在合同无效场合，基于该合同给付的履约保证金依法可以主张返还，相应的返还请求权通常是债权性的返还请求权，是给付不当得利返还请求权。与之相比，若以履约保证金无法收回而作为损失，进而主张赔偿损失，则要经受缔约过失赔偿责任构成要件的考验，并有适用过失相抵规则之虞，较主张不当得利请求权存在弱项。</w:t>
      </w:r>
    </w:p>
    <w:p w14:paraId="24F7E03C">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第三，履约保证金作为给付不当得利请求返还，通常作为“返还财产”即为已足，无须“折价补偿”（价额偿还）。“得利”可以表现为对金钱的受领，“返还财产”则须依不当得利法则确定其返还的方法与范围，可能是但却并非必然是当初所受领的金钱。</w:t>
      </w:r>
    </w:p>
    <w:p w14:paraId="513B35D0">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第四，在接力给付形成给付链条，如果链条上两个相邻的合同均属无效（双重瑕疵），善意的接力给付人（Y）的现存利益可能表现为对受领其接力给付的合同主体（Z）的给付不当得利返还请求权，该请求权作为接力给付人所受领履约保证金的代偿物，在向给付人（X）返还不当得利时，构成相应的返还客体。这种“双重不当得利请求权”能够精准对应当事人事先对于履约保证金返还风险的分配，较之“要么全有，要么全无”，作为第三条道路，该方案因其给予每个人其所应得，故更为公正。</w:t>
      </w:r>
    </w:p>
    <w:p w14:paraId="389D03F8">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第五，在《</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》时代，裁判者应从基于原《</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"https://www.pkulaw.com/chl/27f092abe1cd5ab4bdfb.html?way=textSlc"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民法通则</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"https://www.pkulaw.com/chl/27f092abe1cd5ab4bdfb.html?way=textSlc" \l "tiao_61"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61</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条的“有法可依”的实用思维，走向基于《</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"https://www.pkulaw.com/chl/aa00daaeb5a4fe4ebdfb.html?way=textSlc" \l "tiao_0" </w:instrText>
      </w:r>
      <w:r>
        <w:rPr>
          <w:rFonts w:ascii="宋体" w:hAnsi="宋体" w:eastAsia="宋体" w:cs="宋体"/>
          <w:b w:val="0"/>
          <w:i w:val="0"/>
          <w:color w:val="000000"/>
          <w:sz w:val="21"/>
          <w:szCs w:val="27"/>
          <w:vertAlign w:val="baseline"/>
          <w:lang/>
        </w:rPr>
        <w:fldChar w:fldCharType="separate"/>
      </w:r>
      <w:r>
        <w:rPr>
          <w:rStyle w:val="22"/>
          <w:rFonts w:ascii="宋体" w:hAnsi="宋体" w:eastAsia="宋体" w:cs="宋体"/>
          <w:b w:val="0"/>
          <w:i w:val="0"/>
          <w:sz w:val="21"/>
          <w:szCs w:val="27"/>
          <w:lang/>
        </w:rPr>
        <w:t>民法典</w:t>
      </w:r>
      <w:r>
        <w:rPr>
          <w:rStyle w:val="22"/>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》总分结构的体系思维，认真对待不当得利。</w:t>
      </w:r>
    </w:p>
    <w:p w14:paraId="4CF4582E">
      <w:pPr>
        <w:pStyle w:val="1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[责任编辑：陈慧妮、赵蔚平]</w:t>
      </w:r>
    </w:p>
    <w:p w14:paraId="6AD20EC4">
      <w:pPr>
        <w:spacing w:line="600" w:lineRule="atLeast"/>
        <w:ind w:left="375" w:right="375"/>
        <w:rPr>
          <w:rFonts w:ascii="宋体" w:hAnsi="宋体" w:eastAsia="宋体" w:cs="宋体"/>
          <w:color w:val="000000"/>
          <w:sz w:val="27"/>
          <w:szCs w:val="27"/>
          <w:lang/>
        </w:rPr>
      </w:pPr>
      <w:r>
        <w:rPr>
          <w:rFonts w:ascii="宋体" w:hAnsi="宋体" w:eastAsia="宋体" w:cs="宋体"/>
          <w:color w:val="000000"/>
          <w:sz w:val="27"/>
          <w:szCs w:val="27"/>
          <w:lang/>
        </w:rPr>
        <w:br w:type="textWrapping"/>
      </w:r>
    </w:p>
    <w:p w14:paraId="046645DB">
      <w:pPr>
        <w:pStyle w:val="23"/>
        <w:spacing w:before="0" w:line="240" w:lineRule="auto" w:after="0" w:beforeLines="0" w:afterLines="0"/>
        <w:ind w:right="525" w:firstLineChars="200" w:leftChars="0" w:hangingChars="0"/>
        <w:jc w:val="left"/>
        <w:textAlignment w:val="baseline"/>
        <w:rPr>
          <w:rFonts w:ascii="宋体" w:hAnsi="宋体" w:eastAsia="宋体" w:cs="宋体"/>
          <w:color w:val="000000"/>
          <w:sz w:val="21"/>
          <w:szCs w:val="21"/>
          <w:lang/>
        </w:rPr>
      </w:pPr>
      <w:r>
        <w:rPr>
          <w:rStyle w:val="24"/>
          <w:rFonts w:ascii="宋体" w:hAnsi="宋体" w:eastAsia="宋体" w:cs="宋体"/>
          <w:b w:val="0"/>
          <w:bCs/>
          <w:i w:val="0"/>
          <w:sz w:val="21"/>
          <w:shd w:val="clear" w:color="auto" w:fill="auto"/>
          <w:lang/>
        </w:rPr>
        <w:t>【注释】</w:t>
      </w:r>
    </w:p>
    <w:p w14:paraId="6A8F3924">
      <w:pPr>
        <w:pStyle w:val="19"/>
        <w:shd w:val="clear" w:color="auto" w:fill="F6FAFF"/>
        <w:spacing w:before="0" w:after="0" w:line="240" w:lineRule="auto" w:beforeLines="0" w:afterLines="0"/>
        <w:ind w:right="525" w:firstLineChars="200" w:leftChars="0" w:hangingChars="0"/>
        <w:jc w:val="left"/>
        <w:rPr>
          <w:rFonts w:ascii="宋体" w:hAnsi="宋体" w:eastAsia="宋体" w:cs="宋体"/>
          <w:color w:val="000000"/>
          <w:sz w:val="21"/>
          <w:szCs w:val="21"/>
          <w:lang/>
        </w:rPr>
      </w:pPr>
      <w:r>
        <w:rPr>
          <w:rFonts w:ascii="宋体" w:hAnsi="宋体" w:eastAsia="宋体" w:cs="宋体"/>
          <w:b w:val="0"/>
          <w:i w:val="0"/>
          <w:color w:val="000000"/>
          <w:sz w:val="21"/>
          <w:szCs w:val="21"/>
          <w:vertAlign w:val="baseline"/>
          <w:lang/>
        </w:rPr>
        <w:t>作者简介：韩世远，男，清华大学法学院教授，博士生导师，主要从事民商法学研究。</w:t>
      </w:r>
    </w:p>
    <w:p w14:paraId="7FA67854">
      <w:pPr>
        <w:spacing w:after="0"/>
        <w:ind w:left="375" w:right="375"/>
        <w:rPr>
          <w:rFonts w:ascii="Arial" w:hAnsi="Arial" w:eastAsia="Arial" w:cs="Arial"/>
          <w:lang/>
        </w:rPr>
      </w:pPr>
      <w:r>
        <w:rPr>
          <w:rFonts w:ascii="Arial" w:hAnsi="Arial" w:eastAsia="Arial" w:cs="Arial"/>
          <w:lang/>
        </w:rPr>
        <w:br w:type="textWrapping"/>
      </w:r>
    </w:p>
    <w:p w14:paraId="69637FEF">
      <w:pPr>
        <w:spacing w:line="240" w:lineRule="auto" w:before="0" w:after="0" w:beforeLines="0" w:afterLines="0"/>
        <w:jc w:val="left"/>
        <w:rPr>
          <w:rFonts w:ascii="Times New Roman" w:hAnsi="Times New Roman" w:eastAsia="Times New Roman" w:cs="Times New Roman"/>
          <w:sz w:val="26"/>
          <w:szCs w:val="26"/>
          <w:lang/>
        </w:rPr>
        <w:ind w:firstLineChars="200" w:leftChars="0" w:hangingChars="0"/>
      </w:pPr>
      <w:r>
        <w:rPr>
          <w:rFonts w:eastAsia="宋体" w:ascii="宋体" w:hAnsi="宋体" w:cs="宋体"/>
          <w:b w:val="0"/>
          <w:i w:val="0"/>
          <w:sz w:val="21"/>
        </w:rPr>
        <w:br w:type="page"/>
      </w:r>
      <w:r>
        <w:rPr>
          <w:rFonts w:ascii="宋体" w:hAnsi="宋体" w:eastAsia="宋体" w:cs="宋体"/>
          <w:b w:val="0"/>
          <w:i w:val="0"/>
          <w:sz w:val="21"/>
          <w:szCs w:val="26"/>
          <w:lang/>
        </w:rPr>
        <w:t>©北大法宝：（</w:t>
      </w:r>
      <w:r>
        <w:rPr>
          <w:rFonts w:ascii="宋体" w:hAnsi="宋体" w:eastAsia="宋体" w:cs="宋体"/>
          <w:b w:val="0"/>
          <w:i w:val="0"/>
          <w:sz w:val="21"/>
          <w:szCs w:val="26"/>
          <w:lang/>
        </w:rPr>
        <w:fldChar w:fldCharType="begin"/>
      </w:r>
      <w:r>
        <w:rPr>
          <w:rFonts w:ascii="宋体" w:hAnsi="宋体" w:eastAsia="宋体" w:cs="宋体"/>
          <w:b w:val="0"/>
          <w:i w:val="0"/>
          <w:sz w:val="21"/>
          <w:szCs w:val="26"/>
          <w:lang/>
        </w:rPr>
        <w:instrText xml:space="preserve"> HYPERLINK "https://www.pkulaw.com" </w:instrText>
      </w:r>
      <w:r>
        <w:rPr>
          <w:rFonts w:ascii="宋体" w:hAnsi="宋体" w:eastAsia="宋体" w:cs="宋体"/>
          <w:b w:val="0"/>
          <w:i w:val="0"/>
          <w:sz w:val="21"/>
          <w:szCs w:val="26"/>
          <w:lang/>
        </w:rPr>
        <w:fldChar w:fldCharType="separate"/>
      </w:r>
      <w:r>
        <w:rPr>
          <w:rFonts w:ascii="宋体" w:hAnsi="宋体" w:eastAsia="宋体" w:cs="宋体"/>
          <w:b w:val="0"/>
          <w:i w:val="0"/>
          <w:color w:val="218FC4"/>
          <w:sz w:val="21"/>
          <w:szCs w:val="26"/>
          <w:u w:val="single" w:color="218FC4"/>
          <w:lang/>
        </w:rPr>
        <w:t>www.pkulaw.com</w:t>
      </w:r>
      <w:r>
        <w:rPr>
          <w:rFonts w:ascii="宋体" w:hAnsi="宋体" w:eastAsia="宋体" w:cs="宋体"/>
          <w:b w:val="0"/>
          <w:i w:val="0"/>
          <w:color w:val="218FC4"/>
          <w:sz w:val="21"/>
          <w:szCs w:val="26"/>
          <w:u w:val="single" w:color="218FC4"/>
          <w:lang/>
        </w:rPr>
        <w:fldChar w:fldCharType="end"/>
      </w:r>
      <w:r>
        <w:rPr>
          <w:rFonts w:ascii="宋体" w:hAnsi="宋体" w:eastAsia="宋体" w:cs="宋体"/>
          <w:b w:val="0"/>
          <w:i w:val="0"/>
          <w:sz w:val="21"/>
          <w:szCs w:val="26"/>
          <w:lang/>
        </w:rPr>
        <w:t>）专业提供法律信息、法学知识和法律软件领域各类解决方案。北大法宝为您提供丰富的参考资料，正式引用法规条文时请与标准文本核对。欢迎查看所有</w:t>
      </w:r>
      <w:r>
        <w:rPr>
          <w:rFonts w:ascii="宋体" w:hAnsi="宋体" w:eastAsia="宋体" w:cs="宋体"/>
          <w:b w:val="0"/>
          <w:i w:val="0"/>
          <w:sz w:val="21"/>
          <w:szCs w:val="26"/>
          <w:lang/>
        </w:rPr>
        <w:fldChar w:fldCharType="begin"/>
      </w:r>
      <w:r>
        <w:rPr>
          <w:rFonts w:ascii="宋体" w:hAnsi="宋体" w:eastAsia="宋体" w:cs="宋体"/>
          <w:b w:val="0"/>
          <w:i w:val="0"/>
          <w:sz w:val="21"/>
          <w:szCs w:val="26"/>
          <w:lang/>
        </w:rPr>
        <w:instrText xml:space="preserve"> HYPERLINK "http://www.pkulaw.net/" </w:instrText>
      </w:r>
      <w:r>
        <w:rPr>
          <w:rFonts w:ascii="宋体" w:hAnsi="宋体" w:eastAsia="宋体" w:cs="宋体"/>
          <w:b w:val="0"/>
          <w:i w:val="0"/>
          <w:sz w:val="21"/>
          <w:szCs w:val="26"/>
          <w:lang/>
        </w:rPr>
        <w:fldChar w:fldCharType="separate"/>
      </w:r>
      <w:r>
        <w:rPr>
          <w:rFonts w:ascii="宋体" w:hAnsi="宋体" w:eastAsia="宋体" w:cs="宋体"/>
          <w:b w:val="0"/>
          <w:i w:val="0"/>
          <w:color w:val="218FC4"/>
          <w:sz w:val="21"/>
          <w:szCs w:val="26"/>
          <w:u w:val="single" w:color="218FC4"/>
          <w:lang/>
        </w:rPr>
        <w:t>产品和服务</w:t>
      </w:r>
      <w:r>
        <w:rPr>
          <w:rFonts w:ascii="宋体" w:hAnsi="宋体" w:eastAsia="宋体" w:cs="宋体"/>
          <w:b w:val="0"/>
          <w:i w:val="0"/>
          <w:color w:val="218FC4"/>
          <w:sz w:val="21"/>
          <w:szCs w:val="26"/>
          <w:u w:val="single" w:color="218FC4"/>
          <w:lang/>
        </w:rPr>
        <w:fldChar w:fldCharType="end"/>
      </w:r>
      <w:r>
        <w:rPr>
          <w:rFonts w:ascii="宋体" w:hAnsi="宋体" w:eastAsia="宋体" w:cs="宋体"/>
          <w:b w:val="0"/>
          <w:i w:val="0"/>
          <w:sz w:val="21"/>
          <w:szCs w:val="26"/>
          <w:lang/>
        </w:rPr>
        <w:t>。</w:t>
      </w:r>
      <w:r>
        <w:rPr>
          <w:rFonts w:ascii="宋体" w:hAnsi="宋体" w:eastAsia="宋体" w:cs="宋体"/>
          <w:b w:val="0"/>
          <w:i w:val="0"/>
          <w:sz w:val="21"/>
          <w:szCs w:val="26"/>
          <w:lang/>
        </w:rPr>
        <w:br w:type="textWrapping"/>
      </w:r>
      <w:r>
        <w:rPr>
          <w:rFonts w:ascii="宋体" w:hAnsi="宋体" w:eastAsia="宋体" w:cs="宋体"/>
          <w:b w:val="0"/>
          <w:i w:val="0"/>
          <w:sz w:val="21"/>
          <w:szCs w:val="26"/>
          <w:lang/>
        </w:rPr>
        <w:fldChar w:fldCharType="begin"/>
      </w:r>
      <w:r>
        <w:rPr>
          <w:rFonts w:ascii="宋体" w:hAnsi="宋体" w:eastAsia="宋体" w:cs="宋体"/>
          <w:b w:val="0"/>
          <w:i w:val="0"/>
          <w:sz w:val="21"/>
          <w:szCs w:val="26"/>
          <w:lang/>
        </w:rPr>
        <w:instrText xml:space="preserve"> HYPERLINK "http://www.pkulaw.com/helps/69.html" </w:instrText>
      </w:r>
      <w:r>
        <w:rPr>
          <w:rFonts w:ascii="宋体" w:hAnsi="宋体" w:eastAsia="宋体" w:cs="宋体"/>
          <w:b w:val="0"/>
          <w:i w:val="0"/>
          <w:sz w:val="21"/>
          <w:szCs w:val="26"/>
          <w:lang/>
        </w:rPr>
        <w:fldChar w:fldCharType="separate"/>
      </w:r>
      <w:r>
        <w:rPr>
          <w:rFonts w:ascii="宋体" w:hAnsi="宋体" w:eastAsia="宋体" w:cs="宋体"/>
          <w:b w:val="0"/>
          <w:i w:val="0"/>
          <w:color w:val="218FC4"/>
          <w:sz w:val="21"/>
          <w:szCs w:val="26"/>
          <w:u w:val="single" w:color="218FC4"/>
          <w:lang/>
        </w:rPr>
        <w:t>法宝快讯：如何快速找到您需要的检索结果？ 法宝 V6 有何新特色？</w:t>
      </w:r>
      <w:r>
        <w:rPr>
          <w:rFonts w:ascii="宋体" w:hAnsi="宋体" w:eastAsia="宋体" w:cs="宋体"/>
          <w:b w:val="0"/>
          <w:i w:val="0"/>
          <w:color w:val="218FC4"/>
          <w:sz w:val="21"/>
          <w:szCs w:val="26"/>
          <w:u w:val="single" w:color="218FC4"/>
          <w:lang/>
        </w:rPr>
        <w:fldChar w:fldCharType="end"/>
      </w:r>
    </w:p>
    <w:p w14:paraId="270DB2C5">
      <w:pPr>
        <w:spacing w:before="900"/>
        <w:ind w:left="900" w:right="900"/>
        <w:jc w:val="center"/>
        <w:rPr>
          <w:rFonts w:ascii="Times New Roman" w:hAnsi="Times New Roman" w:eastAsia="Times New Roman" w:cs="Times New Roman"/>
          <w:lang/>
        </w:rPr>
      </w:pPr>
      <w:r>
        <w:rPr>
          <w:rFonts w:ascii="Times New Roman" w:hAnsi="Times New Roman" w:eastAsia="Times New Roman" w:cs="Times New Roman"/>
          <w:strike w:val="0"/>
          <w:u w:val="none"/>
          <w:lang/>
        </w:rPr>
        <w:drawing>
          <wp:inline distT="0" distB="0" distL="114300" distR="114300">
            <wp:extent cx="2438400" cy="2438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2438400" cy="2438400"/>
                    </a:xfrm>
                    <a:prstGeom prst="rect">
                      <a:avLst/>
                    </a:prstGeom>
                    <a:noFill/>
                    <a:ln>
                      <a:noFill/>
                    </a:ln>
                  </pic:spPr>
                </pic:pic>
              </a:graphicData>
            </a:graphic>
          </wp:inline>
        </w:drawing>
      </w:r>
    </w:p>
    <w:p w14:paraId="447428EE">
      <w:pPr>
        <w:spacing w:after="0" w:line="240" w:lineRule="auto" w:before="0" w:beforeLines="0" w:afterLines="0"/>
        <w:ind w:right="900" w:firstLineChars="200" w:leftChars="0" w:hangingChars="0"/>
        <w:jc w:val="left"/>
        <w:rPr>
          <w:rFonts w:ascii="Times New Roman" w:hAnsi="Times New Roman" w:eastAsia="Times New Roman" w:cs="Times New Roman"/>
          <w:sz w:val="26"/>
          <w:szCs w:val="26"/>
          <w:lang/>
        </w:rPr>
      </w:pPr>
      <w:r>
        <w:rPr>
          <w:rFonts w:ascii="宋体" w:hAnsi="宋体" w:eastAsia="宋体" w:cs="宋体"/>
          <w:b w:val="0"/>
          <w:i w:val="0"/>
          <w:sz w:val="21"/>
          <w:szCs w:val="26"/>
          <w:lang/>
        </w:rPr>
        <w:t xml:space="preserve">扫描二维码阅读原文 </w:t>
      </w:r>
    </w:p>
    <w:p w14:paraId="03DC932D">
      <w:pPr>
        <w:spacing w:line="240" w:lineRule="auto" w:before="0" w:after="0" w:beforeLines="0" w:afterLines="0"/>
        <w:jc w:val="left"/>
        <w:rPr>
          <w:rFonts w:ascii="Times New Roman" w:hAnsi="Times New Roman" w:eastAsia="Times New Roman" w:cs="Times New Roman"/>
          <w:sz w:val="26"/>
          <w:szCs w:val="26"/>
          <w:lang/>
        </w:rPr>
        <w:ind w:firstLineChars="200" w:leftChars="0" w:hangingChars="0"/>
      </w:pPr>
      <w:r>
        <w:rPr>
          <w:rFonts w:ascii="宋体" w:hAnsi="宋体" w:eastAsia="宋体" w:cs="宋体"/>
          <w:b w:val="0"/>
          <w:i w:val="0"/>
          <w:sz w:val="21"/>
          <w:szCs w:val="26"/>
          <w:lang/>
        </w:rPr>
        <w:t>原文链接：</w:t>
      </w:r>
      <w:r>
        <w:rPr>
          <w:rFonts w:ascii="宋体" w:hAnsi="宋体" w:eastAsia="宋体" w:cs="宋体"/>
          <w:b w:val="0"/>
          <w:i w:val="0"/>
          <w:sz w:val="21"/>
          <w:szCs w:val="26"/>
          <w:lang/>
        </w:rPr>
        <w:fldChar w:fldCharType="begin"/>
      </w:r>
      <w:r>
        <w:rPr>
          <w:rFonts w:ascii="宋体" w:hAnsi="宋体" w:eastAsia="宋体" w:cs="宋体"/>
          <w:b w:val="0"/>
          <w:i w:val="0"/>
          <w:sz w:val="21"/>
          <w:szCs w:val="26"/>
          <w:lang/>
        </w:rPr>
        <w:instrText xml:space="preserve"> HYPERLINK "https://www.pkulaw.com/qikan/5b38ee53cc0649c3aae071e2c283cf49bdfb.html" </w:instrText>
      </w:r>
      <w:r>
        <w:rPr>
          <w:rFonts w:ascii="宋体" w:hAnsi="宋体" w:eastAsia="宋体" w:cs="宋体"/>
          <w:b w:val="0"/>
          <w:i w:val="0"/>
          <w:sz w:val="21"/>
          <w:szCs w:val="26"/>
          <w:lang/>
        </w:rPr>
        <w:fldChar w:fldCharType="separate"/>
      </w:r>
      <w:r>
        <w:rPr>
          <w:rFonts w:ascii="宋体" w:hAnsi="宋体" w:eastAsia="宋体" w:cs="宋体"/>
          <w:b w:val="0"/>
          <w:i w:val="0"/>
          <w:color w:val="000000"/>
          <w:sz w:val="21"/>
          <w:szCs w:val="26"/>
          <w:u w:val="single" w:color="000000"/>
          <w:lang/>
        </w:rPr>
        <w:t xml:space="preserve">https://www.pkulaw.com/qikan/5b38ee53cc0649c3aae071e2c283cf49bdfb.html </w:t>
      </w:r>
      <w:r>
        <w:rPr>
          <w:rFonts w:ascii="宋体" w:hAnsi="宋体" w:eastAsia="宋体" w:cs="宋体"/>
          <w:b w:val="0"/>
          <w:i w:val="0"/>
          <w:color w:val="000000"/>
          <w:sz w:val="21"/>
          <w:szCs w:val="26"/>
          <w:u w:val="single" w:color="000000"/>
          <w:lang/>
        </w:rPr>
        <w:fldChar w:fldCharType="end"/>
      </w:r>
    </w:p>
    <w:p w14:paraId="1B380AED"/>
    <w:sectPr>
      <w:headerReference r:id="rId3" w:type="default"/>
      <w:footerReference r:id="rId5" w:type="default"/>
      <w:headerReference r:id="rId4" w:type="even"/>
      <w:footerReference r:id="rId6" w:type="even"/>
      <w:pgSz w:w="11906" w:h="16838"/>
      <w:pgMar w:top="1440" w:right="720" w:bottom="144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5000" w:type="pct"/>
      <w:tblCellSpacing w:w="15" w:type="dxa"/>
      <w:tblInd w:w="15" w:type="dxa"/>
      <w:tblLayout w:type="autofit"/>
      <w:tblCellMar>
        <w:top w:w="15" w:type="dxa"/>
        <w:left w:w="15" w:type="dxa"/>
        <w:bottom w:w="15" w:type="dxa"/>
        <w:right w:w="15" w:type="dxa"/>
      </w:tblCellMar>
    </w:tblPr>
    <w:tblGrid>
      <w:gridCol w:w="689"/>
      <w:gridCol w:w="9867"/>
    </w:tblGrid>
    <w:tr w14:paraId="5CD3AFBC">
      <w:tblPrEx>
        <w:tblCellMar>
          <w:top w:w="15" w:type="dxa"/>
          <w:left w:w="15" w:type="dxa"/>
          <w:bottom w:w="15" w:type="dxa"/>
          <w:right w:w="15" w:type="dxa"/>
        </w:tblCellMar>
      </w:tblPrEx>
      <w:trPr>
        <w:wBefore w:w="0" w:type="dxa"/>
        <w:tblCellSpacing w:w="15" w:type="dxa"/>
      </w:trPr>
      <w:tc>
        <w:tcPr>
          <w:tcW w:w="0" w:type="auto"/>
          <w:noWrap w:val="0"/>
          <w:tcMar>
            <w:top w:w="15" w:type="dxa"/>
            <w:left w:w="15" w:type="dxa"/>
            <w:bottom w:w="15" w:type="dxa"/>
            <w:right w:w="15" w:type="dxa"/>
          </w:tcMar>
          <w:vAlign w:val="center"/>
        </w:tcPr>
        <w:p w14:paraId="0C7BBEB5">
          <w:pPr>
            <w:jc w:val="left"/>
            <w:rPr>
              <w:rFonts w:ascii="宋体" w:hAnsi="宋体" w:eastAsia="宋体" w:cs="宋体"/>
              <w:b w:val="0"/>
              <w:bCs w:val="0"/>
              <w:i w:val="0"/>
              <w:iCs w:val="0"/>
              <w:smallCaps w:val="0"/>
              <w:color w:val="000000"/>
              <w:sz w:val="18"/>
              <w:szCs w:val="18"/>
              <w:lang/>
            </w:rPr>
          </w:pPr>
          <w:r>
            <w:rPr>
              <w:rFonts w:ascii="宋体" w:hAnsi="宋体" w:eastAsia="宋体" w:cs="宋体"/>
              <w:b w:val="0"/>
              <w:bCs w:val="0"/>
              <w:i w:val="0"/>
              <w:iCs w:val="0"/>
              <w:smallCaps w:val="0"/>
              <w:color w:val="000000"/>
              <w:sz w:val="18"/>
              <w:szCs w:val="18"/>
              <w:lang/>
            </w:rPr>
            <w:fldChar w:fldCharType="begin"/>
          </w:r>
          <w:r>
            <w:rPr>
              <w:rFonts w:ascii="宋体" w:hAnsi="宋体" w:eastAsia="宋体" w:cs="宋体"/>
              <w:b w:val="0"/>
              <w:bCs w:val="0"/>
              <w:i w:val="0"/>
              <w:iCs w:val="0"/>
              <w:smallCaps w:val="0"/>
              <w:color w:val="000000"/>
              <w:sz w:val="18"/>
              <w:szCs w:val="18"/>
              <w:lang/>
            </w:rPr>
            <w:instrText xml:space="preserve"> PAGE  </w:instrText>
          </w:r>
          <w:r>
            <w:rPr>
              <w:rFonts w:ascii="宋体" w:hAnsi="宋体" w:eastAsia="宋体" w:cs="宋体"/>
              <w:b w:val="0"/>
              <w:bCs w:val="0"/>
              <w:i w:val="0"/>
              <w:iCs w:val="0"/>
              <w:smallCaps w:val="0"/>
              <w:color w:val="000000"/>
              <w:sz w:val="18"/>
              <w:szCs w:val="18"/>
              <w:lang/>
            </w:rPr>
            <w:fldChar w:fldCharType="separate"/>
          </w:r>
          <w:r>
            <w:rPr>
              <w:rFonts w:ascii="宋体" w:hAnsi="宋体" w:eastAsia="宋体" w:cs="宋体"/>
              <w:b w:val="0"/>
              <w:bCs w:val="0"/>
              <w:i w:val="0"/>
              <w:iCs w:val="0"/>
              <w:smallCaps w:val="0"/>
              <w:color w:val="000000"/>
              <w:sz w:val="18"/>
              <w:szCs w:val="18"/>
              <w:lang/>
            </w:rPr>
            <w:fldChar w:fldCharType="end"/>
          </w:r>
          <w:r>
            <w:rPr>
              <w:rFonts w:ascii="宋体" w:hAnsi="宋体" w:eastAsia="宋体" w:cs="宋体"/>
              <w:b w:val="0"/>
              <w:bCs w:val="0"/>
              <w:i w:val="0"/>
              <w:iCs w:val="0"/>
              <w:smallCaps w:val="0"/>
              <w:color w:val="000000"/>
              <w:sz w:val="18"/>
              <w:szCs w:val="18"/>
              <w:lang/>
            </w:rPr>
            <w:t>/</w:t>
          </w:r>
          <w:r>
            <w:rPr>
              <w:rFonts w:ascii="宋体" w:hAnsi="宋体" w:eastAsia="宋体" w:cs="宋体"/>
              <w:b w:val="0"/>
              <w:bCs w:val="0"/>
              <w:i w:val="0"/>
              <w:iCs w:val="0"/>
              <w:smallCaps w:val="0"/>
              <w:color w:val="000000"/>
              <w:sz w:val="18"/>
              <w:szCs w:val="18"/>
              <w:lang/>
            </w:rPr>
            <w:fldChar w:fldCharType="begin"/>
          </w:r>
          <w:r>
            <w:rPr>
              <w:rFonts w:ascii="宋体" w:hAnsi="宋体" w:eastAsia="宋体" w:cs="宋体"/>
              <w:b w:val="0"/>
              <w:bCs w:val="0"/>
              <w:i w:val="0"/>
              <w:iCs w:val="0"/>
              <w:smallCaps w:val="0"/>
              <w:color w:val="000000"/>
              <w:sz w:val="18"/>
              <w:szCs w:val="18"/>
              <w:lang/>
            </w:rPr>
            <w:instrText xml:space="preserve"> NUMPAGES  </w:instrText>
          </w:r>
          <w:r>
            <w:rPr>
              <w:rFonts w:ascii="宋体" w:hAnsi="宋体" w:eastAsia="宋体" w:cs="宋体"/>
              <w:b w:val="0"/>
              <w:bCs w:val="0"/>
              <w:i w:val="0"/>
              <w:iCs w:val="0"/>
              <w:smallCaps w:val="0"/>
              <w:color w:val="000000"/>
              <w:sz w:val="18"/>
              <w:szCs w:val="18"/>
              <w:lang/>
            </w:rPr>
            <w:fldChar w:fldCharType="separate"/>
          </w:r>
          <w:r>
            <w:rPr>
              <w:rFonts w:ascii="宋体" w:hAnsi="宋体" w:eastAsia="宋体" w:cs="宋体"/>
              <w:b w:val="0"/>
              <w:bCs w:val="0"/>
              <w:i w:val="0"/>
              <w:iCs w:val="0"/>
              <w:smallCaps w:val="0"/>
              <w:color w:val="000000"/>
              <w:sz w:val="18"/>
              <w:szCs w:val="18"/>
              <w:lang/>
            </w:rPr>
            <w:fldChar w:fldCharType="end"/>
          </w:r>
        </w:p>
      </w:tc>
      <w:tc>
        <w:tcPr>
          <w:tcW w:w="0" w:type="auto"/>
          <w:noWrap w:val="0"/>
          <w:tcMar>
            <w:top w:w="15" w:type="dxa"/>
            <w:left w:w="15" w:type="dxa"/>
            <w:bottom w:w="15" w:type="dxa"/>
            <w:right w:w="15" w:type="dxa"/>
          </w:tcMar>
          <w:vAlign w:val="center"/>
        </w:tcPr>
        <w:p w14:paraId="7C3C3752">
          <w:pPr>
            <w:jc w:val="right"/>
            <w:rPr>
              <w:rFonts w:ascii="宋体" w:hAnsi="宋体" w:eastAsia="宋体" w:cs="宋体"/>
              <w:b w:val="0"/>
              <w:bCs w:val="0"/>
              <w:i w:val="0"/>
              <w:iCs w:val="0"/>
              <w:smallCaps w:val="0"/>
              <w:color w:val="000000"/>
              <w:sz w:val="18"/>
              <w:szCs w:val="18"/>
              <w:lang/>
            </w:rPr>
          </w:pPr>
          <w:r>
            <w:rPr>
              <w:rFonts w:ascii="宋体" w:hAnsi="宋体" w:eastAsia="宋体" w:cs="宋体"/>
              <w:b w:val="0"/>
              <w:bCs w:val="0"/>
              <w:i w:val="0"/>
              <w:iCs w:val="0"/>
              <w:smallCaps w:val="0"/>
              <w:color w:val="000000"/>
              <w:sz w:val="18"/>
              <w:szCs w:val="18"/>
              <w:lang/>
            </w:rPr>
            <w:t>下载日期：2026-08-17</w:t>
          </w:r>
        </w:p>
      </w:tc>
    </w:tr>
  </w:tbl>
  <w:p w14:paraId="7409685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09644"/>
</w:ftr>
</file>

<file path=word/footnotes.xml><?xml version="1.0" encoding="utf-8"?>
<w:footnotes xmlns:w="http://schemas.openxmlformats.org/wordprocessingml/2006/main">
  <w:footnotePr>
    <w:numFmt w:val="decimal"/>
    <w:numStart w:val="1"/>
    <w:numRestart w:val="0"/>
  </w:footnotePr>
  <w:footnote w:id="-1">
    <w:p>
      <w:r>
        <w:separator/>
      </w:r>
    </w:p>
  </w:footnote>
  <w:footnote w:id="0">
    <w:p>
      <w:r>
        <w:continuationSeparator/>
      </w:r>
    </w:p>
  </w:footnote>
  <w:footnote w:id="1">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也有少数法院认为合同有效并按合同解除处理履约保证金的返还，比如，浙江省新昌县人民法院（2019）浙0624民初3268号民事判决。该案二审对此予以纠正，见浙江省绍兴市中级人民法院（2019）浙06民终3862号民事判决书。</w:t>
      </w:r>
    </w:p>
  </w:footnote>
  <w:footnote w:id="2">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承包人不得将其承包的全部建设工程转包给第三人或者将其承包的全部建设工程支解以后以分包的名义分别转包给第三人（《民法典》第791条第2款后段）。禁止承包人将工程分包给不具备相应资质条件的单位。禁止分包单位将其承包的工程再分包。建设工程主体结构的施工必须由承包人自行完成（《民法典》第791条第3款）。另外：《建筑法》第28条、第67条等也有类似规定。最高人民法院关于审理建设工程施工合同纠纷案件适用法律问题的解释（一）（第1条）等司法解释就合同无效的认定也有具体的指引。</w:t>
      </w:r>
    </w:p>
  </w:footnote>
  <w:footnote w:id="3">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]因转包而认定合同无效，基于履约保证金在个案中的给付关系不成立或不存在而驳回原告诉讼请求的事例，亦属有之，参见云南省大理白族自治州中级人民法院（2019）云29民终1545号民事判决书。</w:t>
      </w:r>
    </w:p>
  </w:footnote>
  <w:footnote w:id="4">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]刘家安：《民法物权》，北京：中国政法大学出版社，2023年，第36—37页。</w:t>
      </w:r>
    </w:p>
  </w:footnote>
  <w:footnote w:id="5">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]参见浙江省东阳市人民法院（2017）浙0783民初9469号民事判决书。</w:t>
      </w:r>
    </w:p>
  </w:footnote>
  <w:footnote w:id="6">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]参见浙江省金华市中级人民法院（2017）浙07民终6567号民事判决书。</w:t>
      </w:r>
    </w:p>
  </w:footnote>
  <w:footnote w:id="7">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黄薇主编：《中华人民共和国民法典总则编释义》，北京：法律出版社，2020年，第416页；石宏主编：《〈中华人民共和国民法典〉释解与适用[总则编]》，北京：人民法院出版社，2020年，第289页；贾东明主编：《〈中华人民共和国民法总则〉释解与适用》，北京：人民法院出版社，2017年，第396页。</w:t>
      </w:r>
    </w:p>
  </w:footnote>
  <w:footnote w:id="8">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]黄薇主编：《中华人民共和国民法典总则编释义》，第416页。</w:t>
      </w:r>
    </w:p>
  </w:footnote>
  <w:footnote w:id="9">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黄薇主编：《中华人民共和国民法典合同编释义》，北京：法律出版社，2020年，第1048页；石宏主编：《〈中华人民共和国民法典〉释解与适用[合同编]》（下册），北京：人民法院出版社，2020年，第936页；梁慧星：《读条文学民法》（第2版），北京：人民法院出版社，2017年，第54页；崔建远、陈进：《债法总论》，北京：法律出版社，2021年，第342页；韩世远：《合同法学》（第2版），北京：高等教育出版社，2022年，第618页。</w:t>
      </w:r>
    </w:p>
  </w:footnote>
  <w:footnote w:id="10">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]参见黄薇主编：《中华人民共和国民法典合同编释义》，第1045页；[德]汉斯·约瑟夫·威灵：《德国不当得利法》，薛启明译，北京：中国法制出版社，2021年，第13页。Vgl.auch Hans Josef Wieling,Bereicherungsrecht,Vierte,aktualisierte Auflage,Springer-Verlag 2007,S.13。</w:t>
      </w:r>
    </w:p>
  </w:footnote>
  <w:footnote w:id="11">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]参见[德]汉斯·约瑟夫·威灵、[德]托马斯·芬克瑙尔：《德国债法分则案例研习》，冯洁语译，北京：中国法制出版社，2019年，第191—192页。Vgl.auch Hans Josef Wieling,Bereicherungsrecht,Vierte,aktualisierte Auflage,Springer-Verlag 2007,S.13-14。</w:t>
      </w:r>
    </w:p>
  </w:footnote>
  <w:footnote w:id="12">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]参见王泽鉴：《不当得利》（第2版），北京：北京大学出版社，2023年重排版，第281页；杨芳贤：《不当得利》，台北：三民书局，2009年，第58页。</w:t>
      </w:r>
    </w:p>
  </w:footnote>
  <w:footnote w:id="13">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]Vgl.Hans Josef Wieling,Bereicherungsrecht,Vierte,aktualisierte Auflage,Springer-Verlag 2007,S.89。</w:t>
      </w:r>
    </w:p>
  </w:footnote>
  <w:footnote w:id="14">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]参见王泽鉴：《不当得利》（第2版），第282页。日语文献称此“二重原因欠缺”，松岡久和=中田邦博編『新·コンメンタール民法（財産法）[第2版]』（日本評論社，2020年）1180頁。</w:t>
      </w:r>
    </w:p>
  </w:footnote>
  <w:footnote w:id="15">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]参见王泽鉴：《不当得利》（第2版），第28页；杨芳贤：《不当得利》，第64页。</w:t>
      </w:r>
    </w:p>
  </w:footnote>
  <w:footnote w:id="16">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]Vgl.Han Josef Wieling,Bereicherungsrecht,Vierte,aktualisierte Auflage,Springer-Verlag 2007,S.95.另见[德]汉斯·约瑟夫·威灵：《德国不当得利法》，第101页。同旨松岡久和=中田邦博編『新·コンメンタール民法（財産法）[第2版]』（日本評論社，2020年）1180頁。</w:t>
      </w:r>
    </w:p>
  </w:footnote>
  <w:footnote w:id="17">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]比如济南市钢城区人民法院（2019）鲁0117民初1503号民事判决；湖南省耒阳市人民法院（2023）湘0481民初3359号民事判决书。</w:t>
      </w:r>
    </w:p>
  </w:footnote>
  <w:footnote w:id="18">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]莫志华、深圳市东深工程有限公司与东莞市长富广场房地产开发有限公司建设工程合同纠纷案，最高人民法院（2011）民提字第235号，载《中华人民共和国最高人民法院公报》2013年第11期。</w:t>
      </w:r>
    </w:p>
  </w:footnote>
  <w:footnote w:id="19">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]参见[德]汉斯·约瑟夫·威灵、[德]托马斯·芬克瑙尔：《德国债法分则案例研习》，第193页。</w:t>
      </w:r>
    </w:p>
  </w:footnote>
  <w:footnote w:id="20">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]比如，浙江省绍兴市中级人民法院（2019）浙06民终3862号民事判决书。</w:t>
      </w:r>
    </w:p>
  </w:footnote>
  <w:footnote w:id="21">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]参见崔建远：《债权总论》，北京：法律出版社，2013年，第298页。另见石宏主编：《〈中华人民共和国民法典〉释解与适用[合同编]》（下册），第941页。</w:t>
      </w:r>
    </w:p>
  </w:footnote>
  <w:footnote w:id="22">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]王泽鉴：《不当得利》（第2版），第321页。</w:t>
      </w:r>
    </w:p>
  </w:footnote>
  <w:footnote w:id="23">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]王泽鉴：《不当得利》（第2版），第340页。</w:t>
      </w:r>
    </w:p>
  </w:footnote>
  <w:footnote w:id="24">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]王泽鉴：《不当得利》（第2版），第338—339页。</w:t>
      </w:r>
    </w:p>
  </w:footnote>
  <w:footnote w:id="25">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实务中还有另外一种案型，不是基于转包或者分包的“接力给付”，而是Y将其在与Z的合同中的权利义务一并转让给X（合同地位的概括移转），比如，湖南省衡阳市中级人民法院（2024）湘04民终315号民事判决书。如此便形成X对Z的直接的权利义务关系，暂不作为本文讨论对象。</w:t>
      </w:r>
    </w:p>
  </w:footnote>
  <w:footnote w:id="26">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]王泽鉴：《不当得利》（第2版），第282页。与“双重不当得利请求权说”相对的是“价额说”，虽值重视，王泽鉴先生权衡后并未采该说，仍支持“双重不当得利请求权说”。Vgl.auch Josef Esser/Hans-Leo Weyers,Schuldrecht,Band II,Besonderer Teil,Teilband 2 Gesetzliche Schuldverhältnis,8.Auflage,2000,S.50。</w:t>
      </w:r>
    </w:p>
  </w:footnote>
  <w:footnote w:id="27">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]杨芳贤：《不当得利》，第59页。</w:t>
      </w:r>
    </w:p>
  </w:footnote>
  <w:footnote w:id="28">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]黄薇主编：《中华人民共和国民法典合同编释义》，第1053页；王泽鉴：《不当得利》（第2版），第321页。另见崔建远、陈进：《债法总论》，第356页。</w:t>
      </w:r>
    </w:p>
  </w:footnote>
  <w:footnote w:id="29">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]关于原物的代偿及基于法律行为而取得的对价，参见王泽鉴：《不当得利》（第2版），第324页。</w:t>
      </w:r>
    </w:p>
  </w:footnote>
  <w:footnote w:id="30">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]松岡久和=中田邦博編『新·コンメンタール民法（財産法）[第2版]』（日本評論社，2020年）1187頁。</w:t>
      </w:r>
    </w:p>
  </w:footnote>
  <w:footnote w:id="31">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若比较《民法典》第986条与我国台湾地区“民法”第182条第1项，会发现在前者出现的“且不应当知道”在后者并不存在，因而，在我国台湾地区解释得利人是否善意，“其不知无法律上之原因，有无过失，在所不问”。王泽鉴：《不当得利》（第2版），第337页。在中国大陆解释《民法典》第986条的“善意”时，则“是指得利人非因过失不知（不知且不应知）没有法律根据（无法律上的原因）”。石宏主编：《〈中华人民共和国民法典〉释解与适用[合同编]》（下册），第944页。这一立场或是受日本法影响的结果：《日本民法典》第704条规定恶意得利人的返还义务，就其中的“恶意”，日本多数说出于与《日本民法典》第709条的权衡，将有过失的善意人包括在内；另外，日本也有实质性要求善意、无过失的判例。松岡久和=中田邦博編『新·コンメンタール民法（財産法）[第2版]』（日本評論社，2020年）1193頁。</w:t>
      </w:r>
    </w:p>
  </w:footnote>
  <w:footnote w:id="32">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]孙笑侠编译：《西方法谚精选：法、权利和司法》，北京：法律出版社，2005年，第55页。</w:t>
      </w:r>
    </w:p>
  </w:footnote>
  <w:footnote w:id="33">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不当得利制度作为一种客观制度，通常被认为意在矫正有悖于基本财产变动秩序、财产归属秩序、负担分配秩序的利益变动，并不过问当事人的过错，也不适用过失相抵规则。松岡久和=中田邦博編『新·コンメンタール民法（財産法）[第2版]』（日本評論社，2020年）1187頁。</w:t>
      </w:r>
    </w:p>
  </w:footnote>
  <w:footnote w:id="34">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]同旨参见[德]汉斯·约瑟夫·威灵：《德国不当得利法》，第97页。</w:t>
      </w:r>
    </w:p>
  </w:footnote>
  <w:footnote w:id="35">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]D.1.1.10pr.;D.1.1.10.1.参照《学说汇纂》（第1卷），罗智敏译，北京：中国政法大学出版社，2008年，第12—15页。</w:t>
      </w:r>
    </w:p>
  </w:footnote>
  <w:footnote w:id="36">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]王泽鉴：《不当得利》（第2版），第341页；另见黄薇主编：《中华人民共和国民法典合同编释义》，北京：法律出版社，2020年，第1057页；崔建远、陈进：《债法总论》，第362页。</w:t>
      </w:r>
    </w:p>
  </w:footnote>
  <w:footnote w:id="37">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]参见青海省高级人民法院（2015）青民一终字第147号民事判决书。</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5000" w:type="pct"/>
      <w:tblCellSpacing w:w="15" w:type="dxa"/>
      <w:tblInd w:w="15" w:type="dxa"/>
      <w:tblLayout w:type="autofit"/>
      <w:tblCellMar>
        <w:top w:w="15" w:type="dxa"/>
        <w:left w:w="15" w:type="dxa"/>
        <w:bottom w:w="15" w:type="dxa"/>
        <w:right w:w="15" w:type="dxa"/>
      </w:tblCellMar>
    </w:tblPr>
    <w:tblGrid>
      <w:gridCol w:w="4955"/>
      <w:gridCol w:w="5601"/>
    </w:tblGrid>
    <w:tr w14:paraId="4C62EBF8">
      <w:tblPrEx>
        <w:tblCellMar>
          <w:top w:w="15" w:type="dxa"/>
          <w:left w:w="15" w:type="dxa"/>
          <w:bottom w:w="15" w:type="dxa"/>
          <w:right w:w="15" w:type="dxa"/>
        </w:tblCellMar>
      </w:tblPrEx>
      <w:trPr>
        <w:wBefore w:w="0" w:type="dxa"/>
        <w:tblCellSpacing w:w="15" w:type="dxa"/>
      </w:trPr>
      <w:tc>
        <w:tcPr>
          <w:tcW w:w="0" w:type="auto"/>
          <w:noWrap w:val="0"/>
          <w:tcMar>
            <w:top w:w="15" w:type="dxa"/>
            <w:left w:w="15" w:type="dxa"/>
            <w:bottom w:w="15" w:type="dxa"/>
            <w:right w:w="15" w:type="dxa"/>
          </w:tcMar>
          <w:vAlign w:val="center"/>
        </w:tcPr>
        <w:p w14:paraId="2EA5A512">
          <w:pPr>
            <w:rPr>
              <w:rFonts w:ascii="Times New Roman" w:hAnsi="Times New Roman" w:eastAsia="Times New Roman" w:cs="Times New Roman"/>
              <w:b w:val="0"/>
              <w:bCs w:val="0"/>
              <w:i w:val="0"/>
              <w:iCs w:val="0"/>
              <w:smallCaps w:val="0"/>
              <w:color w:val="000000"/>
              <w:sz w:val="24"/>
              <w:szCs w:val="24"/>
              <w:lang/>
            </w:rPr>
          </w:pPr>
          <w:r>
            <w:rPr>
              <w:rFonts w:ascii="Times New Roman" w:hAnsi="Times New Roman" w:eastAsia="Times New Roman" w:cs="Times New Roman"/>
              <w:b w:val="0"/>
              <w:bCs w:val="0"/>
              <w:i w:val="0"/>
              <w:iCs w:val="0"/>
              <w:smallCaps w:val="0"/>
              <w:strike w:val="0"/>
              <w:color w:val="000000"/>
              <w:u w:val="none"/>
              <w:lang/>
            </w:rPr>
            <w:drawing>
              <wp:inline distT="0" distB="0" distL="114300" distR="114300">
                <wp:extent cx="1733550" cy="304800"/>
                <wp:effectExtent l="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1733550" cy="304800"/>
                        </a:xfrm>
                        <a:prstGeom prst="rect">
                          <a:avLst/>
                        </a:prstGeom>
                        <a:noFill/>
                        <a:ln>
                          <a:noFill/>
                        </a:ln>
                      </pic:spPr>
                    </pic:pic>
                  </a:graphicData>
                </a:graphic>
              </wp:inline>
            </w:drawing>
          </w:r>
        </w:p>
      </w:tc>
      <w:tc>
        <w:tcPr>
          <w:tcW w:w="0" w:type="auto"/>
          <w:noWrap w:val="0"/>
          <w:tcMar>
            <w:top w:w="15" w:type="dxa"/>
            <w:left w:w="15" w:type="dxa"/>
            <w:bottom w:w="15" w:type="dxa"/>
            <w:right w:w="15" w:type="dxa"/>
          </w:tcMar>
          <w:vAlign w:val="center"/>
        </w:tcPr>
        <w:p w14:paraId="53C55476">
          <w:pPr>
            <w:jc w:val="right"/>
            <w:rPr>
              <w:rFonts w:ascii="宋体" w:hAnsi="宋体" w:eastAsia="宋体" w:cs="宋体"/>
              <w:b w:val="0"/>
              <w:bCs w:val="0"/>
              <w:i w:val="0"/>
              <w:iCs w:val="0"/>
              <w:smallCaps w:val="0"/>
              <w:color w:val="000000"/>
              <w:sz w:val="23"/>
              <w:szCs w:val="23"/>
              <w:lang/>
            </w:rPr>
          </w:pPr>
          <w:r>
            <w:rPr>
              <w:rFonts w:ascii="宋体" w:hAnsi="宋体" w:eastAsia="宋体" w:cs="宋体"/>
              <w:b w:val="0"/>
              <w:bCs w:val="0"/>
              <w:i w:val="0"/>
              <w:iCs w:val="0"/>
              <w:smallCaps w:val="0"/>
              <w:color w:val="000000"/>
              <w:sz w:val="23"/>
              <w:szCs w:val="23"/>
              <w:lang/>
            </w:rPr>
            <w:t>【法宝引证码】CLI.A.1386588</w:t>
          </w:r>
        </w:p>
      </w:tc>
    </w:tr>
  </w:tbl>
  <w:p w14:paraId="77E511D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760D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noLineBreaksAfter w:lang="zh-CN" w:val="([{·‘“〈《「『【〔〖（．［｛￡￥"/>
  <w:noLineBreaksBefore w:lang="zh-CN" w:val="!),.:;?]}¨·ˇˉ―‖’”…∶、。〃々〉》」』】〕〗！＂＇），．：；？］｀｜｝～￠"/>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 w:val="20D23DD2"/>
    <w:rsid w:val="707B54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3">
    <w:name w:val="Normal (Web)"/>
    <w:basedOn w:val="1"/>
    <w:uiPriority w:val="0"/>
    <w:pPr>
      <w:spacing w:before="100" w:beforeAutospacing="1" w:after="10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paragraph" w:customStyle="1" w:styleId="8">
    <w:name w:val="fulltext-wrap"/>
    <w:basedOn w:val="1"/>
    <w:uiPriority w:val="0"/>
    <w:pPr>
      <w:pBdr>
        <w:top w:val="none" w:color="auto" w:sz="0" w:space="18"/>
        <w:left w:val="none" w:color="auto" w:sz="0" w:space="18"/>
        <w:bottom w:val="none" w:color="auto" w:sz="0" w:space="18"/>
        <w:right w:val="none" w:color="auto" w:sz="0" w:space="18"/>
      </w:pBdr>
    </w:pPr>
  </w:style>
  <w:style w:type="paragraph" w:customStyle="1" w:styleId="9">
    <w:name w:val="fulltext-wrap_title"/>
    <w:basedOn w:val="1"/>
    <w:uiPriority w:val="0"/>
    <w:pPr>
      <w:jc w:val="center"/>
    </w:pPr>
    <w:rPr>
      <w:sz w:val="30"/>
      <w:szCs w:val="30"/>
    </w:rPr>
  </w:style>
  <w:style w:type="paragraph" w:customStyle="1" w:styleId="10">
    <w:name w:val="div"/>
    <w:basedOn w:val="1"/>
    <w:uiPriority w:val="0"/>
    <w:pPr>
      <w:pBdr>
        <w:top w:val="none" w:color="auto" w:sz="0" w:space="0"/>
        <w:left w:val="none" w:color="auto" w:sz="0" w:space="0"/>
        <w:bottom w:val="none" w:color="auto" w:sz="0" w:space="0"/>
        <w:right w:val="none" w:color="auto" w:sz="0" w:space="0"/>
      </w:pBdr>
      <w:textAlignment w:val="baseline"/>
    </w:pPr>
    <w:rPr>
      <w:sz w:val="24"/>
      <w:szCs w:val="24"/>
      <w:vertAlign w:val="baseline"/>
    </w:rPr>
  </w:style>
  <w:style w:type="paragraph" w:customStyle="1" w:styleId="11">
    <w:name w:val="fulltext-wrap_fields"/>
    <w:basedOn w:val="1"/>
    <w:uiPriority w:val="0"/>
    <w:pPr>
      <w:pBdr>
        <w:top w:val="none" w:color="auto" w:sz="0" w:space="0"/>
        <w:left w:val="none" w:color="auto" w:sz="0" w:space="0"/>
        <w:bottom w:val="none" w:color="auto" w:sz="0" w:space="0"/>
        <w:right w:val="none" w:color="auto" w:sz="0" w:space="0"/>
      </w:pBdr>
      <w:shd w:val="clear" w:color="auto" w:fill="F7F7F7"/>
    </w:pPr>
    <w:rPr>
      <w:shd w:val="clear" w:color="auto" w:fill="F7F7F7"/>
    </w:rPr>
  </w:style>
  <w:style w:type="paragraph" w:customStyle="1" w:styleId="12">
    <w:name w:val="fulltext-wrap_fields_zhang"/>
    <w:basedOn w:val="1"/>
    <w:uiPriority w:val="0"/>
  </w:style>
  <w:style w:type="character" w:customStyle="1" w:styleId="13">
    <w:name w:val="fulltext-wrap_fields_ul_row"/>
    <w:basedOn w:val="5"/>
    <w:uiPriority w:val="0"/>
  </w:style>
  <w:style w:type="paragraph" w:customStyle="1" w:styleId="14">
    <w:name w:val="fulltext-wrap_fields_ul_li_box"/>
    <w:basedOn w:val="1"/>
    <w:uiPriority w:val="0"/>
    <w:pPr>
      <w:pBdr>
        <w:left w:val="none" w:color="auto" w:sz="0" w:space="0"/>
      </w:pBdr>
    </w:pPr>
  </w:style>
  <w:style w:type="character" w:customStyle="1" w:styleId="15">
    <w:name w:val="fulltext-wrap_fields_ul_li_box_strong"/>
    <w:basedOn w:val="5"/>
    <w:uiPriority w:val="0"/>
    <w:rPr>
      <w:color w:val="999999"/>
    </w:rPr>
  </w:style>
  <w:style w:type="character" w:customStyle="1" w:styleId="16">
    <w:name w:val="fulltext-wrap_fields_ul_li_a"/>
    <w:basedOn w:val="5"/>
    <w:uiPriority w:val="0"/>
    <w:rPr>
      <w:color w:val="218FC4"/>
    </w:rPr>
  </w:style>
  <w:style w:type="character" w:customStyle="1" w:styleId="17">
    <w:name w:val="fulltext-wrap_fields_ul_li_orange"/>
    <w:basedOn w:val="5"/>
    <w:uiPriority w:val="0"/>
    <w:rPr>
      <w:color w:val="FFFFFF"/>
      <w:sz w:val="21"/>
      <w:szCs w:val="21"/>
      <w:shd w:val="clear" w:color="auto" w:fill="FE9835"/>
    </w:rPr>
  </w:style>
  <w:style w:type="character" w:customStyle="1" w:styleId="18">
    <w:name w:val="fulltext-wrap_fields_ul_li"/>
    <w:basedOn w:val="5"/>
    <w:uiPriority w:val="0"/>
    <w:rPr>
      <w:color w:val="999999"/>
      <w:spacing w:val="0"/>
      <w:sz w:val="21"/>
      <w:szCs w:val="21"/>
    </w:rPr>
  </w:style>
  <w:style w:type="paragraph" w:customStyle="1" w:styleId="19">
    <w:name w:val="p"/>
    <w:basedOn w:val="1"/>
    <w:uiPriority w:val="0"/>
    <w:pPr>
      <w:pBdr>
        <w:top w:val="none" w:color="auto" w:sz="0" w:space="0"/>
        <w:left w:val="none" w:color="auto" w:sz="0" w:space="0"/>
        <w:bottom w:val="none" w:color="auto" w:sz="0" w:space="0"/>
        <w:right w:val="none" w:color="auto" w:sz="0" w:space="0"/>
      </w:pBdr>
      <w:textAlignment w:val="baseline"/>
    </w:pPr>
    <w:rPr>
      <w:kern w:val="0"/>
      <w:sz w:val="24"/>
      <w:lang w:val="en-US" w:eastAsia="zh-CN" w:bidi="ar"/>
    </w:rPr>
  </w:style>
  <w:style w:type="paragraph" w:customStyle="1" w:styleId="20">
    <w:name w:val="divFullText"/>
    <w:basedOn w:val="1"/>
    <w:uiPriority w:val="0"/>
    <w:pPr>
      <w:spacing w:line="600" w:lineRule="atLeast"/>
    </w:pPr>
    <w:rPr>
      <w:rFonts w:ascii="宋体" w:hAnsi="宋体" w:eastAsia="宋体" w:cs="宋体"/>
      <w:color w:val="000000"/>
      <w:sz w:val="27"/>
      <w:szCs w:val="27"/>
    </w:rPr>
  </w:style>
  <w:style w:type="character" w:customStyle="1" w:styleId="21">
    <w:name w:val="fulltext-wrap_navtiao"/>
    <w:basedOn w:val="5"/>
    <w:uiPriority w:val="0"/>
    <w:rPr>
      <w:b/>
      <w:bCs/>
    </w:rPr>
  </w:style>
  <w:style w:type="character" w:customStyle="1" w:styleId="22">
    <w:name w:val="fulltext-wrap_fulltext_a"/>
    <w:basedOn w:val="5"/>
    <w:uiPriority w:val="0"/>
    <w:rPr>
      <w:color w:val="218FC4"/>
    </w:rPr>
  </w:style>
  <w:style w:type="paragraph" w:customStyle="1" w:styleId="23">
    <w:name w:val="fulltext-wrap_fulltext_note-wrap"/>
    <w:basedOn w:val="1"/>
    <w:uiPriority w:val="0"/>
    <w:pPr>
      <w:pBdr>
        <w:top w:val="none" w:color="auto" w:sz="0" w:space="7"/>
        <w:left w:val="none" w:color="auto" w:sz="0" w:space="7"/>
        <w:bottom w:val="none" w:color="auto" w:sz="0" w:space="7"/>
        <w:right w:val="none" w:color="auto" w:sz="0" w:space="7"/>
      </w:pBdr>
      <w:shd w:val="clear" w:color="auto" w:fill="F6FAFF"/>
    </w:pPr>
    <w:rPr>
      <w:sz w:val="21"/>
      <w:szCs w:val="21"/>
      <w:shd w:val="clear" w:color="auto" w:fill="F6FAFF"/>
    </w:rPr>
  </w:style>
  <w:style w:type="character" w:customStyle="1" w:styleId="24">
    <w:name w:val="fulltext-wrap_fulltext_note-wrap_strong"/>
    <w:basedOn w:val="5"/>
    <w:uiPriority w:val="0"/>
    <w:rPr>
      <w:color w:val="8E1D1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Footnotes"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24</Pages>
  <Words>15909</Words>
  <Characters>17563</Characters>
  <Lines>1</Lines>
  <Paragraphs>1</Paragraphs>
  <TotalTime>1</TotalTime>
  <ScaleCrop>false</ScaleCrop>
  <LinksUpToDate>false</LinksUpToDate>
  <CharactersWithSpaces>17641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2026-08-17T02:11:30Z</dcterms:created>
  <dc:creator>我的请求权基础呢</dc:creator>
  <cp:lastModifiedBy>chinese-paper-format-skill</cp:lastModifiedBy>
  <dcterms:modified xsi:type="dcterms:W3CDTF">2026-08-17T02:17:30Z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eyJoZGlkIjoiYTY0NWU5YzU4NzY2YjVhMjU2MTk3NDI0YTA0NTI1NzIiLCJ1c2VySWQiOiI2MjA3NjE0ODYifQ==</vt:lpwstr>
  </property>
  <property fmtid="{D5CDD505-2E9C-101B-9397-08002B2CF9AE}" pid="3" name="KSOProductBuildVer">
    <vt:lpwstr>2052-12.1.0.28043</vt:lpwstr>
  </property>
  <property fmtid="{D5CDD505-2E9C-101B-9397-08002B2CF9AE}" pid="4" name="ICV">
    <vt:lpwstr>2135A5D53C5B4880A42A2142CC1AAF24_13</vt:lpwstr>
  </property>
</Properties>
</file>