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EC10F">
      <w:pPr>
        <w:pStyle w:val="9"/>
        <w:pBdr>
          <w:top w:val="none" w:color="auto" w:sz="0" w:space="0"/>
          <w:left w:val="none" w:color="auto" w:sz="0" w:space="0"/>
          <w:bottom w:val="none" w:color="auto" w:sz="0" w:space="0"/>
          <w:right w:val="none" w:color="auto" w:sz="0" w:space="0"/>
        </w:pBdr>
        <w:spacing w:before="0" w:after="225"/>
        <w:ind w:left="375" w:right="375"/>
        <w:textAlignment w:val="baseline"/>
        <w:rPr>
          <w:rFonts w:ascii="Arial" w:hAnsi="Arial" w:eastAsia="Arial" w:cs="Arial"/>
          <w:b/>
          <w:bCs/>
          <w:sz w:val="30"/>
          <w:szCs w:val="30"/>
          <w:lang/>
        </w:rPr>
      </w:pPr>
      <w:bookmarkStart w:id="16" w:name="_GoBack"/>
      <w:bookmarkEnd w:id="16"/>
      <w:r>
        <w:rPr>
          <w:rFonts w:ascii="Arial" w:hAnsi="Arial" w:eastAsia="Arial" w:cs="Arial"/>
          <w:b/>
          <w:bCs/>
          <w:lang/>
        </w:rPr>
        <w:t>合同无效与履约保证金返还——探索超越“全有或全无”的第三条道路</w:t>
      </w:r>
    </w:p>
    <w:p w14:paraId="16BE69C8">
      <w:pPr>
        <w:pStyle w:val="19"/>
        <w:pBdr>
          <w:top w:val="none" w:color="auto" w:sz="0" w:space="0"/>
          <w:left w:val="none" w:color="auto" w:sz="0" w:space="0"/>
          <w:bottom w:val="none" w:color="auto" w:sz="0" w:space="0"/>
          <w:right w:val="none" w:color="auto" w:sz="0" w:space="0"/>
        </w:pBdr>
        <w:spacing w:before="0" w:after="0" w:line="600" w:lineRule="atLeast"/>
        <w:ind w:left="375" w:right="375" w:firstLine="540"/>
        <w:rPr>
          <w:rFonts w:hint="eastAsia" w:ascii="宋体" w:hAnsi="宋体" w:eastAsia="宋体" w:cs="宋体"/>
          <w:color w:val="000000"/>
          <w:sz w:val="27"/>
          <w:szCs w:val="27"/>
          <w:vertAlign w:val="baseline"/>
          <w:lang/>
        </w:rPr>
      </w:pPr>
      <w:bookmarkStart w:id="0" w:name="sort_1"/>
      <w:bookmarkEnd w:id="0"/>
      <w:r>
        <w:rPr>
          <w:rFonts w:hint="eastAsia" w:ascii="宋体" w:hAnsi="宋体" w:eastAsia="宋体" w:cs="宋体"/>
          <w:color w:val="000000"/>
          <w:sz w:val="27"/>
          <w:szCs w:val="27"/>
          <w:vertAlign w:val="baseline"/>
          <w:lang/>
        </w:rPr>
        <w:t>摘要： 因合同无效，基于该合同给付的履约保证金依法可以主张返还，相应的返还请求权通常是给付不当得利返还请求权。履约保证金作为给付不当得利请求返还，通常作为“返还财产”即为已足，无须“折价补偿”（价额偿还）。“得利”可以表现为对金钱的受领，“返还财产”则须依不当得利法则确定其返还的方法与范围，可能但却并非必然是当初所受领的金钱。在接力给付形成给付链条且两份合同均属无效（双重瑕疵）场合，善意的接力给付人的现存利益可能表现为其对第三人的不当得利请求权，该请求权作为接力给付人所受领履约保证金的代偿物，构成相应的返还客体。这种“双重不当得利请求权”能够精准对应当事人事先对于履约保证金返还风险的分配，因其给予每个人其所应得，故更为公正。</w:t>
      </w:r>
      <w:r>
        <w:rPr>
          <w:vertAlign w:val="superscript"/>
        </w:rPr>
        <w:footnoteReference w:id="1"/>
      </w:r>
    </w:p>
    <w:p w14:paraId="2DA72BD4">
      <w:pPr>
        <w:pStyle w:val="19"/>
        <w:pBdr>
          <w:top w:val="none" w:color="auto" w:sz="0" w:space="0"/>
          <w:left w:val="none" w:color="auto" w:sz="0" w:space="0"/>
          <w:bottom w:val="none" w:color="auto" w:sz="0" w:space="0"/>
          <w:right w:val="none" w:color="auto" w:sz="0" w:space="0"/>
        </w:pBdr>
        <w:spacing w:before="0" w:after="0" w:line="600" w:lineRule="atLeast"/>
        <w:ind w:left="375" w:right="375" w:firstLine="540"/>
        <w:rPr>
          <w:rFonts w:ascii="宋体" w:hAnsi="宋体" w:eastAsia="宋体" w:cs="宋体"/>
          <w:color w:val="000000"/>
          <w:sz w:val="27"/>
          <w:szCs w:val="27"/>
          <w:vertAlign w:val="baseline"/>
          <w:lang/>
        </w:rPr>
      </w:pPr>
      <w:r>
        <w:rPr>
          <w:rFonts w:hint="eastAsia" w:ascii="宋体" w:hAnsi="宋体" w:eastAsia="宋体" w:cs="宋体"/>
          <w:color w:val="000000"/>
          <w:sz w:val="27"/>
          <w:szCs w:val="27"/>
          <w:vertAlign w:val="baseline"/>
          <w:lang/>
        </w:rPr>
        <w:t>关键词： 不当得利 履约保证金 返还财产 代偿物 给付链条</w:t>
      </w:r>
      <w:r>
        <w:rPr>
          <w:vertAlign w:val="superscript"/>
        </w:rPr>
        <w:footnoteReference w:id="2"/>
      </w:r>
    </w:p>
    <w:p w14:paraId="7E1300AD">
      <w:pPr>
        <w:pStyle w:val="19"/>
        <w:pBdr>
          <w:top w:val="none" w:color="auto" w:sz="0" w:space="0"/>
          <w:left w:val="none" w:color="auto" w:sz="0" w:space="0"/>
          <w:bottom w:val="none" w:color="auto" w:sz="0" w:space="0"/>
          <w:right w:val="none" w:color="auto" w:sz="0" w:space="0"/>
        </w:pBdr>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一、引言</w:t>
      </w:r>
      <w:r>
        <w:rPr>
          <w:vertAlign w:val="superscript"/>
        </w:rPr>
        <w:footnoteReference w:id="3"/>
      </w:r>
    </w:p>
    <w:p w14:paraId="5D9A642E">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民法学是实用科学，以为实践问题提供解决方案为其正当性基础，因而学理与裁判应彼此密切结合，法律人的目光应往返穿梭于学理与裁判实例，发现真问题，思考合理的解决方案，或可借此而使学理与裁判各有提升。</w:t>
      </w:r>
      <w:r>
        <w:rPr>
          <w:vertAlign w:val="superscript"/>
        </w:rPr>
        <w:footnoteReference w:id="4"/>
      </w:r>
    </w:p>
    <w:p w14:paraId="39A3F52B">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设若A公司经正常招投标程序将某工程项目发包给了Z建筑公司，Z又将该工程转包给了自然人Y，Y又以“合作”之名将工程的一半分给自然人X。X及Y作为自然人，均无建设工程施工资质。A与Z的《建设工程施工合同》约定，“承包人在合同签订后一周内向发包人提供200万元履约保证金，履约保证金在承包人正式进场施工后5个工作日内由发包人一次性无息返还”。Z将工程转包给Y时，在《转包合同》中依样约定“转包人应承担施工合同中承包人的工程担保责任（即200万元履约保证金），承包人应在建设单位返还工程担保金后3个工作日内一次性退还给转包人”。Y与X在其《合作协议》中约定，“X应承担施工合同中Y的工程担保责任，即X在合同签订后一周内向发包方提供100万元履约保证金，履约保证金在X正式进场施工后由Y在5个工作日内一次性无息返还”。上述合同签订后，X依约向Y指定账户支付了100万元；Y向Z账户支付了200万元；Z向A支付了履约保证金200万元。此后，由于A资金链断裂，工程停滞，无论X还是Y抑或其施工队伍，均没有实际进场施工。A虽想方设法，终未解决资金问题，此种状态一晃持续数年。X最终失去耐心，向法院提起诉讼，要求Y返还履约保证金并支付利息、承担因违约所产生的费用等。</w:t>
      </w:r>
      <w:r>
        <w:rPr>
          <w:vertAlign w:val="superscript"/>
        </w:rPr>
        <w:footnoteReference w:id="5"/>
      </w:r>
    </w:p>
    <w:p w14:paraId="0F1BFDC4">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由此例可知，在建设工程施工合同中，施工人往往被要求先缴纳一笔履约保证金。如果遇到了转包或者违法分包，相应的施工合同在司法实践中通常会被认定为无效[1]，相应地，履约保证金应如何返还，看似简单，但司法裁判方法不一。其中，涉及履约保证金返还请求权基础何在，该请求权的性质如何（是约定请求权抑或法定请求权、物权请求权抑或债权请求权），是不当得利抑或损害赔偿请求权，这些问题都需要学界对其进行清晰界定。另外，不当得利法与损害赔偿法背后的理念差异及法规则也有进一步探讨的必要。从履约保证金或可以小见大，检视《</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中华人民共和国民法典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》（以下简称《</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》）的体系关联。</w:t>
      </w:r>
      <w:r>
        <w:rPr>
          <w:vertAlign w:val="superscript"/>
        </w:rPr>
        <w:footnoteReference w:id="6"/>
      </w:r>
    </w:p>
    <w:p w14:paraId="322A7757">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图1 多合同关系与给付链条</w:t>
      </w:r>
      <w:r>
        <w:rPr>
          <w:vertAlign w:val="superscript"/>
        </w:rPr>
        <w:footnoteReference w:id="7"/>
      </w:r>
    </w:p>
    <w:p w14:paraId="008087C9">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图1略</w:t>
      </w:r>
      <w:r>
        <w:rPr>
          <w:vertAlign w:val="superscript"/>
        </w:rPr>
        <w:footnoteReference w:id="8"/>
      </w:r>
    </w:p>
    <w:p w14:paraId="5335DA1B">
      <w:pPr>
        <w:pStyle w:val="19"/>
        <w:spacing w:before="0" w:after="0" w:line="600" w:lineRule="atLeast"/>
        <w:ind w:left="375" w:right="375" w:firstLine="540"/>
        <w:rPr>
          <w:rFonts w:ascii="宋体" w:hAnsi="宋体" w:eastAsia="宋体" w:cs="宋体"/>
          <w:color w:val="000000"/>
          <w:sz w:val="27"/>
          <w:szCs w:val="27"/>
          <w:lang/>
        </w:rPr>
      </w:pPr>
      <w:bookmarkStart w:id="1" w:name="sort_2"/>
      <w:bookmarkEnd w:id="1"/>
      <w:r>
        <w:rPr>
          <w:rFonts w:ascii="宋体" w:hAnsi="宋体" w:eastAsia="宋体" w:cs="宋体"/>
          <w:color w:val="000000"/>
          <w:sz w:val="27"/>
          <w:szCs w:val="27"/>
          <w:vertAlign w:val="baseline"/>
          <w:lang/>
        </w:rPr>
        <w:t>二、履约保证金条款及其效力</w:t>
      </w:r>
      <w:r>
        <w:rPr>
          <w:vertAlign w:val="superscript"/>
        </w:rPr>
        <w:footnoteReference w:id="9"/>
      </w:r>
    </w:p>
    <w:p w14:paraId="58508BB4">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履约保证金（或称“投标保证金”“参选保证金”等），不仅是合同实务中的存在，在法律法规中也有出现，比如《</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"https://www.pkulaw.com/chl/eb84b457e4189187bdfb.html?way=textSlc"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中华人民共和国招标投标法</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》（2017修正）第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"https://www.pkulaw.com/chl/eb84b457e4189187bdfb.html?way=textSlc" \l "tiao_46"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46</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第2款规定：“招标文件要求中标人提交履约保证金的，中标人应当提交。”第60条第1款规定：“中标人不履行与招标人订立的合同的，履约保证金不予退还，给招标人造成的损失超过履约保证金数额的，还应当对超过部分予以赔偿；没有提交履约保证金的，应当对招标人的损失承担赔偿责任。”《</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"https://www.pkulaw.com/chl/e7f93f8a4b71aef3bdfb.html?way=textSlc"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中华人民共和国招标投标法实施条例</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》（2019修订）第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"https://www.pkulaw.com/chl/e7f93f8a4b71aef3bdfb.html?way=textSlc" \l "tiao_58"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58</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规定：“招标文件要求中标人提交履约保证金的，中标人应当按照招标文件的要求提交。履约保证金不得超过中标合同金额的10%。”在招标投标法语境中，履约保证金具有如下特点：（1）它是由招标文件所要求，投标人参与竞标，即默示同意提交履约保证金，进而构成双方约定的内容。因而，履约保证金的发生是基于当事人的意思，而非法律的一般性要求。（2）它是用于保障招投标所订合同的履行，而且只制约中标人，不制约招标人；因而，它不同于违约定金，不具有双向制约属性。（3）法律拟制其为中标人违约时的最低赔偿额，如招标人所受损失更大，就超出的部分仍可继续请求赔偿。（4）规范对履约保证金金额有管制，即不得超过中标合同金额的10%。</w:t>
      </w:r>
      <w:r>
        <w:rPr>
          <w:vertAlign w:val="superscript"/>
        </w:rPr>
        <w:footnoteReference w:id="10"/>
      </w:r>
    </w:p>
    <w:p w14:paraId="5796C809">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除必须招标的工程建设项目（《</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"https://www.pkulaw.com/chl/eb84b457e4189187bdfb.html?way=textSlc"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中华人民共和国招标投标法</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"https://www.pkulaw.com/chl/eb84b457e4189187bdfb.html?way=textSlc" \l "tiao_3"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3</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外，当事人缔约时也可能要求先给付履约保证金，该场合的履约保证金则应依合同解释，确定其效力。比如，承包人可能与分包人约定，“分包人应承担承包人在施工合同中的工程担保责任，在合同签订后一个工作周内向发包方提供履约保证金若干，履约保证金在分包人正式进场施工后由承包人5个工作日内一次性无息返还”。该约定虽称“履约保证金”，从其内容来看，像是对于“进场施工”的担保，但并未约定届时如不进场施工则予以没收，实质上更像是：（1）在进场施工前展示其对于合同的真诚（Seriousness，认真性）；（2）对此笔金钱的无息可用性之赋予。总之，“履约保证金”虽是出现在《合作协议》中，此项金钱的支付，更像是当事人获得施工机会的“敲门砖”，不缴纳则不足以显示分包人的真诚性。</w:t>
      </w:r>
      <w:r>
        <w:rPr>
          <w:vertAlign w:val="superscript"/>
        </w:rPr>
        <w:footnoteReference w:id="11"/>
      </w:r>
    </w:p>
    <w:p w14:paraId="61948381">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就本文开头案例而言，“履约保证金”最初是出现在《建设工程施工合同》中，其后出现在《转包合同》中，最终出现在《合作协议》中。这笔钱（200万元）从一开始就确定收取的主体是发包方，保证金的提供方原本是承包方（Z），承包方通过合同将其义务转嫁给了Y，Y最终通过协议让X分担了上述义务的一半（100万元）。Y及X，作为自然人，无论是通过“转包”还是“分包”，无非想有活干、有钱挣，为此，要先拿出“敲门砖”来。如此，有活干（获得施工工程）是目的，共同出资支付“履约保证金”纯属手段；一般在施工合同中，构成给付与对待给付的是工程施工与支付工程价款，支付履约保证金并非施工合同的必要组成部分，而是外在于上述给付与对待给付的单方义务，甚至在很多场合，它先于施工合同存在，具有一定的独立性。由于履约保证金的手段属性，往往相应的约定会依托于施工合同等基础合同。在施工合同效力瑕疵场合（比如“转包”或“分包”无效）[2]，履约保证金条款也相应一并失其效力。给付人会审时度势，提起诉讼，主张返还履约保证金。对于此类诉求，法院一般遵循“要么全有、要么全无”（all or nothing）的处理模式，即要么支持，要么不支持。[3]对此，法律人在检视相应请求权基础的同时还应思考：究竟如何能在当事人之间实现公正？在设例情形，是否存在超越“全有全无”的“第三条道路”？</w:t>
      </w:r>
      <w:r>
        <w:rPr>
          <w:vertAlign w:val="superscript"/>
        </w:rPr>
        <w:footnoteReference w:id="12"/>
      </w:r>
    </w:p>
    <w:p w14:paraId="0D502635">
      <w:pPr>
        <w:pStyle w:val="19"/>
        <w:spacing w:before="0" w:after="0" w:line="600" w:lineRule="atLeast"/>
        <w:ind w:left="375" w:right="375" w:firstLine="540"/>
        <w:rPr>
          <w:rFonts w:ascii="宋体" w:hAnsi="宋体" w:eastAsia="宋体" w:cs="宋体"/>
          <w:color w:val="000000"/>
          <w:sz w:val="27"/>
          <w:szCs w:val="27"/>
          <w:lang/>
        </w:rPr>
      </w:pPr>
      <w:bookmarkStart w:id="2" w:name="sort_3"/>
      <w:bookmarkEnd w:id="2"/>
      <w:r>
        <w:rPr>
          <w:rFonts w:ascii="宋体" w:hAnsi="宋体" w:eastAsia="宋体" w:cs="宋体"/>
          <w:color w:val="000000"/>
          <w:sz w:val="27"/>
          <w:szCs w:val="27"/>
          <w:vertAlign w:val="baseline"/>
          <w:lang/>
        </w:rPr>
        <w:t>三、合同无效场合可能的返还请求权</w:t>
      </w:r>
      <w:r>
        <w:rPr>
          <w:vertAlign w:val="superscript"/>
        </w:rPr>
        <w:footnoteReference w:id="13"/>
      </w:r>
    </w:p>
    <w:p w14:paraId="0BACF108">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本文所关注的是合同无效的法律后果，特别是对已给付履约保证金的返还请求。依据《</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"tiao_157"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157</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条，民事法律行为无效，行为人因该行为取得的财产，应当予以返还。这是对取得财产方的财产返还义务的规定，源于原《</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"https://www.pkulaw.com/chl/27f092abe1cd5ab4bdfb.html?way=textSlc"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民法通则</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"https://www.pkulaw.com/chl/27f092abe1cd5ab4bdfb.html?way=textSlc" \l "tiao_61"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61</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条第1款及原《</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"https://www.pkulaw.com/chl/2367b1767194112cbdfb.html?way=textSlc"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合同法</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"https://www.pkulaw.com/chl/2367b1767194112cbdfb.html?way=textSlc" \l "tiao_58"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58</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条，作为《</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》总则编中的总括性规定，它在体系上与物权编、合同编（特别是作为准合同的不当得利）等的规定是何关系？与之相应的请求权是怎样的呢？值得深思。</w:t>
      </w:r>
      <w:r>
        <w:rPr>
          <w:vertAlign w:val="superscript"/>
        </w:rPr>
        <w:footnoteReference w:id="14"/>
      </w:r>
    </w:p>
    <w:p w14:paraId="34FDE0C0">
      <w:pPr>
        <w:pStyle w:val="19"/>
        <w:spacing w:before="0" w:after="0" w:line="600" w:lineRule="atLeast"/>
        <w:ind w:left="375" w:right="375" w:firstLine="540"/>
        <w:rPr>
          <w:rFonts w:ascii="宋体" w:hAnsi="宋体" w:eastAsia="宋体" w:cs="宋体"/>
          <w:color w:val="000000"/>
          <w:sz w:val="27"/>
          <w:szCs w:val="27"/>
          <w:lang/>
        </w:rPr>
      </w:pPr>
      <w:bookmarkStart w:id="3" w:name="sort_3_1"/>
      <w:bookmarkEnd w:id="3"/>
      <w:r>
        <w:rPr>
          <w:rFonts w:ascii="宋体" w:hAnsi="宋体" w:eastAsia="宋体" w:cs="宋体"/>
          <w:color w:val="000000"/>
          <w:sz w:val="27"/>
          <w:szCs w:val="27"/>
          <w:vertAlign w:val="baseline"/>
          <w:lang/>
        </w:rPr>
        <w:t>（一）履约保证金可否基于物权请求权要求返还</w:t>
      </w:r>
      <w:r>
        <w:rPr>
          <w:vertAlign w:val="superscript"/>
        </w:rPr>
        <w:footnoteReference w:id="15"/>
      </w:r>
    </w:p>
    <w:p w14:paraId="18CE780E">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金钱可否作为物权客体，进而可否基于原物返还请求权（《</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"tiao_235"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235</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要求返还？金钱具有特殊性，广为流传的一种说法是“金钱的占有即所有”。对此，有人从学理上质疑其准确性，并以金钱的混合（依添附规则发生占有人原始取得）来解释所有权与其权利客体的重配需要。[4]换言之，金钱虽然可以作为物权的客体，但其一般等价物的属性通常决定了，直接占有丧失后的返还请求权并非基于原物返还请求权，而只能是债权性的返还请求权。</w:t>
      </w:r>
      <w:r>
        <w:rPr>
          <w:vertAlign w:val="superscript"/>
        </w:rPr>
        <w:footnoteReference w:id="16"/>
      </w:r>
    </w:p>
    <w:p w14:paraId="4E04CDBA">
      <w:pPr>
        <w:pStyle w:val="19"/>
        <w:spacing w:before="0" w:after="0" w:line="600" w:lineRule="atLeast"/>
        <w:ind w:left="375" w:right="375" w:firstLine="540"/>
        <w:rPr>
          <w:rFonts w:ascii="宋体" w:hAnsi="宋体" w:eastAsia="宋体" w:cs="宋体"/>
          <w:color w:val="000000"/>
          <w:sz w:val="27"/>
          <w:szCs w:val="27"/>
          <w:lang/>
        </w:rPr>
      </w:pPr>
      <w:bookmarkStart w:id="4" w:name="sort_3_2"/>
      <w:bookmarkEnd w:id="4"/>
      <w:r>
        <w:rPr>
          <w:rFonts w:ascii="宋体" w:hAnsi="宋体" w:eastAsia="宋体" w:cs="宋体"/>
          <w:color w:val="000000"/>
          <w:sz w:val="27"/>
          <w:szCs w:val="27"/>
          <w:vertAlign w:val="baseline"/>
          <w:lang/>
        </w:rPr>
        <w:t>（二）可否基于赔偿请求权</w:t>
      </w:r>
      <w:r>
        <w:rPr>
          <w:vertAlign w:val="superscript"/>
        </w:rPr>
        <w:footnoteReference w:id="17"/>
      </w:r>
    </w:p>
    <w:p w14:paraId="2F8670FC">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"tiao_157"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157</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后段规定了法律行为无效场合的过错赔偿责任，履约保证金可否基于该赔偿请求权主张？这涉及对于返还请求权基本性质的认定，如果认定不清，则难免适用法律错误。比如，在司法实务中，在裁判履约保证金是否返还时，有判决明确援引了《</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"https://www.pkulaw.com/chl/743f5100efbdf451bdfb.html?way=textSlc"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最高人民法院关于审理建设工程施工合同纠纷案件适用法律问题的解释（一）</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"https://www.pkulaw.com/chl/743f5100efbdf451bdfb.html?way=textSlc" \l "tiao_6"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6</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条，该条正是关于赔偿损失的规定。</w:t>
      </w:r>
      <w:r>
        <w:rPr>
          <w:vertAlign w:val="superscript"/>
        </w:rPr>
        <w:footnoteReference w:id="18"/>
      </w:r>
    </w:p>
    <w:p w14:paraId="77CFE01D">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当然，如果说支付的履约保证金无法收回，进而以此作为损失，固无不可。不过，如果将履约保证金本金（而非利息）作为损失请求赔偿，此种路径选择一方面会面临赔偿责任构成要件（作为缔约过失责任要求过错、因果关系等要件）的考验，另一方面，也面临依过失相抵规则（比如双方对于合同无效都有过错）扣减赔偿额的可能性，缺点明显。</w:t>
      </w:r>
      <w:r>
        <w:rPr>
          <w:vertAlign w:val="superscript"/>
        </w:rPr>
        <w:footnoteReference w:id="19"/>
      </w:r>
    </w:p>
    <w:p w14:paraId="6DBB825B">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实践中，针对当事人要求返还履约保证金的诉讼请求，确有按照赔偿损失进行裁判的事例，比如，有法院判决认为，X、Y公司一致陈述双方存在口头协议转包涉案工程的关系，而X作为个人并不具备相应的资质，故双方口头达成的涉案暖通工程转包协议因违反了法律法规强制性规定，应认定无效。现涉案工程已停工烂尾，不具备进场施工条件，对X支付的27.5万元保证金目前无法退回的损失，双方均存在过错，法院酌情认定双方各自承担50%责任。[5]此种判法颇受质疑，比如该案上诉人认为：“即便双方所谓的口头转包协议无效，也应适用合同法第58条返还财产的规定，而非各自承担责任。合同无效或被撤销后，双方的财产状况即应恢复至合同订立前的情形。故无论接受财产的一方是否有过错都应当负有返还财产的义务。相关司法判例已确认在合同无效后，依据合同所取得的履约保证金应予以返还。在合同被确认无效或被撤销后，因此给对方造成的损失，由过错方承担损失赔偿责任。本案X并未主张损失，原审法院适用该条款有误。”[6]</w:t>
      </w:r>
      <w:r>
        <w:rPr>
          <w:vertAlign w:val="superscript"/>
        </w:rPr>
        <w:footnoteReference w:id="20"/>
      </w:r>
    </w:p>
    <w:p w14:paraId="62F3FD87">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上述案件一审判决虽然在二审获得了维持，但留下了值得探讨的问题。由于工程烂尾而导致履约保证金的返还遥遥无期，这究竟是损失还是风险？一审和二审法院均直接将此作为损失，并在当事人之间进行分摊，也可以算是一种超越“全有全无”的第三种裁判模式。可是，如果当事人就此种不利益事先已经分配给了某一方，而事后此种不利益实际发生，只要其发生与另一方当事人没有因果关系，或者不可归责于另一方当事人，就不应作为可赔损失而由另一方当事人负责。比如说工程烂尾，直接原因是建设单位资金链断裂，对于承包人及分包人来说，这便属于商业风险，它是由当事人缔约时无法预知的不确定因素所导致的不利益。如果说当事人在合同中将履约保证金的返还附在“进场施工”或者工程进展到某种程度之类“条件”的成就上，就已表明履约保证金给付人已自愿承担了该“条件”能否成就的风险，而一旦该风险实际发生，相应的不利益便应由该当事人承担，因为这符合其缔约时的意思，而不应由对方当事人负责。上述案例一、二审法院均按赔偿损失处理履约保证金是否返还的问题，根据过错程度，各打五十大板，看似公平，实际并不合理，该“第三条道路”不值得推荐。</w:t>
      </w:r>
      <w:r>
        <w:rPr>
          <w:vertAlign w:val="superscript"/>
        </w:rPr>
        <w:footnoteReference w:id="21"/>
      </w:r>
    </w:p>
    <w:p w14:paraId="204906F0">
      <w:pPr>
        <w:pStyle w:val="19"/>
        <w:spacing w:before="0" w:after="0" w:line="600" w:lineRule="atLeast"/>
        <w:ind w:left="375" w:right="375" w:firstLine="540"/>
        <w:rPr>
          <w:rFonts w:ascii="宋体" w:hAnsi="宋体" w:eastAsia="宋体" w:cs="宋体"/>
          <w:color w:val="000000"/>
          <w:sz w:val="27"/>
          <w:szCs w:val="27"/>
          <w:lang/>
        </w:rPr>
      </w:pPr>
      <w:bookmarkStart w:id="5" w:name="sort_3_3"/>
      <w:bookmarkEnd w:id="5"/>
      <w:r>
        <w:rPr>
          <w:rFonts w:ascii="宋体" w:hAnsi="宋体" w:eastAsia="宋体" w:cs="宋体"/>
          <w:color w:val="000000"/>
          <w:sz w:val="27"/>
          <w:szCs w:val="27"/>
          <w:vertAlign w:val="baseline"/>
          <w:lang/>
        </w:rPr>
        <w:t>（三）基于不当得利请求返还</w:t>
      </w:r>
      <w:r>
        <w:rPr>
          <w:vertAlign w:val="superscript"/>
        </w:rPr>
        <w:footnoteReference w:id="22"/>
      </w:r>
    </w:p>
    <w:p w14:paraId="253FEF54">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合同无效场合，对基于无效合同之履行而给付的金钱可作为不当得利请求返还，对此在一般学理上不存在异议。不过，如果落实到法条上，其具体的法律构成，则认识未必统一。换言之，不当得利返还请求的规范基础，是《</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"tiao_157"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157</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条中的哪一句？是“行为人因该行为取得的财产，应当予以返还”，抑或“不能返还或者没有必要返还的，应当折价补偿”？</w:t>
      </w:r>
      <w:r>
        <w:rPr>
          <w:vertAlign w:val="superscript"/>
        </w:rPr>
        <w:footnoteReference w:id="23"/>
      </w:r>
    </w:p>
    <w:p w14:paraId="3D339293">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立法机关所编写释义书中，返还财产包括货币的返还。如果当事人接受交付的是货币，应当返还货币。另外，如果原物已经灭失，造成无法实际返还的，如果存在可以替代的种类物，则应返还同一种类物。[7]如此，第157条中的“返还财产”本身可以涵盖金钱的返还。金钱基于其为一般等价物的属性，其返还通常并不要求须为原物，只要求返还同种金钱的相应金额，便已足够。如此，无须基于起初所给付的货币已不能返还而走向“折价补偿”。另外，也可由此获得一项认识：第157条所规定的返还财产，在财产表现为一般物的场合，其返还可以是《</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"tiao_235"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235</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条所规定的返还原物请求权（物权请求权）；在金钱场合，返还财产则是不当得利返还（债权请求权）。</w:t>
      </w:r>
      <w:r>
        <w:rPr>
          <w:vertAlign w:val="superscript"/>
        </w:rPr>
        <w:footnoteReference w:id="24"/>
      </w:r>
    </w:p>
    <w:p w14:paraId="0D47E888">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所给付的金钱已有所转换场合，特别是在涉及向第三人履行场合，比如给付人（X）明知履约保证金的收受人是第三人（A）而依然给付，进而转换成为履约保证金返还请求权（不论其为约定的请求权抑或法定的请求权），给付人以合同无效为由请求相对人（Y）返还，这时会面临相对人的抗辩：相对人只不过是履约保证金“接力”给付中的一环，并未实际占有X给付的金钱，不应返还金钱，但可以将其对第三人（Z或者A）的“返还请求权”让与给给付人（X）。如此，争议点便是，此时的“返还财产”究竟应返还什么（返还的客体）？是否必须为金钱？另外，不当得利法中的善意得利人得利丧失抗辩，在此场合是否有适用的可能（返还的范围）？对此，后文另行分析。基于返还财产以恢复原状为原则，而强调给付的是实物或者货币，原则上应返还原物或者货币，不能相互替代[8]，于此场合，显得过于简单和机械，如何将不当得利法规则一并纳入考量，从而在体系上做融贯解释，无疑是项新课题。</w:t>
      </w:r>
      <w:r>
        <w:rPr>
          <w:vertAlign w:val="superscript"/>
        </w:rPr>
        <w:footnoteReference w:id="25"/>
      </w:r>
    </w:p>
    <w:p w14:paraId="05508872">
      <w:pPr>
        <w:pStyle w:val="19"/>
        <w:spacing w:before="0" w:after="0" w:line="600" w:lineRule="atLeast"/>
        <w:ind w:left="375" w:right="375" w:firstLine="540"/>
        <w:rPr>
          <w:rFonts w:ascii="宋体" w:hAnsi="宋体" w:eastAsia="宋体" w:cs="宋体"/>
          <w:color w:val="000000"/>
          <w:sz w:val="27"/>
          <w:szCs w:val="27"/>
          <w:lang/>
        </w:rPr>
      </w:pPr>
      <w:bookmarkStart w:id="6" w:name="sort_4"/>
      <w:bookmarkEnd w:id="6"/>
      <w:r>
        <w:rPr>
          <w:rFonts w:ascii="宋体" w:hAnsi="宋体" w:eastAsia="宋体" w:cs="宋体"/>
          <w:color w:val="000000"/>
          <w:sz w:val="27"/>
          <w:szCs w:val="27"/>
          <w:vertAlign w:val="baseline"/>
          <w:lang/>
        </w:rPr>
        <w:t>四、“履约保证金”的给付与返还义务人</w:t>
      </w:r>
      <w:r>
        <w:rPr>
          <w:vertAlign w:val="superscript"/>
        </w:rPr>
        <w:footnoteReference w:id="26"/>
      </w:r>
    </w:p>
    <w:p w14:paraId="329C799F">
      <w:pPr>
        <w:pStyle w:val="19"/>
        <w:spacing w:before="0" w:after="0" w:line="600" w:lineRule="atLeast"/>
        <w:ind w:left="375" w:right="375" w:firstLine="540"/>
        <w:rPr>
          <w:rFonts w:ascii="宋体" w:hAnsi="宋体" w:eastAsia="宋体" w:cs="宋体"/>
          <w:color w:val="000000"/>
          <w:sz w:val="27"/>
          <w:szCs w:val="27"/>
          <w:lang/>
        </w:rPr>
      </w:pPr>
      <w:bookmarkStart w:id="7" w:name="sort_4_1"/>
      <w:bookmarkEnd w:id="7"/>
      <w:r>
        <w:rPr>
          <w:rFonts w:ascii="宋体" w:hAnsi="宋体" w:eastAsia="宋体" w:cs="宋体"/>
          <w:color w:val="000000"/>
          <w:sz w:val="27"/>
          <w:szCs w:val="27"/>
          <w:vertAlign w:val="baseline"/>
          <w:lang/>
        </w:rPr>
        <w:t>（一）履约保证金的给付及“给付目的”</w:t>
      </w:r>
      <w:r>
        <w:rPr>
          <w:vertAlign w:val="superscript"/>
        </w:rPr>
        <w:footnoteReference w:id="27"/>
      </w:r>
    </w:p>
    <w:p w14:paraId="565B8C7B">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本文开头设例，如示意图所示，涉及三个合同、四方主体，法律关系相对复杂，X起诉想讨回100万元，就要进一步分析其请求权的构成：基于什么、向谁要？因而，需要在《</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"tiao_157"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157</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条基础上，进一步分析其与《</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"tiao_122"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122</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条及第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"tiao_985"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985</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条的意义关联，特别是“没有法律根据”的内涵。</w:t>
      </w:r>
      <w:r>
        <w:rPr>
          <w:vertAlign w:val="superscript"/>
        </w:rPr>
        <w:footnoteReference w:id="28"/>
      </w:r>
    </w:p>
    <w:p w14:paraId="590B931C">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基于无效合同做出给付场合，不当得利被称为给付不当得利（Leistungskondiktion），相应地“没有法律根据”通常解释为“欠缺给付目的”[9]。给付不当得利意义上的给付（Leistung），是有意识且有目的地增加他人的整体财产（eine bewußte und zweckgerichtete Mehrung fremden Vermögens）。[10]因而，给付不等于单纯的财产“给予”（Zuwendung）。在案件中，分析“给付目的（Leistungszweck）”有两项重要功能：其一，通过给付目的，确定给付是否具有法律上的原因（Rechtsgrund,法律根据）；其二，给付目的用以确定给付不当得利的当事人：给付人（和不当得利的债权人）是确立给付目的的人；给付受领人（和不当得利的债务人），是目的针对的人。[11]</w:t>
      </w:r>
      <w:r>
        <w:rPr>
          <w:vertAlign w:val="superscript"/>
        </w:rPr>
        <w:footnoteReference w:id="29"/>
      </w:r>
    </w:p>
    <w:p w14:paraId="0E444106">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就第一点而言，X分两次向Y指定账户转账100万元，这是在依其与Y的约定“向发包方提供”履约保证金，是清偿X依其与Y的约定所负担的债务（清偿目的，即清偿自己的债务）。如果该约定被认定无效，则X所清偿的债务便丧失根据，相应的清偿也就自始无清偿目的。由此可见，当事人的约定无效，只是不发生法律行为所追求的法律效果，但无妨依对该约定的解释判断相应义务的给付目的及给付的原因是否存在。</w:t>
      </w:r>
      <w:r>
        <w:rPr>
          <w:vertAlign w:val="superscript"/>
        </w:rPr>
        <w:footnoteReference w:id="30"/>
      </w:r>
    </w:p>
    <w:p w14:paraId="0AE84209">
      <w:pPr>
        <w:pStyle w:val="19"/>
        <w:spacing w:before="0" w:after="0" w:line="600" w:lineRule="atLeast"/>
        <w:ind w:left="375" w:right="375" w:firstLine="540"/>
        <w:rPr>
          <w:rFonts w:ascii="宋体" w:hAnsi="宋体" w:eastAsia="宋体" w:cs="宋体"/>
          <w:color w:val="000000"/>
          <w:sz w:val="27"/>
          <w:szCs w:val="27"/>
          <w:lang/>
        </w:rPr>
      </w:pPr>
      <w:bookmarkStart w:id="8" w:name="sort_4_2"/>
      <w:bookmarkEnd w:id="8"/>
      <w:r>
        <w:rPr>
          <w:rFonts w:ascii="宋体" w:hAnsi="宋体" w:eastAsia="宋体" w:cs="宋体"/>
          <w:color w:val="000000"/>
          <w:sz w:val="27"/>
          <w:szCs w:val="27"/>
          <w:vertAlign w:val="baseline"/>
          <w:lang/>
        </w:rPr>
        <w:t>（二）返还义务人</w:t>
      </w:r>
      <w:r>
        <w:rPr>
          <w:vertAlign w:val="superscript"/>
        </w:rPr>
        <w:footnoteReference w:id="31"/>
      </w:r>
    </w:p>
    <w:p w14:paraId="2B0661BA">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就第二点“确定给付不当得利的当事人（die Parteien der Leistungskondiktion festzustellen）”而言，典型的困难情形出现在给付链条（Leistungsketten,或译“给付连锁”[12]）和三角关系（Dreiecksverhältnisse）案型中，其中谁可以向谁请求不当得利返还（kondizieren），无论过去还是现在，都极富争议。[13]以下就接力给付（或称顺次给付）形成的给付链条及三角关系（包括向第三人履行和第三人代为履行等），分别说明。</w:t>
      </w:r>
      <w:r>
        <w:rPr>
          <w:vertAlign w:val="superscript"/>
        </w:rPr>
        <w:footnoteReference w:id="32"/>
      </w:r>
    </w:p>
    <w:p w14:paraId="26CFA629">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给付链条的形成恰如接力棒传递，在设例中是X将钱汇给Y，Y再将钱汇给Z。三角关系与此有所不同，虽然同样是X对Y负有债务、Y对Z负有债务，但具体给付却是，X依Y的请求及指示将钱直接付给Z，没有经过Y。在给付链条场合，假如三人之间的两份合同均属无效，即所谓双重瑕疵（Doppelmangel）[14]，相应的返还请求也依各自的合同关系相对地展开，即X向Y请求返还、Y向Z请求返还。而在三角关系场合，给付关系是在X与Y之间，抑或在X与Z之间，认识不易统一。</w:t>
      </w:r>
      <w:r>
        <w:rPr>
          <w:vertAlign w:val="superscript"/>
        </w:rPr>
        <w:footnoteReference w:id="33"/>
      </w:r>
    </w:p>
    <w:p w14:paraId="2DB16940">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在向第三人履行场合，谁是这里给付目的针对的人？（1）假如Y向X提供的是A的账户，X依约也是要向发包方（A）提供履约保证金，这样就会形成一种“缩短给付”（abgekürzte Lieferung，缩短交付）。[15]如果X以其与Y的合同无效为由向A公司主张返还履约保证金100万元，A公司恐怕就要主张自己收取200万元履约保证金均系来自Z公司，是基于Z公司履行（哪怕Z公司委托第三人代为履行）有效的《建设工程施工合同》，故不构成给付不当得利。如此，X要求A返还不当得利便无法奏效。因而，关键要看给付人（X）履行的是对谁所负的债务，这也就是要判断其清偿目的。（2）在上述假定下，X可否要求Z返还不当得利呢？毕竟客观上，一方面X基于无效的合同向A给付了100万元履约保证金，另一方面，Z对A所负相应履约保证金债务因此而获清偿。如果X向Z请求返还不当得利，Z可以抗辩说自己已将债务转嫁给了Y，是Y负责200万元履约保证金的给付事宜，X不应越过Y直接向自己追索，即便Z与Y之间的合同无效，相应的返还只应由Y主张。如果Y与Z合同约定了仲裁条款，Y势必也会提出仲裁（而非诉讼）的抗辩。更根本的是，X向A支付100万元，目的是在清偿其对于Y约定的债务，X对于Z的债务没有清偿目的。（3）X只应向Y主张不当得利返还。在约定了向第三人履行场合，原则上仍是债务人（给付人）履行其对于债权人（约定的相对人）的债务，这一点无论是在真正的利益第三人合同，还是在不真正利益第三人合同场合（比如，X与Y虽约定“向发包方提供”，但各方的意思是明确的，A的请求权根据在于其与Z的合同，而非X与Y的合同；因而，A只有一项金额为200万元的履约保证金请求权，尽管有多份合同，它们只是“串联”地存在，并非“并连”地赋予A多个请求权），结论相同，给付方向的改变并未改变相应的债权人。在设例中，X之所以向Y指定的账户汇款，其目的是在清偿自己在《合作协议》中对Y所负的债务。因而，在该协议无效场合，作为不当得利债务人，不是相应的第三人（Z），而只应是依该无效合同请求给付的债权人（Y）。</w:t>
      </w:r>
      <w:r>
        <w:rPr>
          <w:vertAlign w:val="superscript"/>
        </w:rPr>
        <w:footnoteReference w:id="34"/>
      </w:r>
    </w:p>
    <w:p w14:paraId="25B7F539">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一般学理上，也是借助于现代的给付观念，认为在法律上对给付链条和三角关系的处理须达到如下效果：避免X对Z的穿透追索（Durchgriff，或译“直索”），清算只在发生障碍的合同关系内部展开。[16]在实务中，由于未分清这层关系而判决两个主体（即向第三人履行之约定的债权人及第三人）共同返还履约保证金的事例，亦属有之。[17]</w:t>
      </w:r>
      <w:r>
        <w:rPr>
          <w:vertAlign w:val="superscript"/>
        </w:rPr>
        <w:footnoteReference w:id="35"/>
      </w:r>
    </w:p>
    <w:p w14:paraId="47FBDC72">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第三人代为履行场合，给付关系是存在于第三人与受领人之间，抑或存在于债务人与受领人之间，无论理论还是实务，争议极大。从中国裁判实例来看，在因“挂靠”而判定施工合同无效的事例中，就存在着履约保证金返还请求权人究竟是谁的争议。比如某法院认为，“由于长富广场公司确认其已收到合同约定的履约保证金，而当时签订合同时另一方是东深公司，现东深公司自认上述履约保证金属莫某所有，因此，应当确认长富广场公司收到的270万元的履约保证金属莫某所有。由于合同无效，长富广场公司依据合同取得的履约保证金应当返还莫某”[18]。这一立场，与德国通说不谋而合。不过，德国也有反对该通说的意见，认为将第三人（比如挂靠人莫某）清偿承包人（被挂靠的东深公司）的债务的目的认为是第三人与发包人（长富广场公司）之间的给付目的是说不通的，根据现代的给付观念，第三人对发包人本身没有给付目的。尽管第三人遵循的目的是清偿债务，但是其清偿的并非他自己的债务，而是承包人的债务。因此，第三人想要为承包人向发包人给付，根据第三人给付的规定（《德国民法典》第267条，中国《</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"tiao_524"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524</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条），给付存在于承包人与发包人之间在，而非第三人与发包人之间在，从而排除第三人对发包人的给付型不当得利请求权的成立。[19]</w:t>
      </w:r>
      <w:r>
        <w:rPr>
          <w:vertAlign w:val="superscript"/>
        </w:rPr>
        <w:footnoteReference w:id="36"/>
      </w:r>
    </w:p>
    <w:p w14:paraId="1A4F336B">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回到本文设例，由于X并非向A公司直接给付进而形成三角关系，而是X按Y的指示支付了100万元，Y向Z公司支付了200万元（给付链条）。给付不同，各有其目的。这里虽然有“向第三人履行”的约定，但实际操作均是按各个合同中的“甲方”的指示（或者直接向“甲方”）转账，没有“缩短给付”。因而，宜分别认定为“乙方”向“甲方”的给付。即便在“缩短给付”形成的三角关系案型，依现代给付观念，也是将该“缩短给付”依给付目的做逻辑上的拆分。无论如何，如果要求返还的话，“乙方”请求的对象只能是相应的“甲方”。具体而言，X要求Y返还100万元，Y要求Z公司返还200万元。</w:t>
      </w:r>
      <w:r>
        <w:rPr>
          <w:vertAlign w:val="superscript"/>
        </w:rPr>
        <w:footnoteReference w:id="37"/>
      </w:r>
    </w:p>
    <w:p w14:paraId="1E424BE7">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接下来的问题是，这里作为不当得利要求返还的“利益”，究竟是什么。对于“接力给付”或者三角关系中履约保证金的返还，实践中常见的做法是，基于合同相对性，裁判由合同相对人以金钱形式返还履约保证金。[20]对于此处的问题没有意识，更欠缺反思精神。</w:t>
      </w:r>
    </w:p>
    <w:p w14:paraId="53F0478F">
      <w:pPr>
        <w:pStyle w:val="19"/>
        <w:spacing w:before="0" w:after="0" w:line="600" w:lineRule="atLeast"/>
        <w:ind w:left="375" w:right="375" w:firstLine="540"/>
        <w:rPr>
          <w:rFonts w:ascii="宋体" w:hAnsi="宋体" w:eastAsia="宋体" w:cs="宋体"/>
          <w:color w:val="000000"/>
          <w:sz w:val="27"/>
          <w:szCs w:val="27"/>
          <w:lang/>
        </w:rPr>
      </w:pPr>
      <w:bookmarkStart w:id="9" w:name="sort_5"/>
      <w:bookmarkEnd w:id="9"/>
      <w:r>
        <w:rPr>
          <w:rFonts w:ascii="宋体" w:hAnsi="宋体" w:eastAsia="宋体" w:cs="宋体"/>
          <w:color w:val="000000"/>
          <w:sz w:val="27"/>
          <w:szCs w:val="27"/>
          <w:vertAlign w:val="baseline"/>
          <w:lang/>
        </w:rPr>
        <w:t>五、接力给付人“得利”返还的客体与范围</w:t>
      </w:r>
    </w:p>
    <w:p w14:paraId="243DD255">
      <w:pPr>
        <w:pStyle w:val="19"/>
        <w:spacing w:before="0" w:after="0" w:line="600" w:lineRule="atLeast"/>
        <w:ind w:left="375" w:right="375" w:firstLine="540"/>
        <w:rPr>
          <w:rFonts w:ascii="宋体" w:hAnsi="宋体" w:eastAsia="宋体" w:cs="宋体"/>
          <w:color w:val="000000"/>
          <w:sz w:val="27"/>
          <w:szCs w:val="27"/>
          <w:lang/>
        </w:rPr>
      </w:pPr>
      <w:bookmarkStart w:id="10" w:name="sort_5_1"/>
      <w:bookmarkEnd w:id="10"/>
      <w:r>
        <w:rPr>
          <w:rFonts w:ascii="宋体" w:hAnsi="宋体" w:eastAsia="宋体" w:cs="宋体"/>
          <w:color w:val="000000"/>
          <w:sz w:val="27"/>
          <w:szCs w:val="27"/>
          <w:vertAlign w:val="baseline"/>
          <w:lang/>
        </w:rPr>
        <w:t>（一）接力给付人的“得利”及返还的客体</w:t>
      </w:r>
    </w:p>
    <w:p w14:paraId="6212DF3A">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就不当得利请求权的客体，《</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"tiao_122"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122</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条及第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"tiao_985"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985</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条均使用“不当利益”一语，不过，一般学理通常参照我国台湾地区“民法”第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"tiao_181"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181</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解释为“所受利益”及“本于该利益更有所取得”，后者可包括：（1）原物的用益（孳息及使用利益）；（2）基于权利的所得（如基于债权所受清偿）；（3）原物的代偿物。[21]至于返还所受利益以原物返还为原则，以价额偿还为例，则是返还的方法。[22]</w:t>
      </w:r>
    </w:p>
    <w:p w14:paraId="6A242187">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法理逻辑上，自是先有不当得利请求权的成立，其后方能讨论该请求权的主张以及义务人对于得利的返还或者偿还。如此，不当得利请求权的客体，在权利是否成立层面，自应以权利发生时为准据（在给付不当得利场合，也就是给付时）。及至不当得利被请求返还时，所受领的财产往往发生变化，比如，给付的可消费物已被消费、支付的金钱已被使用或转出，如此，所受利益是否尚存，立法虽未明定其时点，解释上往往主张以受返还请求之时为准。[23]如此，不当得利请求权的客体，似应区分两层意思：在该请求权是否成立层面（构成要件）固然有其价值，及至权利人主张该权利时，无论不当得利返还的方法抑或返还的范围（法律效果），尚要面临可行性等的考验，进而权利的客体未必就是最终返还的实际内容。换言之，前者所指往往是因不当得利过程所取得的个别、具体的利益，后者则是就受领人的整体财产所认定的应返还的现存利益（Bereicherung）。[24]此二者在法条上虽不易明确区分，“返还取得的利益”确实易使人以为二者实为一事，如果如此认识，则不免简单化，若以之指导裁判思维，则易致“全有或全无”的结果。</w:t>
      </w:r>
    </w:p>
    <w:p w14:paraId="57E45223">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聚焦于开篇所示案例，其中履约保证金的支付表现为“接力给付”，并形成给付链条，即X向Y（指定的）账号转账100万元，Y向Z公司转账200万元，最后，由Z公司向A公司转账200万元。[25]在“接力给付”的状态下，X向Y指定账号支付的100万元，哪怕这钱在该账号上停留时间很短，也仍然可以说是X对于Y的给付，如此说来Y因此所获得的利益便是100万元，属于积极的财产增加（positive Vermögensmehrung）。在X的不当得利请求权成立意义上，可以说Y因X的给付获得过100万元。</w:t>
      </w:r>
    </w:p>
    <w:p w14:paraId="530C95E1">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可是，X要求Y返还不当得利时，是否给付了100万元就必须返还100万元，则涉及不当得利返还的方法与范围问题。不当得利的基本理念是消除得利人不当获取的利益，在X要求Y返还不当得利时，则应该审视何为Y的现存利益。依据X与Y当初的合意，该X的100万元是用于支付发包方所要求的履约保证金，这也可以说是X给付目的的进一步具体化，仅仅让钱停留在Y的账号上，既非给付的目的，也是Y对X的违约。如此，Y自然要继续“接力给付”，即向Z给付（相应的债务是200万元）。在《转包合同》被认定为无效的前提下，Y同理也可以向Z公司主张返还，由于《合作协议》及《转包合同》均无效，学理称此为“双重瑕疵”。如此，在X要求Y返还不当得利时，Y是否有所“得利”，应就受领人的财产总额加以认定。准此以言，Y现尚存在的利益，而应返还于X的，系对Z的不当得利请求权。因此，Y应依债权让与的方式，将其对Z的不当得利返还请求权移转于X。在X与Y的合同以及Y与Z的合同均无效（双重瑕疵）的情况下，传统见解认为，X得依不当得利规定向Y请求返还的，乃Y对Z的不当得利请求权（双重不当得利请求权，Doppelkondiktion,Kondiktion der Kondiktion）。[26]</w:t>
      </w:r>
    </w:p>
    <w:p w14:paraId="0D35E844">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对于“双重不当得利请求权说”并非没有相左意见，比如，认为Y自X所受之利益乃是该物之所有权，而非该说所称之“Y对Z之不当得利返还请求权”，而且由于Y移转该物之所有权予Z，Y无从就原物所有权予以返还，故应偿还价额。[27]该说虽以物之所有权为对象，对于金钱而言，似亦能得出Y应依价额偿还法理向X偿还100万元的结论。对此，应作进一步的分析。</w:t>
      </w:r>
    </w:p>
    <w:p w14:paraId="56C386AC">
      <w:pPr>
        <w:pStyle w:val="19"/>
        <w:spacing w:before="0" w:after="0" w:line="600" w:lineRule="atLeast"/>
        <w:ind w:left="375" w:right="375" w:firstLine="540"/>
        <w:rPr>
          <w:rFonts w:ascii="宋体" w:hAnsi="宋体" w:eastAsia="宋体" w:cs="宋体"/>
          <w:color w:val="000000"/>
          <w:sz w:val="27"/>
          <w:szCs w:val="27"/>
          <w:lang/>
        </w:rPr>
      </w:pPr>
      <w:bookmarkStart w:id="11" w:name="sort_5_1_1"/>
      <w:bookmarkEnd w:id="11"/>
      <w:r>
        <w:rPr>
          <w:rFonts w:ascii="宋体" w:hAnsi="宋体" w:eastAsia="宋体" w:cs="宋体"/>
          <w:color w:val="000000"/>
          <w:sz w:val="27"/>
          <w:szCs w:val="27"/>
          <w:vertAlign w:val="baseline"/>
          <w:lang/>
        </w:rPr>
        <w:t>1.不当得利返还抑或价额偿还？</w:t>
      </w:r>
    </w:p>
    <w:p w14:paraId="43488192">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不当得利的返还方法，以返还所受利益的原状为原则（学说上称为原物返还），以价额偿还为例外。原物返还，包括所受利益，以及本于该利益更有所取得。[28]所受利益或者本于该利益更有所取得者，依其性质或其他情形，不能返还者，应偿还其价额。《</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"tiao_157"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157</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条所规定的返还财产与折价补偿，亦属对上述方法的规定。而就金钱债务而言，原则上并不存在履行不能问题；能够发生法律上或者事实上不能履行的，恰恰是非金钱债务（参照《</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"tiao_580"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580</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第1款）。因而，那种严格形式的看法，即认为所受利益为金钱时，债务人所受利益为货币的所有权，其应返还的亦为该货币的所有权，于不能原物返还时（如业已存入银行、使用消费），应偿还其价额，不过是一种文字游戏。换言之，对于金钱之给付，如发生不当得利，只应是请求返还金钱价值（金额债权），非谓请求返还特定货币本身（特定金钱债权），而返还同种同额的货币，或其代偿物，这仍属原物返还范畴，而非价额偿还。</w:t>
      </w:r>
    </w:p>
    <w:p w14:paraId="7CB6386E">
      <w:pPr>
        <w:pStyle w:val="19"/>
        <w:spacing w:before="0" w:after="0" w:line="600" w:lineRule="atLeast"/>
        <w:ind w:left="375" w:right="375" w:firstLine="540"/>
        <w:rPr>
          <w:rFonts w:ascii="宋体" w:hAnsi="宋体" w:eastAsia="宋体" w:cs="宋体"/>
          <w:color w:val="000000"/>
          <w:sz w:val="27"/>
          <w:szCs w:val="27"/>
          <w:lang/>
        </w:rPr>
      </w:pPr>
      <w:bookmarkStart w:id="12" w:name="sort_5_1_2"/>
      <w:bookmarkEnd w:id="12"/>
      <w:r>
        <w:rPr>
          <w:rFonts w:ascii="宋体" w:hAnsi="宋体" w:eastAsia="宋体" w:cs="宋体"/>
          <w:color w:val="000000"/>
          <w:sz w:val="27"/>
          <w:szCs w:val="27"/>
          <w:vertAlign w:val="baseline"/>
          <w:lang/>
        </w:rPr>
        <w:t>2.原物返还抑或代偿物返还？</w:t>
      </w:r>
    </w:p>
    <w:p w14:paraId="5A95A8AF">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原物返还范畴下，既区分所受利益与本于该利益更有所取得，故仍须进一步说明，受领的金钱构成不当得利时，所应返还者究为所受利益，抑或为本于该利益更有所取得。在双重法律行为效力瑕疵场合，接力给付人受领并接力给付金钱，由第三人取得的不当得利请求权属于原物的代偿（Surrogate），又因该不当得利请求权系基于法律规定而生，故并非依法律行为而取得对价（交易替代物，commodum ex negotiatione）。[29]代偿物的典型有如土地征收场合的补偿金请求权、因物的毁损灭失而引出的保险金请求权或者损害赔偿请求权等，却并不以此为限，只要是在经济上可以视同得利人当初“取得的利益”的事物代之而生，均可作为代偿物，成为给付不当得利返还的客体。[30]</w:t>
      </w:r>
    </w:p>
    <w:p w14:paraId="517F6A6E">
      <w:pPr>
        <w:pStyle w:val="19"/>
        <w:spacing w:before="0" w:after="0" w:line="600" w:lineRule="atLeast"/>
        <w:ind w:left="375" w:right="375" w:firstLine="540"/>
        <w:rPr>
          <w:rFonts w:ascii="宋体" w:hAnsi="宋体" w:eastAsia="宋体" w:cs="宋体"/>
          <w:color w:val="000000"/>
          <w:sz w:val="27"/>
          <w:szCs w:val="27"/>
          <w:lang/>
        </w:rPr>
      </w:pPr>
      <w:bookmarkStart w:id="13" w:name="sort_5_2"/>
      <w:bookmarkEnd w:id="13"/>
      <w:r>
        <w:rPr>
          <w:rFonts w:ascii="宋体" w:hAnsi="宋体" w:eastAsia="宋体" w:cs="宋体"/>
          <w:color w:val="000000"/>
          <w:sz w:val="27"/>
          <w:szCs w:val="27"/>
          <w:vertAlign w:val="baseline"/>
          <w:lang/>
        </w:rPr>
        <w:t>（二）返还的范围</w:t>
      </w:r>
    </w:p>
    <w:p w14:paraId="7D97F893">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》对受领人应返还的范围，依受领人为善意或恶意而设不同规定（第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"tiao_986"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986</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条和第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"tiao_987"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987</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条），上述返还客体的分析，特别是双重瑕疵场合接力给付人的得利体现为其对于第三人的不当得利返还请求权，其实系以现存利益为着眼点，进而是以接力给付人的善意为前提，就此，仍有必要进一步说明。</w:t>
      </w:r>
    </w:p>
    <w:p w14:paraId="2A5A13CD">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在本文所设案例中，之所以应将Y认定为善意得利人，是因为他不知道且不应当知道其接收并转付100万元“没有法律根据”。如何掌握《</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"tiao_986"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986</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条中的“不应当知道”[31]，需要作些解释。如果从严掌握，无论是X还是Y，对于因他们不具有施工企业资质而使合同无效是应当知道（Nemo censetur ignorare legem.No one is presumed to be ignorant of law[32].推定全民知法），那么便不符合“不应当知道”取得利益没有法律根据。可是，这么解释会有“反噬效果”，即既然当事人明知或应知合同无效，还进行转包或违法分包，就属于明知或应知没有给付履约保证金的义务，根据《</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"tiao_985"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985</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但书第（3）项，明知无给付义务而进行的债务清偿，受损失的人无权要求返还不当得利。如此，便应当驳回X的全部诉讼请求，裁判效果显然不佳。因而，对于第986条中的“不应当知道”应从现实主义出发，并结合不当得利制度目的在于“取除利益”（即“抹平”善意得利人的因得利而增加的部分）[33]，不在于惩罚过错、填补损失（这是民事赔偿责任的功能），故实应从普通人（而非法律人）的角度，作宽松解释。无论是X还是Y，实实在在地支付履约保证金，已足以表明其对于合同是严肃认真的，由此可以表明他们并不知合同无效；至于“不应当知道”，实应从法一经公布便天下尽知的理想主义回归现实，只要想一想国家多年来不断致力于“普法”教育，便可知道普通老百姓不知法、不懂法实属社会常态。</w:t>
      </w:r>
    </w:p>
    <w:p w14:paraId="005AE28B">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合同既属无效，其中履约保证金的返还是基于不当得利的返还请求权，属于法定的债权。如X要求Y返还不当得利，Y作为善意得利人，只应返还现存利益，自Y的财产总额观察，其现存利益仅仅是其对于Z的不当得利返还请求权，也就是将其对于Z的履行保证金对应的返还请求权（200万元）中的100万元的债权转让给X，而非直接向X支付100万元（价额偿还）。[34]如此，判决Y将其“现存利益”，即其对Z公司的履约保证金返还请求权中的100万元债权，转让给X。就返还履约保证金的请求，相较于“全有或全无”的裁判方式，这属于第三条道路。如此，X若想最终要回100万元，恐怕还要打第二场官司，即基于所受让的对Z的100万元返还请求权，要求Z清偿债务。</w:t>
      </w:r>
    </w:p>
    <w:p w14:paraId="1255196C">
      <w:pPr>
        <w:pStyle w:val="19"/>
        <w:spacing w:before="0" w:after="0" w:line="600" w:lineRule="atLeast"/>
        <w:ind w:left="375" w:right="375" w:firstLine="540"/>
        <w:rPr>
          <w:rFonts w:ascii="宋体" w:hAnsi="宋体" w:eastAsia="宋体" w:cs="宋体"/>
          <w:color w:val="000000"/>
          <w:sz w:val="27"/>
          <w:szCs w:val="27"/>
          <w:lang/>
        </w:rPr>
      </w:pPr>
      <w:bookmarkStart w:id="14" w:name="sort_5_3"/>
      <w:bookmarkEnd w:id="14"/>
      <w:r>
        <w:rPr>
          <w:rFonts w:ascii="宋体" w:hAnsi="宋体" w:eastAsia="宋体" w:cs="宋体"/>
          <w:color w:val="000000"/>
          <w:sz w:val="27"/>
          <w:szCs w:val="27"/>
          <w:vertAlign w:val="baseline"/>
          <w:lang/>
        </w:rPr>
        <w:t>（三）何以第三条道路更公正？</w:t>
      </w:r>
    </w:p>
    <w:p w14:paraId="7562FB20">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接力给付进而形成给付链条场合，加之双份合同均存在效力瑕疵，相较于完全支持X要求Y返还所给付金钱，自不当得利角度，准确把握Y所得现存利益是其对于Z的不当得利返还请求权，并裁判Y将相应的请求权转让给X，会更为公正，以下说明理由。</w:t>
      </w:r>
    </w:p>
    <w:p w14:paraId="5BDBF1EC">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所谓公正，可表现在“给予每个人其所应得的”（suum cuique tribuere[35];to render to everyone his due）。在设例中，如让Y向X返还100万元，无异于将所有的“风险”加在Y头上。对于Y而言，仅仅因为相信有挣钱的机会而向X介绍并分享该机会，便要负担全部的交易失败“风险”，其实是“赚了”两人一起分、“赔了”却要Y一人担责，显然违背公平原则。发包人资金链断裂、工程烂尾，对于想充当施工人的X及Y而言属于商业风险，在他们达成合作协议并一人一半共担发包人所要求的200万元履约保证金时，也就分担了该保证金返还时日迁延的风险。X实际支付100万元履约保证金，更是依自主意思支配其财产，也进一步确认了其对于上述风险的自愿承担。X给付的是金钱，“因金钱具有高度的可代替性和普遍使用性，只要移入受领人的财产，就难以识别，原则上无法判断其不存在。但受领人若能证明确实以该项金钱赠予他人时，则可主张所受利益不存在”[36]。在受领人与给付人均明白支付的金钱是用于履约保证金时，对于该履约保证金的返还请求权便成了相应的代偿（Surrogate），成为Y所受利益的现存状态。当保证金返还迁延的风险实际到来，X选择起诉要求返还100万元履约保证金（而非其代偿物），实际是想将上述风险完全甩给Y，相较于双方既有的风险分配安排，其所追求的已然超越了其所应得的（his due）。对此，简单的“全有或全无”的裁判方式都不会带来真正的公正。将不当得利化作损害赔偿并各打五十大板，也只是临时解决其中的一部分问题，遗留的问题则更复杂及棘手，不值得效仿。而作为第三条道路，通过让Y将其对Z的200万元不当得利返还请求权中的100万元请求权转让给X，一方面并未否定X的权益，另一方面，也将相应的风险在当事人之间进行了公平分担，恰恰是对于此类案件量身定做的公正。公正，就是给予每个人其所应得的，不多也不少。</w:t>
      </w:r>
    </w:p>
    <w:p w14:paraId="3798CE60">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假如在Y将其对Z的履约保证金返还请求权中的100万元债权转让给X之前，Z将其受领的履约保证金退还给了Y，那么，Y的“现存利益”便不再是其对于Z的债权形态的返还请求权（该债权此时已因清偿而消灭），而是其自Z受领的履约保证金，在这种场合，则应由Y向X返还该履约保证金。[37]</w:t>
      </w:r>
    </w:p>
    <w:p w14:paraId="7DAC9974">
      <w:pPr>
        <w:pStyle w:val="19"/>
        <w:spacing w:before="0" w:after="0" w:line="600" w:lineRule="atLeast"/>
        <w:ind w:left="375" w:right="375" w:firstLine="540"/>
        <w:rPr>
          <w:rFonts w:ascii="宋体" w:hAnsi="宋体" w:eastAsia="宋体" w:cs="宋体"/>
          <w:color w:val="000000"/>
          <w:sz w:val="27"/>
          <w:szCs w:val="27"/>
          <w:lang/>
        </w:rPr>
      </w:pPr>
      <w:bookmarkStart w:id="15" w:name="sort_6"/>
      <w:bookmarkEnd w:id="15"/>
      <w:r>
        <w:rPr>
          <w:rFonts w:ascii="宋体" w:hAnsi="宋体" w:eastAsia="宋体" w:cs="宋体"/>
          <w:color w:val="000000"/>
          <w:sz w:val="27"/>
          <w:szCs w:val="27"/>
          <w:vertAlign w:val="baseline"/>
          <w:lang/>
        </w:rPr>
        <w:t>六、结论</w:t>
      </w:r>
    </w:p>
    <w:p w14:paraId="00FADA9E">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第一，履约保证金作为展示合同真诚性的手段，常见于建设工程合同，相应的条款虽可呈现于合同协议中，因其手段属性及约定内容的继续性，更易使之与其所服务的基础合同一体呈现。基础合同出现效力瑕疵，履约保证金条款往往同其效力，因而，建设工程转包、违法分包往往会带来以合同无效为由要求返还履约保证金的诉讼。</w:t>
      </w:r>
    </w:p>
    <w:p w14:paraId="05232708">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第二，在合同无效场合，基于该合同给付的履约保证金依法可以主张返还，相应的返还请求权通常是债权性的返还请求权，是给付不当得利返还请求权。与之相比，若以履约保证金无法收回而作为损失，进而主张赔偿损失，则要经受缔约过失赔偿责任构成要件的考验，并有适用过失相抵规则之虞，较主张不当得利请求权存在弱项。</w:t>
      </w:r>
    </w:p>
    <w:p w14:paraId="24F7E03C">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第三，履约保证金作为给付不当得利请求返还，通常作为“返还财产”即为已足，无须“折价补偿”（价额偿还）。“得利”可以表现为对金钱的受领，“返还财产”则须依不当得利法则确定其返还的方法与范围，可能是但却并非必然是当初所受领的金钱。</w:t>
      </w:r>
    </w:p>
    <w:p w14:paraId="513B35D0">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第四，在接力给付形成给付链条，如果链条上两个相邻的合同均属无效（双重瑕疵），善意的接力给付人（Y）的现存利益可能表现为对受领其接力给付的合同主体（Z）的给付不当得利返还请求权，该请求权作为接力给付人所受领履约保证金的代偿物，在向给付人（X）返还不当得利时，构成相应的返还客体。这种“双重不当得利请求权”能够精准对应当事人事先对于履约保证金返还风险的分配，较之“要么全有，要么全无”，作为第三条道路，该方案因其给予每个人其所应得，故更为公正。</w:t>
      </w:r>
    </w:p>
    <w:p w14:paraId="389D03F8">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第五，在《</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》时代，裁判者应从基于原《</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"https://www.pkulaw.com/chl/27f092abe1cd5ab4bdfb.html?way=textSlc"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民法通则</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"https://www.pkulaw.com/chl/27f092abe1cd5ab4bdfb.html?way=textSlc" \l "tiao_61"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61</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条的“有法可依”的实用思维，走向基于《</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"https://www.pkulaw.com/chl/aa00daaeb5a4fe4ebdfb.html?way=textSlc" \l "tiao_0" </w:instrText>
      </w:r>
      <w:r>
        <w:rPr>
          <w:rFonts w:ascii="宋体" w:hAnsi="宋体" w:eastAsia="宋体" w:cs="宋体"/>
          <w:color w:val="000000"/>
          <w:sz w:val="27"/>
          <w:szCs w:val="27"/>
          <w:vertAlign w:val="baseline"/>
          <w:lang/>
        </w:rPr>
        <w:fldChar w:fldCharType="separate"/>
      </w:r>
      <w:r>
        <w:rPr>
          <w:rStyle w:val="22"/>
          <w:rFonts w:ascii="宋体" w:hAnsi="宋体" w:eastAsia="宋体" w:cs="宋体"/>
          <w:sz w:val="27"/>
          <w:szCs w:val="27"/>
          <w:lang/>
        </w:rPr>
        <w:t>民法典</w:t>
      </w:r>
      <w:r>
        <w:rPr>
          <w:rStyle w:val="22"/>
          <w:rFonts w:ascii="宋体" w:hAnsi="宋体" w:eastAsia="宋体" w:cs="宋体"/>
          <w:sz w:val="27"/>
          <w:szCs w:val="27"/>
          <w:lang/>
        </w:rPr>
        <w:fldChar w:fldCharType="end"/>
      </w:r>
      <w:r>
        <w:rPr>
          <w:rFonts w:ascii="宋体" w:hAnsi="宋体" w:eastAsia="宋体" w:cs="宋体"/>
          <w:color w:val="000000"/>
          <w:sz w:val="27"/>
          <w:szCs w:val="27"/>
          <w:vertAlign w:val="baseline"/>
          <w:lang/>
        </w:rPr>
        <w:t>》总分结构的体系思维，认真对待不当得利。</w:t>
      </w:r>
    </w:p>
    <w:p w14:paraId="4CF4582E">
      <w:pPr>
        <w:pStyle w:val="1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[责任编辑：陈慧妮、赵蔚平]</w:t>
      </w:r>
    </w:p>
    <w:p w14:paraId="6AD20EC4">
      <w:pPr>
        <w:spacing w:line="600" w:lineRule="atLeast"/>
        <w:ind w:left="375" w:right="375"/>
        <w:rPr>
          <w:rFonts w:ascii="宋体" w:hAnsi="宋体" w:eastAsia="宋体" w:cs="宋体"/>
          <w:color w:val="000000"/>
          <w:sz w:val="27"/>
          <w:szCs w:val="27"/>
          <w:lang/>
        </w:rPr>
      </w:pPr>
      <w:r>
        <w:rPr>
          <w:rFonts w:ascii="宋体" w:hAnsi="宋体" w:eastAsia="宋体" w:cs="宋体"/>
          <w:color w:val="000000"/>
          <w:sz w:val="27"/>
          <w:szCs w:val="27"/>
          <w:lang/>
        </w:rPr>
        <w:br w:type="textWrapping"/>
      </w:r>
    </w:p>
    <w:p w14:paraId="046645DB">
      <w:pPr>
        <w:pStyle w:val="23"/>
        <w:spacing w:before="0" w:line="600" w:lineRule="atLeast"/>
        <w:ind w:left="525" w:right="525"/>
        <w:textAlignment w:val="baseline"/>
        <w:rPr>
          <w:rFonts w:ascii="宋体" w:hAnsi="宋体" w:eastAsia="宋体" w:cs="宋体"/>
          <w:color w:val="000000"/>
          <w:sz w:val="21"/>
          <w:szCs w:val="21"/>
          <w:lang/>
        </w:rPr>
      </w:pPr>
      <w:r>
        <w:rPr>
          <w:rStyle w:val="24"/>
          <w:rFonts w:ascii="宋体" w:hAnsi="宋体" w:eastAsia="宋体" w:cs="宋体"/>
          <w:b/>
          <w:bCs/>
          <w:shd w:val="clear" w:color="auto" w:fill="auto"/>
          <w:lang/>
        </w:rPr>
        <w:t>【注释】</w:t>
      </w:r>
    </w:p>
    <w:p w14:paraId="6A8F3924">
      <w:pPr>
        <w:pStyle w:val="19"/>
        <w:shd w:val="clear" w:color="auto" w:fill="F6FAFF"/>
        <w:spacing w:before="0" w:after="0" w:line="600" w:lineRule="atLeast"/>
        <w:ind w:left="525" w:right="525" w:firstLine="420"/>
        <w:rPr>
          <w:rFonts w:ascii="宋体" w:hAnsi="宋体" w:eastAsia="宋体" w:cs="宋体"/>
          <w:color w:val="000000"/>
          <w:sz w:val="21"/>
          <w:szCs w:val="21"/>
          <w:lang/>
        </w:rPr>
      </w:pPr>
      <w:r>
        <w:rPr>
          <w:rFonts w:ascii="宋体" w:hAnsi="宋体" w:eastAsia="宋体" w:cs="宋体"/>
          <w:color w:val="000000"/>
          <w:sz w:val="21"/>
          <w:szCs w:val="21"/>
          <w:vertAlign w:val="baseline"/>
          <w:lang/>
        </w:rPr>
        <w:t>作者简介：韩世远，男，清华大学法学院教授，博士生导师，主要从事民商法学研究。</w:t>
      </w:r>
    </w:p>
    <w:p w14:paraId="7FA67854">
      <w:pPr>
        <w:spacing w:after="0"/>
        <w:ind w:left="375" w:right="375"/>
        <w:rPr>
          <w:rFonts w:ascii="Arial" w:hAnsi="Arial" w:eastAsia="Arial" w:cs="Arial"/>
          <w:lang/>
        </w:rPr>
      </w:pPr>
      <w:r>
        <w:rPr>
          <w:rFonts w:ascii="Arial" w:hAnsi="Arial" w:eastAsia="Arial" w:cs="Arial"/>
          <w:lang/>
        </w:rPr>
        <w:br w:type="textWrapping"/>
      </w:r>
    </w:p>
    <w:p w14:paraId="69637FEF">
      <w:pPr>
        <w:spacing w:line="630" w:lineRule="atLeast"/>
        <w:rPr>
          <w:rFonts w:ascii="Times New Roman" w:hAnsi="Times New Roman" w:eastAsia="Times New Roman" w:cs="Times New Roman"/>
          <w:sz w:val="26"/>
          <w:szCs w:val="26"/>
          <w:lang/>
        </w:rPr>
      </w:pPr>
      <w:r>
        <w:br w:type="page"/>
      </w:r>
      <w:r>
        <w:rPr>
          <w:rFonts w:ascii="Times New Roman" w:hAnsi="Times New Roman" w:eastAsia="Times New Roman" w:cs="Times New Roman"/>
          <w:sz w:val="26"/>
          <w:szCs w:val="26"/>
          <w:lang/>
        </w:rPr>
        <w:t>©北大法宝：（</w:t>
      </w:r>
      <w:r>
        <w:rPr>
          <w:rFonts w:ascii="Times New Roman" w:hAnsi="Times New Roman" w:eastAsia="Times New Roman" w:cs="Times New Roman"/>
          <w:sz w:val="26"/>
          <w:szCs w:val="26"/>
          <w:lang/>
        </w:rPr>
        <w:fldChar w:fldCharType="begin"/>
      </w:r>
      <w:r>
        <w:rPr>
          <w:rFonts w:ascii="Times New Roman" w:hAnsi="Times New Roman" w:eastAsia="Times New Roman" w:cs="Times New Roman"/>
          <w:sz w:val="26"/>
          <w:szCs w:val="26"/>
          <w:lang/>
        </w:rPr>
        <w:instrText xml:space="preserve"> HYPERLINK "https://www.pkulaw.com" </w:instrText>
      </w:r>
      <w:r>
        <w:rPr>
          <w:rFonts w:ascii="Times New Roman" w:hAnsi="Times New Roman" w:eastAsia="Times New Roman" w:cs="Times New Roman"/>
          <w:sz w:val="26"/>
          <w:szCs w:val="26"/>
          <w:lang/>
        </w:rPr>
        <w:fldChar w:fldCharType="separate"/>
      </w:r>
      <w:r>
        <w:rPr>
          <w:rFonts w:ascii="Times New Roman" w:hAnsi="Times New Roman" w:eastAsia="Times New Roman" w:cs="Times New Roman"/>
          <w:color w:val="218FC4"/>
          <w:sz w:val="26"/>
          <w:szCs w:val="26"/>
          <w:u w:val="single" w:color="218FC4"/>
          <w:lang/>
        </w:rPr>
        <w:t>www.pkulaw.com</w:t>
      </w:r>
      <w:r>
        <w:rPr>
          <w:rFonts w:ascii="Times New Roman" w:hAnsi="Times New Roman" w:eastAsia="Times New Roman" w:cs="Times New Roman"/>
          <w:color w:val="218FC4"/>
          <w:sz w:val="26"/>
          <w:szCs w:val="26"/>
          <w:u w:val="single" w:color="218FC4"/>
          <w:lang/>
        </w:rPr>
        <w:fldChar w:fldCharType="end"/>
      </w:r>
      <w:r>
        <w:rPr>
          <w:rFonts w:ascii="Times New Roman" w:hAnsi="Times New Roman" w:eastAsia="Times New Roman" w:cs="Times New Roman"/>
          <w:sz w:val="26"/>
          <w:szCs w:val="26"/>
          <w:lang/>
        </w:rPr>
        <w:t>）专业提供法律信息、法学知识和法律软件领域各类解决方案。北大法宝为您提供丰富的参考资料，正式引用法规条文时请与标准文本核对。 欢迎查看所有</w:t>
      </w:r>
      <w:r>
        <w:rPr>
          <w:rFonts w:ascii="Times New Roman" w:hAnsi="Times New Roman" w:eastAsia="Times New Roman" w:cs="Times New Roman"/>
          <w:sz w:val="26"/>
          <w:szCs w:val="26"/>
          <w:lang/>
        </w:rPr>
        <w:fldChar w:fldCharType="begin"/>
      </w:r>
      <w:r>
        <w:rPr>
          <w:rFonts w:ascii="Times New Roman" w:hAnsi="Times New Roman" w:eastAsia="Times New Roman" w:cs="Times New Roman"/>
          <w:sz w:val="26"/>
          <w:szCs w:val="26"/>
          <w:lang/>
        </w:rPr>
        <w:instrText xml:space="preserve"> HYPERLINK "http://www.pkulaw.net/" </w:instrText>
      </w:r>
      <w:r>
        <w:rPr>
          <w:rFonts w:ascii="Times New Roman" w:hAnsi="Times New Roman" w:eastAsia="Times New Roman" w:cs="Times New Roman"/>
          <w:sz w:val="26"/>
          <w:szCs w:val="26"/>
          <w:lang/>
        </w:rPr>
        <w:fldChar w:fldCharType="separate"/>
      </w:r>
      <w:r>
        <w:rPr>
          <w:rFonts w:ascii="Times New Roman" w:hAnsi="Times New Roman" w:eastAsia="Times New Roman" w:cs="Times New Roman"/>
          <w:color w:val="218FC4"/>
          <w:sz w:val="26"/>
          <w:szCs w:val="26"/>
          <w:u w:val="single" w:color="218FC4"/>
          <w:lang/>
        </w:rPr>
        <w:t>产品和服务</w:t>
      </w:r>
      <w:r>
        <w:rPr>
          <w:rFonts w:ascii="Times New Roman" w:hAnsi="Times New Roman" w:eastAsia="Times New Roman" w:cs="Times New Roman"/>
          <w:color w:val="218FC4"/>
          <w:sz w:val="26"/>
          <w:szCs w:val="26"/>
          <w:u w:val="single" w:color="218FC4"/>
          <w:lang/>
        </w:rPr>
        <w:fldChar w:fldCharType="end"/>
      </w:r>
      <w:r>
        <w:rPr>
          <w:rFonts w:ascii="Times New Roman" w:hAnsi="Times New Roman" w:eastAsia="Times New Roman" w:cs="Times New Roman"/>
          <w:sz w:val="26"/>
          <w:szCs w:val="26"/>
          <w:lang/>
        </w:rPr>
        <w:t>。</w:t>
      </w:r>
      <w:r>
        <w:rPr>
          <w:rFonts w:ascii="Times New Roman" w:hAnsi="Times New Roman" w:eastAsia="Times New Roman" w:cs="Times New Roman"/>
          <w:sz w:val="26"/>
          <w:szCs w:val="26"/>
          <w:lang/>
        </w:rPr>
        <w:br w:type="textWrapping"/>
      </w:r>
      <w:r>
        <w:rPr>
          <w:rFonts w:ascii="Times New Roman" w:hAnsi="Times New Roman" w:eastAsia="Times New Roman" w:cs="Times New Roman"/>
          <w:sz w:val="26"/>
          <w:szCs w:val="26"/>
          <w:lang/>
        </w:rPr>
        <w:fldChar w:fldCharType="begin"/>
      </w:r>
      <w:r>
        <w:rPr>
          <w:rFonts w:ascii="Times New Roman" w:hAnsi="Times New Roman" w:eastAsia="Times New Roman" w:cs="Times New Roman"/>
          <w:sz w:val="26"/>
          <w:szCs w:val="26"/>
          <w:lang/>
        </w:rPr>
        <w:instrText xml:space="preserve"> HYPERLINK "http://www.pkulaw.com/helps/69.html" </w:instrText>
      </w:r>
      <w:r>
        <w:rPr>
          <w:rFonts w:ascii="Times New Roman" w:hAnsi="Times New Roman" w:eastAsia="Times New Roman" w:cs="Times New Roman"/>
          <w:sz w:val="26"/>
          <w:szCs w:val="26"/>
          <w:lang/>
        </w:rPr>
        <w:fldChar w:fldCharType="separate"/>
      </w:r>
      <w:r>
        <w:rPr>
          <w:rFonts w:ascii="Times New Roman" w:hAnsi="Times New Roman" w:eastAsia="Times New Roman" w:cs="Times New Roman"/>
          <w:color w:val="218FC4"/>
          <w:sz w:val="26"/>
          <w:szCs w:val="26"/>
          <w:u w:val="single" w:color="218FC4"/>
          <w:lang/>
        </w:rPr>
        <w:t>法宝快讯： 如何快速找到您需要的检索结果？ 法宝 V6 有何新特色？</w:t>
      </w:r>
      <w:r>
        <w:rPr>
          <w:rFonts w:ascii="Times New Roman" w:hAnsi="Times New Roman" w:eastAsia="Times New Roman" w:cs="Times New Roman"/>
          <w:color w:val="218FC4"/>
          <w:sz w:val="26"/>
          <w:szCs w:val="26"/>
          <w:u w:val="single" w:color="218FC4"/>
          <w:lang/>
        </w:rPr>
        <w:fldChar w:fldCharType="end"/>
      </w:r>
    </w:p>
    <w:p w14:paraId="270DB2C5">
      <w:pPr>
        <w:spacing w:before="900"/>
        <w:ind w:left="900" w:right="900"/>
        <w:jc w:val="center"/>
        <w:rPr>
          <w:rFonts w:ascii="Times New Roman" w:hAnsi="Times New Roman" w:eastAsia="Times New Roman" w:cs="Times New Roman"/>
          <w:lang/>
        </w:rPr>
      </w:pPr>
      <w:r>
        <w:rPr>
          <w:rFonts w:ascii="Times New Roman" w:hAnsi="Times New Roman" w:eastAsia="Times New Roman" w:cs="Times New Roman"/>
          <w:strike w:val="0"/>
          <w:u w:val="none"/>
          <w:lang/>
        </w:rPr>
        <w:drawing>
          <wp:inline distT="0" distB="0" distL="114300" distR="114300">
            <wp:extent cx="2438400" cy="2438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2438400" cy="2438400"/>
                    </a:xfrm>
                    <a:prstGeom prst="rect">
                      <a:avLst/>
                    </a:prstGeom>
                    <a:noFill/>
                    <a:ln>
                      <a:noFill/>
                    </a:ln>
                  </pic:spPr>
                </pic:pic>
              </a:graphicData>
            </a:graphic>
          </wp:inline>
        </w:drawing>
      </w:r>
    </w:p>
    <w:p w14:paraId="447428EE">
      <w:pPr>
        <w:spacing w:after="900" w:line="630" w:lineRule="atLeast"/>
        <w:ind w:left="900" w:right="900"/>
        <w:jc w:val="center"/>
        <w:rPr>
          <w:rFonts w:ascii="Times New Roman" w:hAnsi="Times New Roman" w:eastAsia="Times New Roman" w:cs="Times New Roman"/>
          <w:sz w:val="26"/>
          <w:szCs w:val="26"/>
          <w:lang/>
        </w:rPr>
      </w:pPr>
      <w:r>
        <w:rPr>
          <w:rFonts w:ascii="Times New Roman" w:hAnsi="Times New Roman" w:eastAsia="Times New Roman" w:cs="Times New Roman"/>
          <w:sz w:val="26"/>
          <w:szCs w:val="26"/>
          <w:lang/>
        </w:rPr>
        <w:t xml:space="preserve">扫描二维码阅读原文 </w:t>
      </w:r>
    </w:p>
    <w:p w14:paraId="03DC932D">
      <w:pPr>
        <w:spacing w:line="630" w:lineRule="atLeast"/>
        <w:jc w:val="center"/>
        <w:rPr>
          <w:rFonts w:ascii="Times New Roman" w:hAnsi="Times New Roman" w:eastAsia="Times New Roman" w:cs="Times New Roman"/>
          <w:sz w:val="26"/>
          <w:szCs w:val="26"/>
          <w:lang/>
        </w:rPr>
      </w:pPr>
      <w:r>
        <w:rPr>
          <w:rFonts w:ascii="Times New Roman" w:hAnsi="Times New Roman" w:eastAsia="Times New Roman" w:cs="Times New Roman"/>
          <w:sz w:val="26"/>
          <w:szCs w:val="26"/>
          <w:lang/>
        </w:rPr>
        <w:t>原文链接：</w:t>
      </w:r>
      <w:r>
        <w:rPr>
          <w:rFonts w:ascii="Times New Roman" w:hAnsi="Times New Roman" w:eastAsia="Times New Roman" w:cs="Times New Roman"/>
          <w:sz w:val="26"/>
          <w:szCs w:val="26"/>
          <w:lang/>
        </w:rPr>
        <w:fldChar w:fldCharType="begin"/>
      </w:r>
      <w:r>
        <w:rPr>
          <w:rFonts w:ascii="Times New Roman" w:hAnsi="Times New Roman" w:eastAsia="Times New Roman" w:cs="Times New Roman"/>
          <w:sz w:val="26"/>
          <w:szCs w:val="26"/>
          <w:lang/>
        </w:rPr>
        <w:instrText xml:space="preserve"> HYPERLINK "https://www.pkulaw.com/qikan/5b38ee53cc0649c3aae071e2c283cf49bdfb.html" </w:instrText>
      </w:r>
      <w:r>
        <w:rPr>
          <w:rFonts w:ascii="Times New Roman" w:hAnsi="Times New Roman" w:eastAsia="Times New Roman" w:cs="Times New Roman"/>
          <w:sz w:val="26"/>
          <w:szCs w:val="26"/>
          <w:lang/>
        </w:rPr>
        <w:fldChar w:fldCharType="separate"/>
      </w:r>
      <w:r>
        <w:rPr>
          <w:rFonts w:ascii="Times New Roman" w:hAnsi="Times New Roman" w:eastAsia="Times New Roman" w:cs="Times New Roman"/>
          <w:color w:val="000000"/>
          <w:sz w:val="26"/>
          <w:szCs w:val="26"/>
          <w:u w:val="single" w:color="000000"/>
          <w:lang/>
        </w:rPr>
        <w:t xml:space="preserve">https://www.pkulaw.com/qikan/5b38ee53cc0649c3aae071e2c283cf49bdfb.html </w:t>
      </w:r>
      <w:r>
        <w:rPr>
          <w:rFonts w:ascii="Times New Roman" w:hAnsi="Times New Roman" w:eastAsia="Times New Roman" w:cs="Times New Roman"/>
          <w:color w:val="000000"/>
          <w:sz w:val="26"/>
          <w:szCs w:val="26"/>
          <w:u w:val="single" w:color="000000"/>
          <w:lang/>
        </w:rPr>
        <w:fldChar w:fldCharType="end"/>
      </w:r>
    </w:p>
    <w:p w14:paraId="1B380AED"/>
    <w:sectPr>
      <w:headerReference r:id="rId3" w:type="default"/>
      <w:footerReference r:id="rId5" w:type="default"/>
      <w:headerReference r:id="rId4" w:type="even"/>
      <w:footerReference r:id="rId6" w:type="even"/>
      <w:pgSz w:w="11906" w:h="16838"/>
      <w:pgMar w:top="1440" w:right="720" w:bottom="144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5000" w:type="pct"/>
      <w:tblCellSpacing w:w="15" w:type="dxa"/>
      <w:tblInd w:w="15" w:type="dxa"/>
      <w:tblLayout w:type="autofit"/>
      <w:tblCellMar>
        <w:top w:w="15" w:type="dxa"/>
        <w:left w:w="15" w:type="dxa"/>
        <w:bottom w:w="15" w:type="dxa"/>
        <w:right w:w="15" w:type="dxa"/>
      </w:tblCellMar>
    </w:tblPr>
    <w:tblGrid>
      <w:gridCol w:w="689"/>
      <w:gridCol w:w="9867"/>
    </w:tblGrid>
    <w:tr w14:paraId="5CD3AFBC">
      <w:tblPrEx>
        <w:tblCellMar>
          <w:top w:w="15" w:type="dxa"/>
          <w:left w:w="15" w:type="dxa"/>
          <w:bottom w:w="15" w:type="dxa"/>
          <w:right w:w="15" w:type="dxa"/>
        </w:tblCellMar>
      </w:tblPrEx>
      <w:trPr>
        <w:wBefore w:w="0" w:type="dxa"/>
        <w:tblCellSpacing w:w="15" w:type="dxa"/>
      </w:trPr>
      <w:tc>
        <w:tcPr>
          <w:tcW w:w="0" w:type="auto"/>
          <w:noWrap w:val="0"/>
          <w:tcMar>
            <w:top w:w="15" w:type="dxa"/>
            <w:left w:w="15" w:type="dxa"/>
            <w:bottom w:w="15" w:type="dxa"/>
            <w:right w:w="15" w:type="dxa"/>
          </w:tcMar>
          <w:vAlign w:val="center"/>
        </w:tcPr>
        <w:p w14:paraId="0C7BBEB5">
          <w:pPr>
            <w:jc w:val="left"/>
            <w:rPr>
              <w:rFonts w:ascii="宋体" w:hAnsi="宋体" w:eastAsia="宋体" w:cs="宋体"/>
              <w:b w:val="0"/>
              <w:bCs w:val="0"/>
              <w:i w:val="0"/>
              <w:iCs w:val="0"/>
              <w:smallCaps w:val="0"/>
              <w:color w:val="000000"/>
              <w:sz w:val="18"/>
              <w:szCs w:val="18"/>
              <w:lang/>
            </w:rPr>
          </w:pPr>
          <w:r>
            <w:rPr>
              <w:rFonts w:ascii="宋体" w:hAnsi="宋体" w:eastAsia="宋体" w:cs="宋体"/>
              <w:b w:val="0"/>
              <w:bCs w:val="0"/>
              <w:i w:val="0"/>
              <w:iCs w:val="0"/>
              <w:smallCaps w:val="0"/>
              <w:color w:val="000000"/>
              <w:sz w:val="18"/>
              <w:szCs w:val="18"/>
              <w:lang/>
            </w:rPr>
            <w:fldChar w:fldCharType="begin"/>
          </w:r>
          <w:r>
            <w:rPr>
              <w:rFonts w:ascii="宋体" w:hAnsi="宋体" w:eastAsia="宋体" w:cs="宋体"/>
              <w:b w:val="0"/>
              <w:bCs w:val="0"/>
              <w:i w:val="0"/>
              <w:iCs w:val="0"/>
              <w:smallCaps w:val="0"/>
              <w:color w:val="000000"/>
              <w:sz w:val="18"/>
              <w:szCs w:val="18"/>
              <w:lang/>
            </w:rPr>
            <w:instrText xml:space="preserve"> PAGE  </w:instrText>
          </w:r>
          <w:r>
            <w:rPr>
              <w:rFonts w:ascii="宋体" w:hAnsi="宋体" w:eastAsia="宋体" w:cs="宋体"/>
              <w:b w:val="0"/>
              <w:bCs w:val="0"/>
              <w:i w:val="0"/>
              <w:iCs w:val="0"/>
              <w:smallCaps w:val="0"/>
              <w:color w:val="000000"/>
              <w:sz w:val="18"/>
              <w:szCs w:val="18"/>
              <w:lang/>
            </w:rPr>
            <w:fldChar w:fldCharType="separate"/>
          </w:r>
          <w:r>
            <w:rPr>
              <w:rFonts w:ascii="宋体" w:hAnsi="宋体" w:eastAsia="宋体" w:cs="宋体"/>
              <w:b w:val="0"/>
              <w:bCs w:val="0"/>
              <w:i w:val="0"/>
              <w:iCs w:val="0"/>
              <w:smallCaps w:val="0"/>
              <w:color w:val="000000"/>
              <w:sz w:val="18"/>
              <w:szCs w:val="18"/>
              <w:lang/>
            </w:rPr>
            <w:fldChar w:fldCharType="end"/>
          </w:r>
          <w:r>
            <w:rPr>
              <w:rFonts w:ascii="宋体" w:hAnsi="宋体" w:eastAsia="宋体" w:cs="宋体"/>
              <w:b w:val="0"/>
              <w:bCs w:val="0"/>
              <w:i w:val="0"/>
              <w:iCs w:val="0"/>
              <w:smallCaps w:val="0"/>
              <w:color w:val="000000"/>
              <w:sz w:val="18"/>
              <w:szCs w:val="18"/>
              <w:lang/>
            </w:rPr>
            <w:t>/</w:t>
          </w:r>
          <w:r>
            <w:rPr>
              <w:rFonts w:ascii="宋体" w:hAnsi="宋体" w:eastAsia="宋体" w:cs="宋体"/>
              <w:b w:val="0"/>
              <w:bCs w:val="0"/>
              <w:i w:val="0"/>
              <w:iCs w:val="0"/>
              <w:smallCaps w:val="0"/>
              <w:color w:val="000000"/>
              <w:sz w:val="18"/>
              <w:szCs w:val="18"/>
              <w:lang/>
            </w:rPr>
            <w:fldChar w:fldCharType="begin"/>
          </w:r>
          <w:r>
            <w:rPr>
              <w:rFonts w:ascii="宋体" w:hAnsi="宋体" w:eastAsia="宋体" w:cs="宋体"/>
              <w:b w:val="0"/>
              <w:bCs w:val="0"/>
              <w:i w:val="0"/>
              <w:iCs w:val="0"/>
              <w:smallCaps w:val="0"/>
              <w:color w:val="000000"/>
              <w:sz w:val="18"/>
              <w:szCs w:val="18"/>
              <w:lang/>
            </w:rPr>
            <w:instrText xml:space="preserve"> NUMPAGES  </w:instrText>
          </w:r>
          <w:r>
            <w:rPr>
              <w:rFonts w:ascii="宋体" w:hAnsi="宋体" w:eastAsia="宋体" w:cs="宋体"/>
              <w:b w:val="0"/>
              <w:bCs w:val="0"/>
              <w:i w:val="0"/>
              <w:iCs w:val="0"/>
              <w:smallCaps w:val="0"/>
              <w:color w:val="000000"/>
              <w:sz w:val="18"/>
              <w:szCs w:val="18"/>
              <w:lang/>
            </w:rPr>
            <w:fldChar w:fldCharType="separate"/>
          </w:r>
          <w:r>
            <w:rPr>
              <w:rFonts w:ascii="宋体" w:hAnsi="宋体" w:eastAsia="宋体" w:cs="宋体"/>
              <w:b w:val="0"/>
              <w:bCs w:val="0"/>
              <w:i w:val="0"/>
              <w:iCs w:val="0"/>
              <w:smallCaps w:val="0"/>
              <w:color w:val="000000"/>
              <w:sz w:val="18"/>
              <w:szCs w:val="18"/>
              <w:lang/>
            </w:rPr>
            <w:fldChar w:fldCharType="end"/>
          </w:r>
        </w:p>
      </w:tc>
      <w:tc>
        <w:tcPr>
          <w:tcW w:w="0" w:type="auto"/>
          <w:noWrap w:val="0"/>
          <w:tcMar>
            <w:top w:w="15" w:type="dxa"/>
            <w:left w:w="15" w:type="dxa"/>
            <w:bottom w:w="15" w:type="dxa"/>
            <w:right w:w="15" w:type="dxa"/>
          </w:tcMar>
          <w:vAlign w:val="center"/>
        </w:tcPr>
        <w:p w14:paraId="7C3C3752">
          <w:pPr>
            <w:jc w:val="right"/>
            <w:rPr>
              <w:rFonts w:ascii="宋体" w:hAnsi="宋体" w:eastAsia="宋体" w:cs="宋体"/>
              <w:b w:val="0"/>
              <w:bCs w:val="0"/>
              <w:i w:val="0"/>
              <w:iCs w:val="0"/>
              <w:smallCaps w:val="0"/>
              <w:color w:val="000000"/>
              <w:sz w:val="18"/>
              <w:szCs w:val="18"/>
              <w:lang/>
            </w:rPr>
          </w:pPr>
          <w:r>
            <w:rPr>
              <w:rFonts w:ascii="宋体" w:hAnsi="宋体" w:eastAsia="宋体" w:cs="宋体"/>
              <w:b w:val="0"/>
              <w:bCs w:val="0"/>
              <w:i w:val="0"/>
              <w:iCs w:val="0"/>
              <w:smallCaps w:val="0"/>
              <w:color w:val="000000"/>
              <w:sz w:val="18"/>
              <w:szCs w:val="18"/>
              <w:lang/>
            </w:rPr>
            <w:t>下载日期：2026-08-17</w:t>
          </w:r>
        </w:p>
      </w:tc>
    </w:tr>
  </w:tbl>
  <w:p w14:paraId="7409685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09644"/>
</w:ftr>
</file>

<file path=word/footnotes.xml><?xml version="1.0" encoding="utf-8"?>
<w:footnotes xmlns:w="http://schemas.openxmlformats.org/wordprocessingml/2006/main">
  <w:footnote w:id="-1">
    <w:p>
      <w:r>
        <w:separator/>
      </w:r>
    </w:p>
  </w:footnote>
  <w:footnote w:id="0">
    <w:p>
      <w:r>
        <w:continuationSeparator/>
      </w:r>
    </w:p>
  </w:footnote>
  <w:footnote w:id="1">
    <w:p>
      <w:r>
        <w:t xml:space="preserve">[</w:t>
      </w:r>
      <w:r>
        <w:footnoteRef/>
      </w:r>
      <w:r>
        <w:t xml:space="preserve">]也有少数法院认为合同有效并按合同解除处理履约保证金的返还，比如，浙江省新昌县人民法院（2019）浙0624民初3268号民事判决。该案二审对此予以纠正，见浙江省绍兴市中级人民法院（2019）浙06民终3862号民事判决书。</w:t>
      </w:r>
    </w:p>
  </w:footnote>
  <w:footnote w:id="2">
    <w:p>
      <w:r>
        <w:t xml:space="preserve">[</w:t>
      </w:r>
      <w:r>
        <w:footnoteRef/>
      </w:r>
      <w:r>
        <w:t xml:space="preserve">]承包人不得将其承包的全部建设工程转包给第三人或者将其承包的全部建设工程支解以后以分包的名义分别转包给第三人（《民法典》第791条第2款后段）。禁止承包人将工程分包给不具备相应资质条件的单位。禁止分包单位将其承包的工程再分包。建设工程主体结构的施工必须由承包人自行完成（《民法典》第791条第3款）。另外，《建筑法》第28条、第67条等也有类似规定。最高人民法院关于审理建设工程施工合同纠纷案件适用法律问题的解释（一）（第1条）等司法解释就合同无效的认定也有具体的指引。</w:t>
      </w:r>
    </w:p>
  </w:footnote>
  <w:footnote w:id="3">
    <w:p>
      <w:r>
        <w:t xml:space="preserve">[</w:t>
      </w:r>
      <w:r>
        <w:footnoteRef/>
      </w:r>
      <w:r>
        <w:t xml:space="preserve">]因转包而认定合同无效，基于履约保证金在个案中的给付关系不成立或不存在而驳回原告诉讼请求的事例，亦属有之，参见云南省大理白族自治州中级人民法院（2019）云29民终1545号民事判决书。</w:t>
      </w:r>
    </w:p>
  </w:footnote>
  <w:footnote w:id="4">
    <w:p>
      <w:r>
        <w:t xml:space="preserve">[</w:t>
      </w:r>
      <w:r>
        <w:footnoteRef/>
      </w:r>
      <w:r>
        <w:t xml:space="preserve">]刘家安：《民法物权》，北京：中国政法大学出版社，2023年，第36—37页。</w:t>
      </w:r>
    </w:p>
  </w:footnote>
  <w:footnote w:id="5">
    <w:p>
      <w:r>
        <w:t xml:space="preserve">[</w:t>
      </w:r>
      <w:r>
        <w:footnoteRef/>
      </w:r>
      <w:r>
        <w:t xml:space="preserve">]参见浙江省东阳市人民法院（2017）浙0783民初9469号民事判决书。</w:t>
      </w:r>
    </w:p>
  </w:footnote>
  <w:footnote w:id="6">
    <w:p>
      <w:r>
        <w:t xml:space="preserve">[</w:t>
      </w:r>
      <w:r>
        <w:footnoteRef/>
      </w:r>
      <w:r>
        <w:t xml:space="preserve">]参见浙江省金华市中级人民法院（2017）浙07民终6567号民事判决书。</w:t>
      </w:r>
    </w:p>
  </w:footnote>
  <w:footnote w:id="7">
    <w:p>
      <w:r>
        <w:t xml:space="preserve">[</w:t>
      </w:r>
      <w:r>
        <w:footnoteRef/>
      </w:r>
      <w:r>
        <w:t xml:space="preserve">]参见黄薇主编：《中华人民共和国民法典总则编释义》，北京：法律出版社，2020年，第416页；石宏主编：《〈中华人民共和国民法典〉释解与适用[总则编]》，北京：人民法院出版社，2020年，第289页；贾东明主编：《〈中华人民共和国民法总则〉释解与适用》，北京：人民法院出版社，2017年，第396页。</w:t>
      </w:r>
    </w:p>
  </w:footnote>
  <w:footnote w:id="8">
    <w:p>
      <w:r>
        <w:t xml:space="preserve">[</w:t>
      </w:r>
      <w:r>
        <w:footnoteRef/>
      </w:r>
      <w:r>
        <w:t xml:space="preserve">]黄薇主编：《中华人民共和国民法典总则编释义》，第416页。</w:t>
      </w:r>
    </w:p>
  </w:footnote>
  <w:footnote w:id="9">
    <w:p>
      <w:r>
        <w:t xml:space="preserve">[</w:t>
      </w:r>
      <w:r>
        <w:footnoteRef/>
      </w:r>
      <w:r>
        <w:t xml:space="preserve">]黄薇主编：《中华人民共和国民法典合同编释义》，北京：法律出版社，2020年，第1048页；石宏主编：《〈中华人民共和国民法典〉释解与适用[合同编]》（下册），北京：人民法院出版社，2020年，第936页；梁慧星：《读条文学民法》（第2版），北京：人民法院出版社，2017年，第54页；崔建远、陈进：《债法总论》，北京：法律出版社，2021年，第342页；韩世远：《合同法学》（第2版），北京：高等教育出版社，2022年，第618页。</w:t>
      </w:r>
    </w:p>
  </w:footnote>
  <w:footnote w:id="10">
    <w:p>
      <w:r>
        <w:t xml:space="preserve">[</w:t>
      </w:r>
      <w:r>
        <w:footnoteRef/>
      </w:r>
      <w:r>
        <w:t xml:space="preserve">]参见黄薇主编：《中华人民共和国民法典合同编释义》，第1045页；[德]汉斯·约瑟夫·威灵：《德国不当得利法》，薛启明译，北京：中国法制出版社，2021年，第13页。Vgl.auch Hans Josef Wieling,Bereicherungsrecht,Vierte,aktualisierte Auflage,Springer-Verlag 2007,S.13.</w:t>
      </w:r>
    </w:p>
  </w:footnote>
  <w:footnote w:id="11">
    <w:p>
      <w:r>
        <w:t xml:space="preserve">[</w:t>
      </w:r>
      <w:r>
        <w:footnoteRef/>
      </w:r>
      <w:r>
        <w:t xml:space="preserve">]参见[德]汉斯·约瑟夫·威灵、[德]托马斯·芬克瑙尔：《德国债法分则案例研习》，冯洁语译，北京：中国法制出版社，2019年，第191—192页。Vgl.auch Hans Josef Wieling,Bereicherungsrecht,Vierte,aktualisierte Auflage,Springer-Verlag 2007,S.13-14.</w:t>
      </w:r>
    </w:p>
  </w:footnote>
  <w:footnote w:id="12">
    <w:p>
      <w:r>
        <w:t xml:space="preserve">[</w:t>
      </w:r>
      <w:r>
        <w:footnoteRef/>
      </w:r>
      <w:r>
        <w:t xml:space="preserve">]参见王泽鉴：《不当得利》（第2版），北京：北京大学出版社，2023年重排版，第281页；杨芳贤：《不当得利》，台北：三民书局，2009年，第58页。</w:t>
      </w:r>
    </w:p>
  </w:footnote>
  <w:footnote w:id="13">
    <w:p>
      <w:r>
        <w:t xml:space="preserve">[</w:t>
      </w:r>
      <w:r>
        <w:footnoteRef/>
      </w:r>
      <w:r>
        <w:t xml:space="preserve">]Vgl.Hans Josef Wieling,Bereicherungsrecht,Vierte,aktualisierte Auflage,Springer-Verlag 2007,S.89.</w:t>
      </w:r>
    </w:p>
  </w:footnote>
  <w:footnote w:id="14">
    <w:p>
      <w:r>
        <w:t xml:space="preserve">[</w:t>
      </w:r>
      <w:r>
        <w:footnoteRef/>
      </w:r>
      <w:r>
        <w:t xml:space="preserve">]参见王泽鉴：《不当得利》（第2版），第282页。日语文献称此“二重原因欠缺”，松岡久和=中田邦博編『新·コンメンタール民法(財産法)[第2版]』(日本評論社，2020年)1180頁。</w:t>
      </w:r>
    </w:p>
  </w:footnote>
  <w:footnote w:id="15">
    <w:p>
      <w:r>
        <w:t xml:space="preserve">[</w:t>
      </w:r>
      <w:r>
        <w:footnoteRef/>
      </w:r>
      <w:r>
        <w:t xml:space="preserve">]参见王泽鉴：《不当得利》（第2版），第28页；杨芳贤：《不当得利》，第64页。</w:t>
      </w:r>
    </w:p>
  </w:footnote>
  <w:footnote w:id="16">
    <w:p>
      <w:r>
        <w:t xml:space="preserve">[</w:t>
      </w:r>
      <w:r>
        <w:footnoteRef/>
      </w:r>
      <w:r>
        <w:t xml:space="preserve">]Vgl.Han Josef Wieling,Bereicherungsrecht,Vierte,aktualisierte Auflage,Springer-Verlag 2007,S.95.另见[德]汉斯·约瑟夫·威灵：《德国不当得利法》，第101页。同旨松岡久和=中田邦博編『新·コンメンタール民法(財産法)[第2版]』 (日本評論社，2020年)1180頁。</w:t>
      </w:r>
    </w:p>
  </w:footnote>
  <w:footnote w:id="17">
    <w:p>
      <w:r>
        <w:t xml:space="preserve">[</w:t>
      </w:r>
      <w:r>
        <w:footnoteRef/>
      </w:r>
      <w:r>
        <w:t xml:space="preserve">]比如济南市钢城区人民法院（2019）鲁0117民初1503号民事判决；湖南省耒阳市人民法院（2023）湘0481民初3359号民事判决书。</w:t>
      </w:r>
    </w:p>
  </w:footnote>
  <w:footnote w:id="18">
    <w:p>
      <w:r>
        <w:t xml:space="preserve">[</w:t>
      </w:r>
      <w:r>
        <w:footnoteRef/>
      </w:r>
      <w:r>
        <w:t xml:space="preserve">]莫志华、深圳市东深工程有限公司与东莞市长富广场房地产开发有限公司建设工程合同纠纷案，最高人民法院（2011）民提字第235号，《中华人民共和国最高人民法院公报》2013年第11期。</w:t>
      </w:r>
    </w:p>
  </w:footnote>
  <w:footnote w:id="19">
    <w:p>
      <w:r>
        <w:t xml:space="preserve">[</w:t>
      </w:r>
      <w:r>
        <w:footnoteRef/>
      </w:r>
      <w:r>
        <w:t xml:space="preserve">]参见[德]汉斯·约瑟夫·威灵、[德]托马斯·芬克瑙尔：《德国债法分则案例研习》，第193页。</w:t>
      </w:r>
    </w:p>
  </w:footnote>
  <w:footnote w:id="20">
    <w:p>
      <w:r>
        <w:t xml:space="preserve">[</w:t>
      </w:r>
      <w:r>
        <w:footnoteRef/>
      </w:r>
      <w:r>
        <w:t xml:space="preserve">]比如，浙江省绍兴市中级人民法院（2019）浙06民终3862号民事判决书。</w:t>
      </w:r>
    </w:p>
  </w:footnote>
  <w:footnote w:id="21">
    <w:p>
      <w:r>
        <w:t xml:space="preserve">[</w:t>
      </w:r>
      <w:r>
        <w:footnoteRef/>
      </w:r>
      <w:r>
        <w:t xml:space="preserve">]参见崔建远：《债权总论》，北京：法律出版社，2013年，第298页。另见石宏主编：《〈中华人民共和国民法典〉释解与适用[合同编]》（下册），第941页。</w:t>
      </w:r>
    </w:p>
  </w:footnote>
  <w:footnote w:id="22">
    <w:p>
      <w:r>
        <w:t xml:space="preserve">[</w:t>
      </w:r>
      <w:r>
        <w:footnoteRef/>
      </w:r>
      <w:r>
        <w:t xml:space="preserve">]王泽鉴：《不当得利》（第2版），第321页。</w:t>
      </w:r>
    </w:p>
  </w:footnote>
  <w:footnote w:id="23">
    <w:p>
      <w:r>
        <w:t xml:space="preserve">[</w:t>
      </w:r>
      <w:r>
        <w:footnoteRef/>
      </w:r>
      <w:r>
        <w:t xml:space="preserve">]王泽鉴：《不当得利》（第2版），第340页。</w:t>
      </w:r>
    </w:p>
  </w:footnote>
  <w:footnote w:id="24">
    <w:p>
      <w:r>
        <w:t xml:space="preserve">[</w:t>
      </w:r>
      <w:r>
        <w:footnoteRef/>
      </w:r>
      <w:r>
        <w:t xml:space="preserve">]王泽鉴：《不当得利》（第2版），第338—339页。</w:t>
      </w:r>
    </w:p>
  </w:footnote>
  <w:footnote w:id="25">
    <w:p>
      <w:r>
        <w:t xml:space="preserve">[</w:t>
      </w:r>
      <w:r>
        <w:footnoteRef/>
      </w:r>
      <w:r>
        <w:t xml:space="preserve">]实务中还有另外一种案型，不是基于转包或者分包的“接力给付”，而是Y将其在与Z的合同中的权利义务一并转让给X（合同地位的概括移转），比如，湖南省衡阳市中级人民法院（2024）湘04民终315号民事判决书。如此便形成X对Z的直接的权利义务关系，暂不作为本文讨论对象。</w:t>
      </w:r>
    </w:p>
  </w:footnote>
  <w:footnote w:id="26">
    <w:p>
      <w:r>
        <w:t xml:space="preserve">[</w:t>
      </w:r>
      <w:r>
        <w:footnoteRef/>
      </w:r>
      <w:r>
        <w:t xml:space="preserve">]王泽鉴：《不当得利》（第2版），第282页。与“双重不当得利请求权说”相对的是“价额说”，虽值重视，王泽鉴先生权衡后并未采该说，仍支持“双重不当得利请求权说”。Vgl.auch Josef Esser/Hans-Leo Weyers,Schuldrecht,Band II,Besonderer Teil,Teilband 2 Gesetzliche Schuldverhältnis,8.Auflage,2000,S.50.</w:t>
      </w:r>
    </w:p>
  </w:footnote>
  <w:footnote w:id="27">
    <w:p>
      <w:r>
        <w:t xml:space="preserve">[</w:t>
      </w:r>
      <w:r>
        <w:footnoteRef/>
      </w:r>
      <w:r>
        <w:t xml:space="preserve">]杨芳贤：《不当得利》，第59页。</w:t>
      </w:r>
    </w:p>
  </w:footnote>
  <w:footnote w:id="28">
    <w:p>
      <w:r>
        <w:t xml:space="preserve">[</w:t>
      </w:r>
      <w:r>
        <w:footnoteRef/>
      </w:r>
      <w:r>
        <w:t xml:space="preserve">]黄薇主编：《中华人民共和国民法典合同编释义》，第1053页；王泽鉴：《不当得利》（第2版），第321页。另见崔建远、陈进：《债法总论》，第356页。</w:t>
      </w:r>
    </w:p>
  </w:footnote>
  <w:footnote w:id="29">
    <w:p>
      <w:r>
        <w:t xml:space="preserve">[</w:t>
      </w:r>
      <w:r>
        <w:footnoteRef/>
      </w:r>
      <w:r>
        <w:t xml:space="preserve">]关于原物的代偿及基于法律行为而取得的对价，参见王泽鉴：《不当得利》（第2版），第324页。</w:t>
      </w:r>
    </w:p>
  </w:footnote>
  <w:footnote w:id="30">
    <w:p>
      <w:r>
        <w:t xml:space="preserve">[</w:t>
      </w:r>
      <w:r>
        <w:footnoteRef/>
      </w:r>
      <w:r>
        <w:t xml:space="preserve">]松岡久和=中田邦博編『新·コンメンタール民法(財産法)[第2版]』(日本評論社，2020年)1187頁。</w:t>
      </w:r>
    </w:p>
  </w:footnote>
  <w:footnote w:id="31">
    <w:p>
      <w:r>
        <w:t xml:space="preserve">[</w:t>
      </w:r>
      <w:r>
        <w:footnoteRef/>
      </w:r>
      <w:r>
        <w:t xml:space="preserve">]若比较《民法典》第986条与我国台湾地区“民法”第182条第1项，会发现在前者出现的“且不应当知道”在后者并不存在，因而，在我国台湾地区解释得利人是否善意，“其不知无法律上之原因，有无过失，在所不问”。王泽鉴：《不当得利》（第2版），第337页。在中国大陆解释《民法典》第986条的“善意”时，则“是指得利人非因过失不知（不知且不应知）没有法律根据（无法律上的原因）”。石宏主编：《〈中华人民共和国民法典〉释解与适用[合同编]》（下册），第944页。这一立场或是受日本法影响的结果，《日本民法典》第704条规定恶意得利人的返还义务，就其中的“恶意”，日本多数说出于与《日本民法典》第709条的权衡，将有过失的善意人包括在内；另外，日本也有实质性要求善意、无过失的判例。松岡久和=中田邦博編『新·コンメンタール民法(財産法)[第2版]』(日本評論社，2020年)1193頁。</w:t>
      </w:r>
    </w:p>
  </w:footnote>
  <w:footnote w:id="32">
    <w:p>
      <w:r>
        <w:t xml:space="preserve">[</w:t>
      </w:r>
      <w:r>
        <w:footnoteRef/>
      </w:r>
      <w:r>
        <w:t xml:space="preserve">]孙笑侠编译：《西方法谚精选：法、权利和司法》，北京：法律出版社，2005年，第55页。</w:t>
      </w:r>
    </w:p>
  </w:footnote>
  <w:footnote w:id="33">
    <w:p>
      <w:r>
        <w:t xml:space="preserve">[</w:t>
      </w:r>
      <w:r>
        <w:footnoteRef/>
      </w:r>
      <w:r>
        <w:t xml:space="preserve">]不当得利制度作为一种客观制度，通常被认为意在矫正有悖于基本财产变动秩序、财产归属秩序、负担分配秩序的利益变动，并不过问当事人的过错，也不适用过失相抵规则。松岡久和=中田邦博編『新·コンメンタール民法(財産法)[第2版]』(日本評論社，2020年)1187頁。</w:t>
      </w:r>
    </w:p>
  </w:footnote>
  <w:footnote w:id="34">
    <w:p>
      <w:r>
        <w:t xml:space="preserve">[</w:t>
      </w:r>
      <w:r>
        <w:footnoteRef/>
      </w:r>
      <w:r>
        <w:t xml:space="preserve">]同旨参见[德]汉斯·约瑟夫·威灵：《德国不当得利法》，第97页。</w:t>
      </w:r>
    </w:p>
  </w:footnote>
  <w:footnote w:id="35">
    <w:p>
      <w:r>
        <w:t xml:space="preserve">[</w:t>
      </w:r>
      <w:r>
        <w:footnoteRef/>
      </w:r>
      <w:r>
        <w:t xml:space="preserve">]D.1.1.10pr.;D.1.1.10.1.参照《学说汇纂》（第1卷），罗智敏译，北京：中国政法大学出版社，2008年，第12—15页。</w:t>
      </w:r>
    </w:p>
  </w:footnote>
  <w:footnote w:id="36">
    <w:p>
      <w:r>
        <w:t xml:space="preserve">[</w:t>
      </w:r>
      <w:r>
        <w:footnoteRef/>
      </w:r>
      <w:r>
        <w:t xml:space="preserve">]王泽鉴：《不当得利》（第2版），第341页；另见黄薇主编：《中华人民共和国民法典合同编释义》，北京：法律出版社，2020年，第1057页；崔建远、陈进：《债法总论》，第362页。</w:t>
      </w:r>
    </w:p>
  </w:footnote>
  <w:footnote w:id="37">
    <w:p>
      <w:r>
        <w:t xml:space="preserve">[</w:t>
      </w:r>
      <w:r>
        <w:footnoteRef/>
      </w:r>
      <w:r>
        <w:t xml:space="preserve">]参见青海省高级人民法院（2015）青民一终字第147号民事判决书。</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5000" w:type="pct"/>
      <w:tblCellSpacing w:w="15" w:type="dxa"/>
      <w:tblInd w:w="15" w:type="dxa"/>
      <w:tblLayout w:type="autofit"/>
      <w:tblCellMar>
        <w:top w:w="15" w:type="dxa"/>
        <w:left w:w="15" w:type="dxa"/>
        <w:bottom w:w="15" w:type="dxa"/>
        <w:right w:w="15" w:type="dxa"/>
      </w:tblCellMar>
    </w:tblPr>
    <w:tblGrid>
      <w:gridCol w:w="4955"/>
      <w:gridCol w:w="5601"/>
    </w:tblGrid>
    <w:tr w14:paraId="4C62EBF8">
      <w:tblPrEx>
        <w:tblCellMar>
          <w:top w:w="15" w:type="dxa"/>
          <w:left w:w="15" w:type="dxa"/>
          <w:bottom w:w="15" w:type="dxa"/>
          <w:right w:w="15" w:type="dxa"/>
        </w:tblCellMar>
      </w:tblPrEx>
      <w:trPr>
        <w:wBefore w:w="0" w:type="dxa"/>
        <w:tblCellSpacing w:w="15" w:type="dxa"/>
      </w:trPr>
      <w:tc>
        <w:tcPr>
          <w:tcW w:w="0" w:type="auto"/>
          <w:noWrap w:val="0"/>
          <w:tcMar>
            <w:top w:w="15" w:type="dxa"/>
            <w:left w:w="15" w:type="dxa"/>
            <w:bottom w:w="15" w:type="dxa"/>
            <w:right w:w="15" w:type="dxa"/>
          </w:tcMar>
          <w:vAlign w:val="center"/>
        </w:tcPr>
        <w:p w14:paraId="2EA5A512">
          <w:pPr>
            <w:rPr>
              <w:rFonts w:ascii="Times New Roman" w:hAnsi="Times New Roman" w:eastAsia="Times New Roman" w:cs="Times New Roman"/>
              <w:b w:val="0"/>
              <w:bCs w:val="0"/>
              <w:i w:val="0"/>
              <w:iCs w:val="0"/>
              <w:smallCaps w:val="0"/>
              <w:color w:val="000000"/>
              <w:sz w:val="24"/>
              <w:szCs w:val="24"/>
              <w:lang/>
            </w:rPr>
          </w:pPr>
          <w:r>
            <w:rPr>
              <w:rFonts w:ascii="Times New Roman" w:hAnsi="Times New Roman" w:eastAsia="Times New Roman" w:cs="Times New Roman"/>
              <w:b w:val="0"/>
              <w:bCs w:val="0"/>
              <w:i w:val="0"/>
              <w:iCs w:val="0"/>
              <w:smallCaps w:val="0"/>
              <w:strike w:val="0"/>
              <w:color w:val="000000"/>
              <w:u w:val="none"/>
              <w:lang/>
            </w:rPr>
            <w:drawing>
              <wp:inline distT="0" distB="0" distL="114300" distR="114300">
                <wp:extent cx="1733550" cy="304800"/>
                <wp:effectExtent l="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1733550" cy="304800"/>
                        </a:xfrm>
                        <a:prstGeom prst="rect">
                          <a:avLst/>
                        </a:prstGeom>
                        <a:noFill/>
                        <a:ln>
                          <a:noFill/>
                        </a:ln>
                      </pic:spPr>
                    </pic:pic>
                  </a:graphicData>
                </a:graphic>
              </wp:inline>
            </w:drawing>
          </w:r>
        </w:p>
      </w:tc>
      <w:tc>
        <w:tcPr>
          <w:tcW w:w="0" w:type="auto"/>
          <w:noWrap w:val="0"/>
          <w:tcMar>
            <w:top w:w="15" w:type="dxa"/>
            <w:left w:w="15" w:type="dxa"/>
            <w:bottom w:w="15" w:type="dxa"/>
            <w:right w:w="15" w:type="dxa"/>
          </w:tcMar>
          <w:vAlign w:val="center"/>
        </w:tcPr>
        <w:p w14:paraId="53C55476">
          <w:pPr>
            <w:jc w:val="right"/>
            <w:rPr>
              <w:rFonts w:ascii="宋体" w:hAnsi="宋体" w:eastAsia="宋体" w:cs="宋体"/>
              <w:b w:val="0"/>
              <w:bCs w:val="0"/>
              <w:i w:val="0"/>
              <w:iCs w:val="0"/>
              <w:smallCaps w:val="0"/>
              <w:color w:val="000000"/>
              <w:sz w:val="23"/>
              <w:szCs w:val="23"/>
              <w:lang/>
            </w:rPr>
          </w:pPr>
          <w:r>
            <w:rPr>
              <w:rFonts w:ascii="宋体" w:hAnsi="宋体" w:eastAsia="宋体" w:cs="宋体"/>
              <w:b w:val="0"/>
              <w:bCs w:val="0"/>
              <w:i w:val="0"/>
              <w:iCs w:val="0"/>
              <w:smallCaps w:val="0"/>
              <w:color w:val="000000"/>
              <w:sz w:val="23"/>
              <w:szCs w:val="23"/>
              <w:lang/>
            </w:rPr>
            <w:t>【法宝引证码】CLI.A.1386588</w:t>
          </w:r>
        </w:p>
      </w:tc>
    </w:tr>
  </w:tbl>
  <w:p w14:paraId="77E511D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760D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noLineBreaksAfter w:lang="zh-CN" w:val="([{·‘“〈《「『【〔〖（．［｛￡￥"/>
  <w:noLineBreaksBefore w:lang="zh-CN" w:val="!),.:;?]}¨·ˇˉ―‖’”…∶、。〃々〉》」』】〕〗！＂＇），．：；？］｀｜｝～￠"/>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 w:val="20D23DD2"/>
    <w:rsid w:val="707B54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3">
    <w:name w:val="Normal (Web)"/>
    <w:basedOn w:val="1"/>
    <w:uiPriority w:val="0"/>
    <w:pPr>
      <w:spacing w:before="100" w:beforeAutospacing="1" w:after="10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 w:type="paragraph" w:customStyle="1" w:styleId="8">
    <w:name w:val="fulltext-wrap"/>
    <w:basedOn w:val="1"/>
    <w:uiPriority w:val="0"/>
    <w:pPr>
      <w:pBdr>
        <w:top w:val="none" w:color="auto" w:sz="0" w:space="18"/>
        <w:left w:val="none" w:color="auto" w:sz="0" w:space="18"/>
        <w:bottom w:val="none" w:color="auto" w:sz="0" w:space="18"/>
        <w:right w:val="none" w:color="auto" w:sz="0" w:space="18"/>
      </w:pBdr>
    </w:pPr>
  </w:style>
  <w:style w:type="paragraph" w:customStyle="1" w:styleId="9">
    <w:name w:val="fulltext-wrap_title"/>
    <w:basedOn w:val="1"/>
    <w:uiPriority w:val="0"/>
    <w:pPr>
      <w:jc w:val="center"/>
    </w:pPr>
    <w:rPr>
      <w:sz w:val="30"/>
      <w:szCs w:val="30"/>
    </w:rPr>
  </w:style>
  <w:style w:type="paragraph" w:customStyle="1" w:styleId="10">
    <w:name w:val="div"/>
    <w:basedOn w:val="1"/>
    <w:uiPriority w:val="0"/>
    <w:pPr>
      <w:pBdr>
        <w:top w:val="none" w:color="auto" w:sz="0" w:space="0"/>
        <w:left w:val="none" w:color="auto" w:sz="0" w:space="0"/>
        <w:bottom w:val="none" w:color="auto" w:sz="0" w:space="0"/>
        <w:right w:val="none" w:color="auto" w:sz="0" w:space="0"/>
      </w:pBdr>
      <w:textAlignment w:val="baseline"/>
    </w:pPr>
    <w:rPr>
      <w:sz w:val="24"/>
      <w:szCs w:val="24"/>
      <w:vertAlign w:val="baseline"/>
    </w:rPr>
  </w:style>
  <w:style w:type="paragraph" w:customStyle="1" w:styleId="11">
    <w:name w:val="fulltext-wrap_fields"/>
    <w:basedOn w:val="1"/>
    <w:uiPriority w:val="0"/>
    <w:pPr>
      <w:pBdr>
        <w:top w:val="none" w:color="auto" w:sz="0" w:space="0"/>
        <w:left w:val="none" w:color="auto" w:sz="0" w:space="0"/>
        <w:bottom w:val="none" w:color="auto" w:sz="0" w:space="0"/>
        <w:right w:val="none" w:color="auto" w:sz="0" w:space="0"/>
      </w:pBdr>
      <w:shd w:val="clear" w:color="auto" w:fill="F7F7F7"/>
    </w:pPr>
    <w:rPr>
      <w:shd w:val="clear" w:color="auto" w:fill="F7F7F7"/>
    </w:rPr>
  </w:style>
  <w:style w:type="paragraph" w:customStyle="1" w:styleId="12">
    <w:name w:val="fulltext-wrap_fields_zhang"/>
    <w:basedOn w:val="1"/>
    <w:uiPriority w:val="0"/>
  </w:style>
  <w:style w:type="character" w:customStyle="1" w:styleId="13">
    <w:name w:val="fulltext-wrap_fields_ul_row"/>
    <w:basedOn w:val="5"/>
    <w:uiPriority w:val="0"/>
  </w:style>
  <w:style w:type="paragraph" w:customStyle="1" w:styleId="14">
    <w:name w:val="fulltext-wrap_fields_ul_li_box"/>
    <w:basedOn w:val="1"/>
    <w:uiPriority w:val="0"/>
    <w:pPr>
      <w:pBdr>
        <w:left w:val="none" w:color="auto" w:sz="0" w:space="0"/>
      </w:pBdr>
    </w:pPr>
  </w:style>
  <w:style w:type="character" w:customStyle="1" w:styleId="15">
    <w:name w:val="fulltext-wrap_fields_ul_li_box_strong"/>
    <w:basedOn w:val="5"/>
    <w:uiPriority w:val="0"/>
    <w:rPr>
      <w:color w:val="999999"/>
    </w:rPr>
  </w:style>
  <w:style w:type="character" w:customStyle="1" w:styleId="16">
    <w:name w:val="fulltext-wrap_fields_ul_li_a"/>
    <w:basedOn w:val="5"/>
    <w:uiPriority w:val="0"/>
    <w:rPr>
      <w:color w:val="218FC4"/>
    </w:rPr>
  </w:style>
  <w:style w:type="character" w:customStyle="1" w:styleId="17">
    <w:name w:val="fulltext-wrap_fields_ul_li_orange"/>
    <w:basedOn w:val="5"/>
    <w:uiPriority w:val="0"/>
    <w:rPr>
      <w:color w:val="FFFFFF"/>
      <w:sz w:val="21"/>
      <w:szCs w:val="21"/>
      <w:shd w:val="clear" w:color="auto" w:fill="FE9835"/>
    </w:rPr>
  </w:style>
  <w:style w:type="character" w:customStyle="1" w:styleId="18">
    <w:name w:val="fulltext-wrap_fields_ul_li"/>
    <w:basedOn w:val="5"/>
    <w:uiPriority w:val="0"/>
    <w:rPr>
      <w:color w:val="999999"/>
      <w:spacing w:val="0"/>
      <w:sz w:val="21"/>
      <w:szCs w:val="21"/>
    </w:rPr>
  </w:style>
  <w:style w:type="paragraph" w:customStyle="1" w:styleId="19">
    <w:name w:val="p"/>
    <w:basedOn w:val="1"/>
    <w:uiPriority w:val="0"/>
    <w:pPr>
      <w:pBdr>
        <w:top w:val="none" w:color="auto" w:sz="0" w:space="0"/>
        <w:left w:val="none" w:color="auto" w:sz="0" w:space="0"/>
        <w:bottom w:val="none" w:color="auto" w:sz="0" w:space="0"/>
        <w:right w:val="none" w:color="auto" w:sz="0" w:space="0"/>
      </w:pBdr>
      <w:textAlignment w:val="baseline"/>
    </w:pPr>
    <w:rPr>
      <w:kern w:val="0"/>
      <w:sz w:val="24"/>
      <w:lang w:val="en-US" w:eastAsia="zh-CN" w:bidi="ar"/>
    </w:rPr>
  </w:style>
  <w:style w:type="paragraph" w:customStyle="1" w:styleId="20">
    <w:name w:val="divFullText"/>
    <w:basedOn w:val="1"/>
    <w:uiPriority w:val="0"/>
    <w:pPr>
      <w:spacing w:line="600" w:lineRule="atLeast"/>
    </w:pPr>
    <w:rPr>
      <w:rFonts w:ascii="宋体" w:hAnsi="宋体" w:eastAsia="宋体" w:cs="宋体"/>
      <w:color w:val="000000"/>
      <w:sz w:val="27"/>
      <w:szCs w:val="27"/>
    </w:rPr>
  </w:style>
  <w:style w:type="character" w:customStyle="1" w:styleId="21">
    <w:name w:val="fulltext-wrap_navtiao"/>
    <w:basedOn w:val="5"/>
    <w:uiPriority w:val="0"/>
    <w:rPr>
      <w:b/>
      <w:bCs/>
    </w:rPr>
  </w:style>
  <w:style w:type="character" w:customStyle="1" w:styleId="22">
    <w:name w:val="fulltext-wrap_fulltext_a"/>
    <w:basedOn w:val="5"/>
    <w:uiPriority w:val="0"/>
    <w:rPr>
      <w:color w:val="218FC4"/>
    </w:rPr>
  </w:style>
  <w:style w:type="paragraph" w:customStyle="1" w:styleId="23">
    <w:name w:val="fulltext-wrap_fulltext_note-wrap"/>
    <w:basedOn w:val="1"/>
    <w:uiPriority w:val="0"/>
    <w:pPr>
      <w:pBdr>
        <w:top w:val="none" w:color="auto" w:sz="0" w:space="7"/>
        <w:left w:val="none" w:color="auto" w:sz="0" w:space="7"/>
        <w:bottom w:val="none" w:color="auto" w:sz="0" w:space="7"/>
        <w:right w:val="none" w:color="auto" w:sz="0" w:space="7"/>
      </w:pBdr>
      <w:shd w:val="clear" w:color="auto" w:fill="F6FAFF"/>
    </w:pPr>
    <w:rPr>
      <w:sz w:val="21"/>
      <w:szCs w:val="21"/>
      <w:shd w:val="clear" w:color="auto" w:fill="F6FAFF"/>
    </w:rPr>
  </w:style>
  <w:style w:type="character" w:customStyle="1" w:styleId="24">
    <w:name w:val="fulltext-wrap_fulltext_note-wrap_strong"/>
    <w:basedOn w:val="5"/>
    <w:uiPriority w:val="0"/>
    <w:rPr>
      <w:color w:val="8E1D1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Footnotes"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24</Pages>
  <Words>15909</Words>
  <Characters>17563</Characters>
  <Lines>1</Lines>
  <Paragraphs>1</Paragraphs>
  <TotalTime>1</TotalTime>
  <ScaleCrop>false</ScaleCrop>
  <LinksUpToDate>false</LinksUpToDate>
  <CharactersWithSpaces>17641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2026-08-17T02:11:30Z</dcterms:created>
  <dc:creator>我的请求权基础呢</dc:creator>
  <cp:lastModifiedBy>chinese-paper-format-skill</cp:lastModifiedBy>
  <dcterms:modified xsi:type="dcterms:W3CDTF">2026-08-17T02:17:30Z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eyJoZGlkIjoiYTY0NWU5YzU4NzY2YjVhMjU2MTk3NDI0YTA0NTI1NzIiLCJ1c2VySWQiOiI2MjA3NjE0ODYifQ==</vt:lpwstr>
  </property>
  <property fmtid="{D5CDD505-2E9C-101B-9397-08002B2CF9AE}" pid="3" name="KSOProductBuildVer">
    <vt:lpwstr>2052-12.1.0.28043</vt:lpwstr>
  </property>
  <property fmtid="{D5CDD505-2E9C-101B-9397-08002B2CF9AE}" pid="4" name="ICV">
    <vt:lpwstr>2135A5D53C5B4880A42A2142CC1AAF24_13</vt:lpwstr>
  </property>
</Properties>
</file>