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99CF9">
      <w:pPr>
        <w:pStyle w:val="6"/>
        <w:pBdr>
          <w:top w:val="none" w:color="auto" w:sz="0" w:space="0"/>
          <w:left w:val="none" w:color="auto" w:sz="0" w:space="0"/>
          <w:bottom w:val="none" w:color="auto" w:sz="0" w:space="0"/>
          <w:right w:val="none" w:color="auto" w:sz="0" w:space="0"/>
        </w:pBdr>
        <w:spacing w:before="0" w:after="0" w:line="240" w:lineRule="auto" w:beforeLines="0" w:afterLines="0"/>
        <w:ind w:right="375"/>
        <w:jc w:val="center"/>
        <w:textAlignment w:val="baseline"/>
        <w:rPr>
          <w:rFonts w:ascii="Arial" w:hAnsi="Arial" w:eastAsia="Arial" w:cs="Arial"/>
          <w:b/>
          <w:bCs/>
          <w:sz w:val="30"/>
          <w:szCs w:val="30"/>
          <w:lang/>
        </w:rPr>
      </w:pPr>
      <w:bookmarkStart w:id="15" w:name="_GoBack"/>
      <w:bookmarkEnd w:id="15"/>
      <w:r>
        <w:rPr>
          <w:rFonts w:ascii="宋体" w:hAnsi="宋体" w:eastAsia="黑体" w:cs="宋体"/>
          <w:b w:val="0"/>
          <w:bCs/>
          <w:i w:val="0"/>
          <w:sz w:val="28"/>
          <w:lang/>
        </w:rPr>
        <w:t>认罪认罚从宽制度中的证据法问题</w:t>
      </w:r>
    </w:p>
    <w:p w14:paraId="610E77DE">
      <w:pPr>
        <w:ind w:left="375" w:right="375"/>
        <w:rPr>
          <w:rFonts w:ascii="Arial" w:hAnsi="Arial" w:eastAsia="Arial" w:cs="Arial"/>
          <w:lang/>
        </w:rPr>
      </w:pPr>
      <w:r>
        <w:rPr>
          <w:rFonts w:ascii="Arial" w:hAnsi="Arial" w:eastAsia="Arial" w:cs="Arial"/>
          <w:lang/>
        </w:rPr>
        <w:br w:type="textWrapping"/>
      </w:r>
    </w:p>
    <w:p w14:paraId="7B16AF53">
      <w:pPr>
        <w:pStyle w:val="9"/>
        <w:pBdr>
          <w:top w:val="none" w:color="auto" w:sz="0" w:space="0"/>
          <w:left w:val="none" w:color="auto" w:sz="0" w:space="0"/>
          <w:bottom w:val="none" w:color="auto" w:sz="0" w:space="0"/>
          <w:right w:val="none" w:color="auto" w:sz="0" w:space="0"/>
        </w:pBdr>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2018年修正的刑事诉讼法增设认罪认罚从宽制度，并开始全面实施。经过7年多实践，认罪认罚从宽制度适用率全面提升，上诉率稳步下降，认罪认罚从宽制度在节约资源、繁简分流、案结息诉等方面的制度效能逐渐释放。2023年，认罪认罚从宽制度在检察环节的适用率超过90%，一审服判率为96.8%。2024年，认罪认罚从宽制度在检察环节的适用率为86.9%，一审服判率为96.9%。[1]2019年10月24日，为保证认罪认罚从宽制度正确有效实施，最高人民法院、最高人民检察院、公安部、国家安全部、司法部联合发布《</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"https://www.pkulaw.com/chl/dab537e302636ea3bdfb.html?way=textSlc" \l "tiao_0"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关于适用认罪认罚从宽制度的指导意见</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随着认罪认罚从宽制度的深入推进，实践中又出现了一些新的问题，及时对这些问题进行研究总结，对于认罪认罚从宽制度的健康运行十分必要。本文主要就认罪认罚从宽制度实施过程中涉及的证据法问题略陈己见。</w:t>
      </w:r>
      <w:r>
        <w:rPr>
          <w:rFonts w:eastAsia="宋体" w:ascii="宋体" w:hAnsi="宋体" w:cs="宋体"/>
          <w:b w:val="0"/>
          <w:i w:val="0"/>
          <w:sz w:val="21"/>
          <w:vertAlign w:val="superscript"/>
        </w:rPr>
        <w:footnoteReference w:id="1"/>
      </w:r>
    </w:p>
    <w:p w14:paraId="09A46B1F">
      <w:pPr>
        <w:pStyle w:val="9"/>
        <w:spacing w:before="0" w:after="0" w:line="240" w:lineRule="auto" w:beforeLines="0" w:afterLines="0"/>
        <w:ind w:right="375"/>
        <w:jc w:val="center"/>
        <w:rPr>
          <w:rFonts w:ascii="宋体" w:hAnsi="宋体" w:eastAsia="宋体" w:cs="宋体"/>
          <w:color w:val="000000"/>
          <w:sz w:val="27"/>
          <w:szCs w:val="27"/>
          <w:lang/>
        </w:rPr>
      </w:pPr>
      <w:bookmarkStart w:id="0" w:name="sort_1"/>
      <w:bookmarkEnd w:id="0"/>
      <w:r>
        <w:rPr>
          <w:rFonts w:ascii="宋体" w:hAnsi="宋体" w:eastAsia="宋体" w:cs="宋体"/>
          <w:b/>
          <w:i w:val="0"/>
          <w:color w:val="000000"/>
          <w:sz w:val="24"/>
          <w:szCs w:val="27"/>
          <w:vertAlign w:val="baseline"/>
          <w:lang/>
        </w:rPr>
        <w:t>一、犯罪嫌疑人、被告人反悔时认罪认罚具结书与相关供述的使用问题</w:t>
      </w:r>
      <w:r>
        <w:rPr>
          <w:rFonts w:eastAsia="宋体" w:ascii="宋体" w:hAnsi="宋体" w:cs="宋体"/>
          <w:b/>
          <w:i w:val="0"/>
          <w:sz w:val="24"/>
          <w:vertAlign w:val="superscript"/>
        </w:rPr>
        <w:footnoteReference w:id="2"/>
      </w:r>
    </w:p>
    <w:p w14:paraId="0385AA4B">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 w:name="sort_1_1"/>
      <w:bookmarkEnd w:id="1"/>
      <w:r>
        <w:rPr>
          <w:rFonts w:ascii="宋体" w:hAnsi="宋体" w:eastAsia="楷体" w:cs="宋体"/>
          <w:b/>
          <w:i w:val="0"/>
          <w:color w:val="000000"/>
          <w:sz w:val="24"/>
          <w:szCs w:val="27"/>
          <w:vertAlign w:val="baseline"/>
          <w:lang/>
        </w:rPr>
        <w:t>（一）认罪认罚具结书的性质</w:t>
      </w:r>
      <w:r>
        <w:rPr>
          <w:rFonts w:eastAsia="楷体" w:ascii="宋体" w:hAnsi="宋体" w:cs="宋体"/>
          <w:b/>
          <w:i w:val="0"/>
          <w:sz w:val="24"/>
          <w:vertAlign w:val="superscript"/>
        </w:rPr>
        <w:footnoteReference w:id="3"/>
      </w:r>
    </w:p>
    <w:p w14:paraId="6F4DBE3B">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认罪认罚具结书，是认罪认罚从宽制度运行中的关键文书，其性质为何、效力如何，从认罪认罚从宽制度试点时期开始，就一直有不同的看法。例如，有观点认为，被追诉人撤回认罪认罚具结书后，具结书不能作为其认罪认罚的依据，但仍可能作为其曾作有罪供述的证据提交至法院。[2]该观点主要以试点期间最高人民法院制发的《认罪认罚从宽制度告知书》第7条为根据，该条规定，“犯罪嫌疑人、被告人撤回《认罪认罚具结书》后，犯罪嫌疑人、被告人已签署过的《认罪认罚具结书》不能作为本人认罪认罚的依据，但仍可能作为其曾作有罪供述的证据，由人民法院结合其他证据对本案事实进行认定。”另有观点认为，认罪认罚具结书是一种证明认罪认罚诉讼过程事实的程序性证据或称为过程性证据，具体可归入《</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"https://www.pkulaw.com/chl/5a06769be1274052bdfb.html?way=textSlc" \l "tiao_0"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刑事诉讼法</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"https://www.pkulaw.com/chl/5a06769be1274052bdfb.html?way=textSlc" \l "tiao_50"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50</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中“笔录类证据”，仅能证明认罪认罚诉讼行为的自愿性与合法性，不能直接作为证明被追诉人有罪的证据，同时也不应用于补强被追诉人作出的有罪供述。[3]但也有学者对上述观点持明确反对态度，认为具结书本身仅仅是被追诉人所作的一种声明，不符合证据所具有的还原案件事实的基本功能和要求，实务中不能将具结书直接作为口供来用，更不能径直以具结书作为认定案件事实的证据。[4]当然，绝大多数学者，包括前述对具结书的证据地位有不同看法的学者都一致认同的看法是，认罪认罚具结书具有契约或协议的性质。[5]</w:t>
      </w:r>
      <w:r>
        <w:rPr>
          <w:rFonts w:eastAsia="宋体" w:ascii="宋体" w:hAnsi="宋体" w:cs="宋体"/>
          <w:b w:val="0"/>
          <w:i w:val="0"/>
          <w:sz w:val="21"/>
          <w:vertAlign w:val="superscript"/>
        </w:rPr>
        <w:footnoteReference w:id="4"/>
      </w:r>
    </w:p>
    <w:p w14:paraId="42BD3A05">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“具结书”一词最早出现于最高人民法院、最高人民检察院、公安部和司法部2014年联合发布的《</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"https://www.pkulaw.com/chl/66c6494ac0f57bc5bdfb.html?way=textSlc" \l "tiao_0"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关于在部分地区开展刑事案件速裁程序试点工作的办法</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》第8条，“决定起诉并建议人民法院适用速裁程序的，应当在起诉书中提出量刑建议，并提供犯罪嫌疑人的具结书等材料。”2016年，最高人民法院、最高人民检察院、公安部、国家安全部和司法部印发了《</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"https://www.pkulaw.com/chl/5b13b34048ee275fbdfb.html?way=textSlc" \l "tiao_0"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关于在部分地区开展刑事案件认罪认罚从宽制度试点工作的办法</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具结书”一词开始大量使用。根据《辞海》，具结是指“旧时对官署提出表示负责的文字”，[6]即犯罪嫌疑人向办案机关递交的保证书。然而，作为认罪认罚从宽核心制度的具结书，是控辩双方就指控犯罪事实、量刑建议、程序选择等重要事项达成一致的产物。因此，绝大多数学者都认同认罪认罚具结书本质上是一种刑事契约或量刑协议。</w:t>
      </w:r>
      <w:r>
        <w:rPr>
          <w:rFonts w:eastAsia="宋体" w:ascii="宋体" w:hAnsi="宋体" w:cs="宋体"/>
          <w:b w:val="0"/>
          <w:i w:val="0"/>
          <w:sz w:val="21"/>
          <w:vertAlign w:val="superscript"/>
        </w:rPr>
        <w:footnoteReference w:id="5"/>
      </w:r>
    </w:p>
    <w:p w14:paraId="74783853">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既然本质上是契约或协议，一旦签署，控辩双方从道义上应该受其约束，依照双方合意实施诉讼行为、履行一定的义务。但是，该协议对控辩双方的约束力并不对等。对犯罪嫌疑人、被告人而言，该协议并无强制约束力，为保障认罪认罚的自愿性，法律允许犯罪嫌疑人、被告人反悔，不再认罪认罚。认罪认罚具结书对于检察机关虽然没有法律上的拘束力，但出于诚信原则，同时为了保护犯罪嫌疑人、被告人的期待利益，在犯罪嫌疑人签署具结书后，如果没有出现新的事实和证据，人民检察院不得单方撤销具结书、变更量刑建议。</w:t>
      </w:r>
      <w:r>
        <w:rPr>
          <w:rFonts w:eastAsia="宋体" w:ascii="宋体" w:hAnsi="宋体" w:cs="宋体"/>
          <w:b w:val="0"/>
          <w:i w:val="0"/>
          <w:sz w:val="21"/>
          <w:vertAlign w:val="superscript"/>
        </w:rPr>
        <w:footnoteReference w:id="6"/>
      </w:r>
    </w:p>
    <w:p w14:paraId="1CD96505">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2" w:name="sort_1_2"/>
      <w:bookmarkEnd w:id="2"/>
      <w:r>
        <w:rPr>
          <w:rFonts w:ascii="宋体" w:hAnsi="宋体" w:eastAsia="楷体" w:cs="宋体"/>
          <w:b/>
          <w:i w:val="0"/>
          <w:color w:val="000000"/>
          <w:sz w:val="24"/>
          <w:szCs w:val="27"/>
          <w:vertAlign w:val="baseline"/>
          <w:lang/>
        </w:rPr>
        <w:t>（二）犯罪嫌疑人、被告人反悔后具结书的效力</w:t>
      </w:r>
      <w:r>
        <w:rPr>
          <w:rFonts w:eastAsia="楷体" w:ascii="宋体" w:hAnsi="宋体" w:cs="宋体"/>
          <w:b/>
          <w:i w:val="0"/>
          <w:sz w:val="24"/>
          <w:vertAlign w:val="superscript"/>
        </w:rPr>
        <w:footnoteReference w:id="7"/>
      </w:r>
    </w:p>
    <w:p w14:paraId="49513C7D">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如果犯罪嫌疑人在签署认罪认罚具结书后反悔，不再认罪或者不履行具结书中需要履行的赔偿损失、退赃退赔等义务，在这种情况下，对认罪认罚具结书该如何处理？</w:t>
      </w:r>
      <w:r>
        <w:rPr>
          <w:rFonts w:eastAsia="宋体" w:ascii="宋体" w:hAnsi="宋体" w:cs="宋体"/>
          <w:b w:val="0"/>
          <w:i w:val="0"/>
          <w:sz w:val="21"/>
          <w:vertAlign w:val="superscript"/>
        </w:rPr>
        <w:footnoteReference w:id="8"/>
      </w:r>
    </w:p>
    <w:p w14:paraId="7002DE51">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认罪认罚具结书的内容除犯罪嫌疑人身份信息、权利知悉声明、自愿性声明外，最核心部分是声明本人知悉并认可指控犯罪事实、检察机关提出的量刑建议和选择审判程序的情况。那么，犯罪嫌疑人对指控犯罪事实的笼统认可，是否构成一种证据？</w:t>
      </w:r>
      <w:r>
        <w:rPr>
          <w:rFonts w:eastAsia="宋体" w:ascii="宋体" w:hAnsi="宋体" w:cs="宋体"/>
          <w:b w:val="0"/>
          <w:i w:val="0"/>
          <w:sz w:val="21"/>
          <w:vertAlign w:val="superscript"/>
        </w:rPr>
        <w:footnoteReference w:id="9"/>
      </w:r>
    </w:p>
    <w:p w14:paraId="5674827B">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对抗制诉讼制度下，被告人宣布认可指控的犯罪事实，是一种放弃“对抗”的表现。在这种情况下，对抗制审判从根本上不必举行，直接进入量刑程序。此时，被告人对指控犯罪事实的认可，如同民事诉讼中的自认一样，不仅是一种非常有力的证据，还具有重要的程序法效果。但是，在以查明案件真相为主要任务的非对抗制诉讼制度下，证据是查明案件真相的线索，是重建案件事实的基础，作为证据的“供述”不能只是笼统地宣布认可指控犯罪事实，还必须提供犯罪细节。作为证据的供述，是对案件细节的陈述。而对指控犯罪事实表示认可，构成一种态度，至多反映行为人是否悔过等主观心理状态。即便如此，提供细节的供述也比笼统的认罪宣告更能反映出行为人真实的内心状态。因此，单纯地表示对指控犯罪事实的认可与我国证据法中的“供述”尚有一定差距，认罪认罚具结书不具有证据属性。</w:t>
      </w:r>
      <w:r>
        <w:rPr>
          <w:rFonts w:eastAsia="宋体" w:ascii="宋体" w:hAnsi="宋体" w:cs="宋体"/>
          <w:b w:val="0"/>
          <w:i w:val="0"/>
          <w:sz w:val="21"/>
          <w:vertAlign w:val="superscript"/>
        </w:rPr>
        <w:footnoteReference w:id="10"/>
      </w:r>
    </w:p>
    <w:p w14:paraId="0ABE448B">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3" w:name="sort_1_3"/>
      <w:bookmarkEnd w:id="3"/>
      <w:r>
        <w:rPr>
          <w:rFonts w:ascii="宋体" w:hAnsi="宋体" w:eastAsia="楷体" w:cs="宋体"/>
          <w:b/>
          <w:i w:val="0"/>
          <w:color w:val="000000"/>
          <w:sz w:val="24"/>
          <w:szCs w:val="27"/>
          <w:vertAlign w:val="baseline"/>
          <w:lang/>
        </w:rPr>
        <w:t>（三）认罪认罚具结书失效后相关供述的处理</w:t>
      </w:r>
      <w:r>
        <w:rPr>
          <w:rFonts w:eastAsia="楷体" w:ascii="宋体" w:hAnsi="宋体" w:cs="宋体"/>
          <w:b/>
          <w:i w:val="0"/>
          <w:sz w:val="24"/>
          <w:vertAlign w:val="superscript"/>
        </w:rPr>
        <w:footnoteReference w:id="11"/>
      </w:r>
    </w:p>
    <w:p w14:paraId="016B4CD6">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如果犯罪嫌疑人在签署认罪认罚具结书后反悔，不再认罪认罚，认罪认罚具结书失效，那么犯罪嫌疑人、被告人所作供述该如何处理？该问题的处理，既关涉价值取舍，也与犯罪嫌疑人供述自身属性有关，更与国家制度环境有密切的关系。</w:t>
      </w:r>
      <w:r>
        <w:rPr>
          <w:rFonts w:eastAsia="宋体" w:ascii="宋体" w:hAnsi="宋体" w:cs="宋体"/>
          <w:b w:val="0"/>
          <w:i w:val="0"/>
          <w:sz w:val="21"/>
          <w:vertAlign w:val="superscript"/>
        </w:rPr>
        <w:footnoteReference w:id="12"/>
      </w:r>
    </w:p>
    <w:p w14:paraId="456AFEC1">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有些国家的立法否定交易破裂后相关陈述的证据资格，[7]其本意是让被告人放弃后顾之忧，大胆与检察官进行协商，即使协商没有达成预想的成果，或者协商破裂，已经作出的相关陈述也不会使自己陷于更不利的境地。但是，实践中的运作情况却事与愿违，由于检察官可以以被告人放弃相关立法保护作为开始协商的前提条件，当前，被告人放弃上述立法保护已经成为辩诉交易实践中的常规操作。[8]</w:t>
      </w:r>
      <w:r>
        <w:rPr>
          <w:rFonts w:eastAsia="宋体" w:ascii="宋体" w:hAnsi="宋体" w:cs="宋体"/>
          <w:b w:val="0"/>
          <w:i w:val="0"/>
          <w:sz w:val="21"/>
          <w:vertAlign w:val="superscript"/>
        </w:rPr>
        <w:footnoteReference w:id="13"/>
      </w:r>
    </w:p>
    <w:p w14:paraId="283E6EAE">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我国的制度环境有所不同。其一，从诉讼行为理论的视角来看，我国的供述不同于对抗制诉讼之下的认罪答辩。在我国，犯罪嫌疑人、被告人的供述行为形成的是纯粹的证据，其在刑事诉讼中的效果是影响法官心证，属于实体形成行为，或诉讼事实行为。对抗制诉讼之下的认罪答辩不是纯粹的证据法上的自白，它还具有程序法功能（例如认罪答辩后可以规避审判，直接进入量刑程序），属于程序形成行为，或诉讼法律行为。一般而言，诉讼法律行为是可以撤回或撤销的，例如撤销原判、撤回告诉、撤回自诉；而实体形成行为或诉讼事实行为发生了就是发生了，无法撤销。就供述而言，一旦作出，就会对司法主体的心证产生影响，没有撤回之说。其二，在我国，排除口供的唯一理论根据是证据收集方式不合法，排除口供的立法依据则是《</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"https://www.pkulaw.com/chl/5a06769be1274052bdfb.html?way=textSlc" \l "tiao_0"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刑事诉讼法</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56—60条所规定的非法证据排除制度。如果不属于证据取得方式不合法的情形，在我国制度环境下就不存在排除口供的理论根据和立法依据。我们当下讨论的具结书失效后相关口供的使用问题，即属于这种情形。所以，在认罪认罚具结书失效后否定供述的证据资格面临着理论上的难题，也缺乏立法上的依据。</w:t>
      </w:r>
      <w:r>
        <w:rPr>
          <w:rFonts w:eastAsia="宋体" w:ascii="宋体" w:hAnsi="宋体" w:cs="宋体"/>
          <w:b w:val="0"/>
          <w:i w:val="0"/>
          <w:sz w:val="21"/>
          <w:vertAlign w:val="superscript"/>
        </w:rPr>
        <w:footnoteReference w:id="14"/>
      </w:r>
    </w:p>
    <w:p w14:paraId="4396D2C2">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我国，强调认罪认罚具结书对控辩双方约束力的不对等性，正是为了防范参与协商的公权力机关出尔反尔，甚至利用交易或协商作为骗取嫌疑人供述的工具。如果是犯罪嫌疑人、被告人在签署认罪认罚具结书后反悔，则无需提供这种特殊的保护。被告人在诉讼早期作出的供述，将和法庭上的辩解一起，成为法庭调查的对象，法庭将在全面审查判断全案证据的基础上对案件事实作出认定。具体说来，法庭此时面对的既有前期作出的有罪供述，也有反悔之后不认罪的辩解，对于这种情况，可以依据《</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"https://www.pkulaw.com/chl/b9e351a3215ceccdbdfb.html?way=textSlc" \l "tiao_0"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最高人民法院关于适用〈中华人民共和国刑事诉讼法〉的解释</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》（以下简称《解释》）第96条关于翻供的规定进行处理。[9]</w:t>
      </w:r>
      <w:r>
        <w:rPr>
          <w:rFonts w:eastAsia="宋体" w:ascii="宋体" w:hAnsi="宋体" w:cs="宋体"/>
          <w:b w:val="0"/>
          <w:i w:val="0"/>
          <w:sz w:val="21"/>
          <w:vertAlign w:val="superscript"/>
        </w:rPr>
        <w:footnoteReference w:id="15"/>
      </w:r>
    </w:p>
    <w:p w14:paraId="6106CF5C">
      <w:pPr>
        <w:pStyle w:val="9"/>
        <w:spacing w:before="0" w:after="0" w:line="240" w:lineRule="auto" w:beforeLines="0" w:afterLines="0"/>
        <w:ind w:right="375"/>
        <w:jc w:val="center"/>
        <w:rPr>
          <w:rFonts w:ascii="宋体" w:hAnsi="宋体" w:eastAsia="宋体" w:cs="宋体"/>
          <w:color w:val="000000"/>
          <w:sz w:val="27"/>
          <w:szCs w:val="27"/>
          <w:lang/>
        </w:rPr>
      </w:pPr>
      <w:bookmarkStart w:id="4" w:name="sort_2"/>
      <w:bookmarkEnd w:id="4"/>
      <w:r>
        <w:rPr>
          <w:rFonts w:ascii="宋体" w:hAnsi="宋体" w:eastAsia="宋体" w:cs="宋体"/>
          <w:b/>
          <w:i w:val="0"/>
          <w:color w:val="000000"/>
          <w:sz w:val="24"/>
          <w:szCs w:val="27"/>
          <w:vertAlign w:val="baseline"/>
          <w:lang/>
        </w:rPr>
        <w:t>二、认罪认罚案件中的证明标准</w:t>
      </w:r>
      <w:r>
        <w:rPr>
          <w:rFonts w:eastAsia="宋体" w:ascii="宋体" w:hAnsi="宋体" w:cs="宋体"/>
          <w:b/>
          <w:i w:val="0"/>
          <w:sz w:val="24"/>
          <w:vertAlign w:val="superscript"/>
        </w:rPr>
        <w:footnoteReference w:id="16"/>
      </w:r>
    </w:p>
    <w:p w14:paraId="36C2BEEF">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早在认罪认罚从宽制度试点期间，就存在降低证明标准的呼声，认为被告人已经认罪认罚，没有必要再坚持“犯罪事实清楚，证据确实、充分”的有罪认定标准。在部分国家，被告人认罪后的确可以降低定罪的证明标准。例如在美国，如果被告人在传讯程序中作出有罪答辩，[10]法官可以根据该有罪答辩作出有罪判决，宪法对此没有任何限制，只是成文法要求“在对有罪答辩作出判决之前，法庭必须确定答辩存在事实根据”。[11]这里不要求初审法官相信被告人有罪，只要答辩存在一定的“事实根据”（a factual basis）就足够。这还是在被告人明确作出认罪答辩情形下的要求。如果被告人作出的是“不争辩答辩”（Nolo Contendere），那么甚至连存在一定“事实根据”的成文法要求也不需要了。[12]在另一种情形下，“事实根据”的要求会被强化，即如果被告人作出的是“阿尔弗德答辩”（alford plea），[13]那么接受认罪答辩的初审法官必须确认答辩存在一定的事实基础。此时的标准是，如果案件存在事实上有罪的“有力证据”（strong evidence），那么即使被告人宣称自己没有实施犯罪，法官仍可以接受认罪答辩。[14]所谓的“有力证据”，其具体标准是什么，并没有官方的定义，但是显然不需要达到“排除合理怀疑”地确信被告人有罪的程度。可见，在上述国家，一旦被告人作认罪答辩，证明标准是可以降低的。但是，证明标准在刑事诉讼中不是一个简单的技术问题，它是支撑起整个刑事诉讼价值体系的脊梁，所以，对能否降低证明标准的讨论不能停留在“术”的层面，必须深入到“道”的层面讨论证明标准的制度基础。</w:t>
      </w:r>
      <w:r>
        <w:rPr>
          <w:rFonts w:eastAsia="宋体" w:ascii="宋体" w:hAnsi="宋体" w:cs="宋体"/>
          <w:b w:val="0"/>
          <w:i w:val="0"/>
          <w:sz w:val="21"/>
          <w:vertAlign w:val="superscript"/>
        </w:rPr>
        <w:footnoteReference w:id="17"/>
      </w:r>
    </w:p>
    <w:p w14:paraId="1CF6BEFD">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5" w:name="sort_2_1"/>
      <w:bookmarkEnd w:id="5"/>
      <w:r>
        <w:rPr>
          <w:rFonts w:ascii="宋体" w:hAnsi="宋体" w:eastAsia="楷体" w:cs="宋体"/>
          <w:b/>
          <w:i w:val="0"/>
          <w:color w:val="000000"/>
          <w:sz w:val="24"/>
          <w:szCs w:val="27"/>
          <w:vertAlign w:val="baseline"/>
          <w:lang/>
        </w:rPr>
        <w:t>（一）证明标准的制度功能</w:t>
      </w:r>
      <w:r>
        <w:rPr>
          <w:rFonts w:eastAsia="楷体" w:ascii="宋体" w:hAnsi="宋体" w:cs="宋体"/>
          <w:b/>
          <w:i w:val="0"/>
          <w:sz w:val="24"/>
          <w:vertAlign w:val="superscript"/>
        </w:rPr>
        <w:footnoteReference w:id="18"/>
      </w:r>
    </w:p>
    <w:p w14:paraId="69B4249F">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讨论认罪认罚案件中证明标准能否降低的问题，需要从刑事证明标准的定义与制度功能出发。刑事证明标准这个术语如果没有特别说明，一般是指法官在判决被告人有罪时（定罪）需要达到的心证程度或认识程度。从制度功能上看，刑事证明标准与无罪推定原则一起，构成了刑事诉讼法中最重要的实体保障。人们经常将刑事审判比喻成检察机关的一场跨栏障碍赛，检察机关只有跨过立法所设置的重重障碍，才能实现对被告人定罪，证明标准就是立法给检察机关设置的需要跨越的栏杆。如果栏杆很低，检察机关可以很轻易地跨越，就意味着对被告人定罪很容易。对被告人定罪容易意味着真正的罪犯不容易逃脱定罪，有利于实现打击犯罪的目标，但是，无辜被告人在较低的定罪门槛下也容易被错判有罪，对保障无辜不利。可见，如果证明标准很低，那么即使有无罪推定原则，也不能起到实质性的保护作用，因为检察机关可以轻易跨过这个门槛。</w:t>
      </w:r>
      <w:r>
        <w:rPr>
          <w:rFonts w:eastAsia="宋体" w:ascii="宋体" w:hAnsi="宋体" w:cs="宋体"/>
          <w:b w:val="0"/>
          <w:i w:val="0"/>
          <w:sz w:val="21"/>
          <w:vertAlign w:val="superscript"/>
        </w:rPr>
        <w:footnoteReference w:id="19"/>
      </w:r>
    </w:p>
    <w:p w14:paraId="55A98A46">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刑事证明标准是基于特定的价值观和认识论作出的立法选择。国家立法在设计刑事证明标准时首先要进行价值选择：如果认为打击犯罪比保障无辜更重要，就选择低一点的证明标准；如果认为错判无辜比放纵犯罪更糟糕，就要选择高一点的证明标准。在这个问题上，没有任何现代国家公然地承认为了惩罚犯罪可以牺牲无辜，因此，各国都会选择一个最高的证明标准以尽量避免错判无辜。至于证明标准能有多高，这个问题又进入认识领域，即人们对案件事实的认识能够达到何种程度？对这一问题的回答取决于一个国家的主流认识论哲学。我国的主流认识论哲学是马克思主义认识论，即辩证唯物主义认识论，辩证唯物主义认识论是可知论，认为人可以达到对客观世界的正确认识。虽然认识案件事实具有一定的特殊性并受到各种主客观条件的限制，但认定被告人有罪一定要建立在最高的认识程度上，即客观真实的基础上，这是我国“犯罪事实清楚，证据确实、充分”证明标准形成的价值论前提和认识论基础。可见，证明标准的制度功能在于保障无辜者免受错误定罪。降低证明标准即意味着容忍无辜者被定罪的可能性。</w:t>
      </w:r>
      <w:r>
        <w:rPr>
          <w:rFonts w:eastAsia="宋体" w:ascii="宋体" w:hAnsi="宋体" w:cs="宋体"/>
          <w:b w:val="0"/>
          <w:i w:val="0"/>
          <w:sz w:val="21"/>
          <w:vertAlign w:val="superscript"/>
        </w:rPr>
        <w:footnoteReference w:id="20"/>
      </w:r>
    </w:p>
    <w:p w14:paraId="5CAADB16">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6" w:name="sort_2_2"/>
      <w:bookmarkEnd w:id="6"/>
      <w:r>
        <w:rPr>
          <w:rFonts w:ascii="宋体" w:hAnsi="宋体" w:eastAsia="楷体" w:cs="宋体"/>
          <w:b/>
          <w:i w:val="0"/>
          <w:color w:val="000000"/>
          <w:sz w:val="24"/>
          <w:szCs w:val="27"/>
          <w:vertAlign w:val="baseline"/>
          <w:lang/>
        </w:rPr>
        <w:t>（二）认罪认罚案件不能降低证明标准</w:t>
      </w:r>
      <w:r>
        <w:rPr>
          <w:rFonts w:eastAsia="楷体" w:ascii="宋体" w:hAnsi="宋体" w:cs="宋体"/>
          <w:b/>
          <w:i w:val="0"/>
          <w:sz w:val="24"/>
          <w:vertAlign w:val="superscript"/>
        </w:rPr>
        <w:footnoteReference w:id="21"/>
      </w:r>
    </w:p>
    <w:p w14:paraId="5311A51D">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认罪认罚案件中不能降低证明标准，直接原因是立法并未给认罪认罚案件设置另外的证明标准，认罪认罚案件中的证明标准仍然是“犯罪事实清楚，证据确实、充分”。立法之所以没有为认罪认罚案件降低证明标准，是因为降低证明标准意味着容忍并接受无辜者被定罪的可能性。这是一种立法价值选择。如前所述，确实有国家在被告人认罪后选择降低证明标准，但是，在刑事诉讼中以追求实质真实为目标的国家大多数作出了与我国同样的选择，即不降低证明标准。</w:t>
      </w:r>
      <w:r>
        <w:rPr>
          <w:rFonts w:eastAsia="宋体" w:ascii="宋体" w:hAnsi="宋体" w:cs="宋体"/>
          <w:b w:val="0"/>
          <w:i w:val="0"/>
          <w:sz w:val="21"/>
          <w:vertAlign w:val="superscript"/>
        </w:rPr>
        <w:footnoteReference w:id="22"/>
      </w:r>
    </w:p>
    <w:p w14:paraId="037C53C5">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这一问题背后的深层考虑是，是否降低认罪认罚案件的证明标准，与以下几个重大问题密切相关：其一，刑事诉讼建立的理论基础，这主要体现在对刑事诉讼性质和审判任务的理解上。有的国家对刑事诉讼性质的理解更接近于解决纠纷，审判的唯一任务是定罪，量刑传统上不被认为是审判的任务。如果被告人在正式的传讯程序中作认罪答辩，就意味着控辩双方之间不存在实质性争点，那么审判从根本上不再举行，直接进入量刑程序。我国对刑事诉讼的设计更接近对案件真相的调查程序，而非解决纠纷的程序。即使控辩双方对于指控的态度不存在实质性分歧，例如被告人已经认罪，审判仍需照常举行，双方的意见也不能约束法庭，法庭仍应在查明真相的基础上作出判决。《</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"https://www.pkulaw.com/chl/5a06769be1274052bdfb.html?way=textSlc" \l "tiao_0"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刑事诉讼法</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》第</w:t>
      </w:r>
      <w:r>
        <w:rPr>
          <w:rFonts w:ascii="宋体" w:hAnsi="宋体" w:eastAsia="宋体" w:cs="宋体"/>
          <w:b w:val="0"/>
          <w:i w:val="0"/>
          <w:color w:val="000000"/>
          <w:sz w:val="21"/>
          <w:szCs w:val="27"/>
          <w:vertAlign w:val="baseline"/>
          <w:lang/>
        </w:rPr>
        <w:fldChar w:fldCharType="begin"/>
      </w:r>
      <w:r>
        <w:rPr>
          <w:rFonts w:ascii="宋体" w:hAnsi="宋体" w:eastAsia="宋体" w:cs="宋体"/>
          <w:b w:val="0"/>
          <w:i w:val="0"/>
          <w:color w:val="000000"/>
          <w:sz w:val="21"/>
          <w:szCs w:val="27"/>
          <w:vertAlign w:val="baseline"/>
          <w:lang/>
        </w:rPr>
        <w:instrText xml:space="preserve"> HYPERLINK "https://www.pkulaw.com/chl/5a06769be1274052bdfb.html?way=textSlc" \l "tiao_55" </w:instrText>
      </w:r>
      <w:r>
        <w:rPr>
          <w:rFonts w:ascii="宋体" w:hAnsi="宋体" w:eastAsia="宋体" w:cs="宋体"/>
          <w:b w:val="0"/>
          <w:i w:val="0"/>
          <w:color w:val="000000"/>
          <w:sz w:val="21"/>
          <w:szCs w:val="27"/>
          <w:vertAlign w:val="baseline"/>
          <w:lang/>
        </w:rPr>
        <w:fldChar w:fldCharType="separate"/>
      </w:r>
      <w:r>
        <w:rPr>
          <w:rStyle w:val="10"/>
          <w:rFonts w:ascii="宋体" w:hAnsi="宋体" w:eastAsia="宋体" w:cs="宋体"/>
          <w:b w:val="0"/>
          <w:i w:val="0"/>
          <w:sz w:val="21"/>
          <w:szCs w:val="27"/>
          <w:lang/>
        </w:rPr>
        <w:t>55</w:t>
      </w:r>
      <w:r>
        <w:rPr>
          <w:rStyle w:val="10"/>
          <w:rFonts w:ascii="宋体" w:hAnsi="宋体" w:eastAsia="宋体" w:cs="宋体"/>
          <w:b w:val="0"/>
          <w:i w:val="0"/>
          <w:sz w:val="21"/>
          <w:szCs w:val="27"/>
          <w:lang/>
        </w:rPr>
        <w:fldChar w:fldCharType="end"/>
      </w:r>
      <w:r>
        <w:rPr>
          <w:rFonts w:ascii="宋体" w:hAnsi="宋体" w:eastAsia="宋体" w:cs="宋体"/>
          <w:b w:val="0"/>
          <w:i w:val="0"/>
          <w:color w:val="000000"/>
          <w:sz w:val="21"/>
          <w:szCs w:val="27"/>
          <w:vertAlign w:val="baseline"/>
          <w:lang/>
        </w:rPr>
        <w:t>条规定的“只有被告人供述，没有其他证据的，不能认定被告人有罪和处以刑罚”比较典型地反映了这种立场。</w:t>
      </w:r>
      <w:r>
        <w:rPr>
          <w:rFonts w:eastAsia="宋体" w:ascii="宋体" w:hAnsi="宋体" w:cs="宋体"/>
          <w:b w:val="0"/>
          <w:i w:val="0"/>
          <w:sz w:val="21"/>
          <w:vertAlign w:val="superscript"/>
        </w:rPr>
        <w:footnoteReference w:id="23"/>
      </w:r>
    </w:p>
    <w:p w14:paraId="58ED0B16">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其二，法官对判决的准确性所承担的责任。在有的国家，法官对刑事判决的准确性基本不承担责任，相反，这些国家的程序机制的设计实际上也起到了分化和转移错判责任的效果。例如，使用陪审团认定事实，即使出错，甚至是造成冤案，也很难追究主审法官的司法责任，因为负责认定事实和定罪的是陪审团，法官只负责适用法律和量刑。在我国，法官被认为对判决的准确性负有责任。事实认定错误，不仅会引起诉讼法上的责任，例如在判决有错误时被上级法院改判或者撤销，而且可能引起司法责任，甚至终身追责。降低证明标准意味着要接受错判无辜的风险，需要考虑我国社会的接受度。同时，降低证明标准客观上也要求减轻法官的错案责任，只降低证明标准而不减轻法官的司法责任没有任何意义，而减轻法官的司法责任会不会引起刑事案件判决质量的整体下降，也是一个需要谨慎评估的问题。</w:t>
      </w:r>
      <w:r>
        <w:rPr>
          <w:rFonts w:eastAsia="宋体" w:ascii="宋体" w:hAnsi="宋体" w:cs="宋体"/>
          <w:b w:val="0"/>
          <w:i w:val="0"/>
          <w:sz w:val="21"/>
          <w:vertAlign w:val="superscript"/>
        </w:rPr>
        <w:footnoteReference w:id="24"/>
      </w:r>
    </w:p>
    <w:p w14:paraId="2A6F3017">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其三，我国社会对冤枉无辜的容忍度。在我国，冤枉无辜被视为最大的司法不公，无论是立法还是普通民众，对冤枉无辜的容忍度趋近于零。不得不承认，有的国家对冤案的容忍度相对较高。例如在美国，“阿尔弗德答辩”的存在本身即意味着对冤枉无辜在一定程度上的容忍。另一个例证是，除北卡罗林纳等少数州模仿英国设立无辜调查委员会（NCIIC）外，美国至今没有发展出类似于我国再审程序的专门针对错误生效判决进行纠错的制度性措施。直到2009年，美国最高法院才首次允许当事人以“无辜”作为独立的理由，申请人身保护令。[15]这种不设置专门的再审程序，只是借用人身保护令等古老的普通法程序平反冤案的做法，实践效果并不理想。在2009年这个典型案例中，申诉人Troy Davis提出大量证明自己无罪的证据，包括当初作证说申诉人杀害警察的11个证人中有9位已经撤销了证词，剩下的两个证人其中一个还被许多人指认为真正的凶手。受理案件的最高法院并未就案件的实质性问题作出判决，而是将案件发回地方法院。但是，地方法院拒绝提供救济，2011年9月21日，Troy Davis还是被执行了死刑。[16]所以，不同的国家、不同的社会，对冤案的容忍度不同，必然会有不同的制度选择。在对冤案容忍度较高的社会环境下，自然可以接受证明标准的降低。但是，在对冤案容忍度极低的社会中，当然不可能降低证明标准，即使被告人已经认罪认罚。</w:t>
      </w:r>
      <w:r>
        <w:rPr>
          <w:rFonts w:eastAsia="宋体" w:ascii="宋体" w:hAnsi="宋体" w:cs="宋体"/>
          <w:b w:val="0"/>
          <w:i w:val="0"/>
          <w:sz w:val="21"/>
          <w:vertAlign w:val="superscript"/>
        </w:rPr>
        <w:footnoteReference w:id="25"/>
      </w:r>
    </w:p>
    <w:p w14:paraId="3E59276D">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认罪认罚案件虽然不降低证明标准，但仍会在两个方面大幅度节约司法资源。首先是程序上的宽松。认罪认罚案件大多适用简易程序或速裁程序，法庭调查程序十分宽松，甚至不再举行法庭调查和法庭辩论。需要指出的是，程序上的从简和证明标准不降低二者并不矛盾。证明标准是在认定被告人有罪时应当达到的认识程度或心证程度，这是一种结果评价，而程序的繁简则是一种过程评价。即使采用较为简化的程序，在对被告人定罪时仍需要达到“证据确实、充分”的认识程度。这样的例子在刑事诉讼中并不罕见。例如，二审甚至可以不开庭审理，但认定被告人有罪或者维持一审的有罪判决仍需要达到犯罪事实清楚，证据确实、充分的程度。即使在认罪认罚案件中适用普通程序审理，由于辩方的合作态度，程序异议的减少，也会大幅度缩短审判程序。其次是举证压力的减轻。被告人的认罪本身属于口供，包含大量案件细节的可靠口供不仅有助于挖掘进一步的证据，还可以有效弥合其他证据在逻辑链条方面的缺口，大大减轻检察机关的举证压力。</w:t>
      </w:r>
      <w:r>
        <w:rPr>
          <w:rFonts w:eastAsia="宋体" w:ascii="宋体" w:hAnsi="宋体" w:cs="宋体"/>
          <w:b w:val="0"/>
          <w:i w:val="0"/>
          <w:sz w:val="21"/>
          <w:vertAlign w:val="superscript"/>
        </w:rPr>
        <w:footnoteReference w:id="26"/>
      </w:r>
    </w:p>
    <w:p w14:paraId="2C6928EA">
      <w:pPr>
        <w:pStyle w:val="9"/>
        <w:spacing w:before="0" w:after="0" w:line="240" w:lineRule="auto" w:beforeLines="0" w:afterLines="0"/>
        <w:ind w:right="375"/>
        <w:jc w:val="center"/>
        <w:rPr>
          <w:rFonts w:ascii="宋体" w:hAnsi="宋体" w:eastAsia="宋体" w:cs="宋体"/>
          <w:color w:val="000000"/>
          <w:sz w:val="27"/>
          <w:szCs w:val="27"/>
          <w:lang/>
        </w:rPr>
      </w:pPr>
      <w:bookmarkStart w:id="7" w:name="sort_3"/>
      <w:bookmarkEnd w:id="7"/>
      <w:r>
        <w:rPr>
          <w:rFonts w:ascii="宋体" w:hAnsi="宋体" w:eastAsia="宋体" w:cs="宋体"/>
          <w:b/>
          <w:i w:val="0"/>
          <w:color w:val="000000"/>
          <w:sz w:val="24"/>
          <w:szCs w:val="27"/>
          <w:vertAlign w:val="baseline"/>
          <w:lang/>
        </w:rPr>
        <w:t>三、共同犯罪并案审理与分案审理中的程序问题与证据问题</w:t>
      </w:r>
      <w:r>
        <w:rPr>
          <w:rFonts w:eastAsia="宋体" w:ascii="宋体" w:hAnsi="宋体" w:cs="宋体"/>
          <w:b/>
          <w:i w:val="0"/>
          <w:sz w:val="24"/>
          <w:vertAlign w:val="superscript"/>
        </w:rPr>
        <w:footnoteReference w:id="27"/>
      </w:r>
    </w:p>
    <w:p w14:paraId="6B8B9F01">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共同犯罪的并案审理和分案审理问题近年来日益受到关注，这与两个因素有关。其一，随着认罪认罚从宽制度的施行，实践中出现将共同犯罪中认罪认罚的被告人与不认罪认罚的被告人分案审理的做法。其二，2021年发布的《解释》第220条规定：“对一案起诉的共同犯罪或者关联犯罪案件，被告人人数众多、案情复杂，人民法院经审查认为，分案审理更有利于保障庭审质量和效率的，可以分案审理。”该条肯定了人民法院对一案起诉的共同犯罪案件分案审理的裁量权。关于并案审理和分案审理的讨论，既涉及程序问题，也涉及证据问题。为尽量全面展现并案审理和分案审理实践中涉及的问题，这里一并加以讨论。</w:t>
      </w:r>
    </w:p>
    <w:p w14:paraId="03A42F89">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8" w:name="sort_3_1"/>
      <w:bookmarkEnd w:id="8"/>
      <w:r>
        <w:rPr>
          <w:rFonts w:ascii="宋体" w:hAnsi="宋体" w:eastAsia="楷体" w:cs="宋体"/>
          <w:b/>
          <w:i w:val="0"/>
          <w:color w:val="000000"/>
          <w:sz w:val="24"/>
          <w:szCs w:val="27"/>
          <w:vertAlign w:val="baseline"/>
          <w:lang/>
        </w:rPr>
        <w:t>（一）并案审理与分案审理涉及的程序问题</w:t>
      </w:r>
    </w:p>
    <w:p w14:paraId="411F0AD1">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首先需要明确的是，在共同犯罪案件中，只有部分被告人认罪认罚的，对认罪认罚的被告人，可以适用认罪认罚从宽制度。但是，认罪认罚从宽是制度，而不是程序，不能简单地将认罪认罚的被告人放在一个审判程序中，将不认罪认罚的被告人放在另一个程序中进行审理。接下来的问题是，对于一案起诉的共同犯罪案件，人民法院可否分案审理？需要澄清的是，这里的“一案”与诉讼理论上的“一案”并不是一回事。诉讼理论上的“一案”具有较为严格的定义，简单来说，“一人”加“一个犯罪行为”构成一个“案件”。多人共犯一个犯罪行为，以及一人实施多个犯罪行为，从诉讼理论上看，都构成了多个案件，更遑论多人共同实施的是关联犯罪。既然是多个案件，那么就不是必须并案审理。因此，所谓“一案起诉的共同犯罪”案件，实际上在诉讼理论上都构成了数个案件。既然是数个案件，就并非绝对不可分。</w:t>
      </w:r>
    </w:p>
    <w:p w14:paraId="031669D6">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但是，这并不意味着法庭可以随意分案，法庭必须考虑并案审理和分案审理对当事人行使诉讼权利产生的影响。在不同的制度环境下，并案审理和分案审理可能对被告人产生截然不同的影响。</w:t>
      </w:r>
    </w:p>
    <w:p w14:paraId="30CECFD5">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对抗制诉讼制度下，一般认为并案审理对检察官更有利。并案审理的优点首先是效率，有多个被告人的共同犯罪案件只需要一场审判就可以解决，可以节省大量的资源，减少多次审判对证人和办案机关造成的不便。[17]并案审理的另一个优点是可以避免不一致判决，使得对各个被告人罪行轻重的判断更为准确，更符合司法利益。[18]</w:t>
      </w:r>
    </w:p>
    <w:p w14:paraId="3FE97337">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一般而言，在对抗制诉讼制度下，分案审理对被告人更为有利，并案审理则对被告人可能有不利影响。首先，有些证据在对被告人甲定罪时具有可采性，在用来反对被告人乙时没有可采性，但陪审团可能无法区分这其中的不同，可能会用证明被告人甲有罪的证据来给被告人乙定罪，而该证据实际上是不能成为审判被告人乙的合法证据的。即使有法官的指示，实际上也很难保证陪审团不会受到该证据的影响。其次，人们普遍相信“物以类聚，人以群分”，既然被告人甲和被告人乙被放在一起审判，大概率是共同犯罪，在这种情况下，期待陪审员仅根据案件中的可采证据来认定事实就过于理想了。最后，被指控实施了共同犯罪的被告人，他们的律师可能采用不同的辩护策略，这种辩护策略上的不一致在法庭上有可能演变为被告人之间的互相拆台。</w:t>
      </w:r>
    </w:p>
    <w:p w14:paraId="118CEE82">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因此，对抗制之下，立法常常限制并案审理，比如《美国联邦刑事诉讼规则》第8条第（b）款规定，只有在两种情形下，两个或更多的被告人可以在同一份起诉书中被起诉，“如果他们（1）参与了同一行为或交易，或者（2）在同一系列的行为或交易中，构成了一个或者多个犯罪。”检察官通常要先行判断，是否用一份起诉书将两个被告人“合并”审理，如果被告人被不当合并审理，即构成“错误合并”。即使在规则允许的范围内正常合并的情况下，被告人都可以申请“分案”审理，理由是合并审理对自己的辩护权造成了不利影响。所以，在对抗制之下，通常会有不当并案（审理）的问题，而不当分案（审理）的问题则较为少见。</w:t>
      </w:r>
    </w:p>
    <w:p w14:paraId="3C5771AD">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我国的情况有所不同，一般认为对共同犯罪案件分案审理总体上会对被告人行使诉讼权利产生不利影响。例如，共同犯罪的被告人甲和乙被分案审理，如果被告人乙认罪，其所作的供述成为对被告人甲不利的证据，如果法庭不传唤另案审理的乙出庭，被告人甲的质证权就无法实现。因此，在共同犯罪的案件中，如果部分被告人认罪认罚，人民检察院原则上应当一并起诉，人民法院原则上应当并案审理，适用普通程序。只有在被告人人数众多，合并审理难以保证庭审质量和庭审效率的，可以依法分案起诉、分案审理。在被告人过多的案件中，适当的分案审理，能促进庭审有序开展，防止诉讼拖延，保障质证辩论，降低审理难度。[19]然而，分案审理不能影响被告人行使诉讼权利。为此，《解释》第220条要求“分案审理不得影响当事人质证权等诉讼权利的行使”，《解释》第269条同时规定，“审理过程中，法庭认为有必要的，可以传唤同案被告人、分案审理的共同犯罪或者关联犯罪案件的被告人等到庭对质。”</w:t>
      </w:r>
    </w:p>
    <w:p w14:paraId="4D9B0CE6">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9" w:name="sort_3_2"/>
      <w:bookmarkEnd w:id="9"/>
      <w:r>
        <w:rPr>
          <w:rFonts w:ascii="宋体" w:hAnsi="宋体" w:eastAsia="楷体" w:cs="宋体"/>
          <w:b/>
          <w:i w:val="0"/>
          <w:color w:val="000000"/>
          <w:sz w:val="24"/>
          <w:szCs w:val="27"/>
          <w:vertAlign w:val="baseline"/>
          <w:lang/>
        </w:rPr>
        <w:t>（二）并案审理与分案审理涉及的证据问题</w:t>
      </w:r>
    </w:p>
    <w:p w14:paraId="6CEF647B">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共同犯罪案件分案审理时，对被告人甲先行作出判决并已生效，该判决所确认的涉及被告人乙的事实，在后来对被告人乙的审判中，是否可以直接认定？换言之，前一判决已确认的事实，在后案审理中能否成为免证的事实？对这个问题的回答又取决于，前一判决已确认的涉及被告人乙的事实，是否对后一判决有预决力？</w:t>
      </w:r>
    </w:p>
    <w:p w14:paraId="4A28C0C6">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0" w:name="sort_3_2_1"/>
      <w:bookmarkEnd w:id="10"/>
      <w:r>
        <w:rPr>
          <w:rFonts w:ascii="宋体" w:hAnsi="宋体" w:eastAsia="宋体" w:cs="宋体"/>
          <w:b/>
          <w:i w:val="0"/>
          <w:color w:val="000000"/>
          <w:sz w:val="21"/>
          <w:szCs w:val="27"/>
          <w:vertAlign w:val="baseline"/>
          <w:lang/>
        </w:rPr>
        <w:t>1.已确认事实的预决力</w:t>
      </w:r>
    </w:p>
    <w:p w14:paraId="36935188">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已确认事实，是指为法院发生法律效力的裁判所确认的事实。所谓已确认事实的预决力，是指已确认事实对涉及该事实的后诉法院、当事人的拘束力，即在涉及已确认事实的后诉中，对于已确认事实，当事人是否需要举证证明、法院能否直接认定的问题。[20]对于已确认事实的预决力，刑事诉讼法学界的研究十分不足，目前的讨论主要集中于民事诉讼学界。[21]</w:t>
      </w:r>
    </w:p>
    <w:p w14:paraId="3463D399">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已确认事实的预决力与既判力密切相关。既判力是指刑事诉讼中作出裁判后，由于上诉期限经过，或者已经上诉并作出裁判，在用尽各种常规救济途径之后，裁判所取得的拘束法院和当事人的效力。[22]预决力与既判力都对后案产生影响，都涉及对后续法院和当事人的拘束力，都有避免矛盾裁判、维护司法权威的作用，因而也有论者将预决力作为既判力的“积极效力”加以讨论。[23]但二者本质上是两种不同的制度：</w:t>
      </w:r>
    </w:p>
    <w:p w14:paraId="7A21FA11">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其一，二者的范围不一致。既判力的作用范围只及于作为判决对象的诉讼标的。在刑事诉讼中，诉讼标的指的是诉讼请求事项，刑事诉讼中的请求事项是对被追诉人适用刑罚。[24]既判力的客观范围也是诉讼标的的范围，二者是一致的，诉讼标的的范围体现于判决主文。预决力的范围覆盖前案判决所确认的事实（已确认事实），已确认事实既可能出现在判决主文，也可能出现在判决理由中。其二，既判力强调前案与后案诉讼请求的同一性，其效果是完全禁止后诉。而预决力的概念强调的是前案事实与后案事实同一，预决力的适用并不禁止提起后诉，仅是禁止当事人对生效裁判已经确定的事实再行争议。其三，既判力的作用有两方面。其消极作用是禁止重复起诉，形成我们所熟知的一事不再理原则。既判力的积极作用是禁止矛盾判决，法院必须以已生效判决对诉讼标的所作判断作为后案判决的基础，不得作出与前案明显不一致的判决。然而，已确认事实的预决力没有类似于一事不再理原则的消极作用，不能阻止后续起诉，只不过要求法院作出一致的事实认定，这一点类似于既判力的积极作用。其四，既判力问题属于法律问题，凡是有既判力的事项，法院只能作出同一认定。既判力不能推翻，除非启动审判监督程序。但是，已确认事实的预决力属于事实证明问题，不属于法律问题。对于已确认事实，后案法院可以作同一的事实认定，也可以作出不同的事实认定。[25]所以，预决力与既判力是两种不同的制度，既判力效力更强，只能通过审判监督程序推翻，而预决力本质是事实认定问题，即证据法问题，不能将生效裁判的既判力所具有的法律效果施加于已确认事实的预决力。</w:t>
      </w:r>
    </w:p>
    <w:p w14:paraId="70721660">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1" w:name="sort_3_2_2"/>
      <w:bookmarkEnd w:id="11"/>
      <w:r>
        <w:rPr>
          <w:rFonts w:ascii="宋体" w:hAnsi="宋体" w:eastAsia="宋体" w:cs="宋体"/>
          <w:b/>
          <w:i w:val="0"/>
          <w:color w:val="000000"/>
          <w:sz w:val="21"/>
          <w:szCs w:val="27"/>
          <w:vertAlign w:val="baseline"/>
          <w:lang/>
        </w:rPr>
        <w:t>2.已确认事实预决力的客观范围</w:t>
      </w:r>
    </w:p>
    <w:p w14:paraId="1883B82F">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预决力的客观范围讨论的是哪些已确认事实能产生预决力。并非所有的已确认事实都会产生预决力，只有符合条件的已确认事实才能产生预决力。根据法理，已确认事实要产生预决力，需要具备下列条件：</w:t>
      </w:r>
    </w:p>
    <w:p w14:paraId="1E77E253">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其一，满足程序保障原则。在民事诉讼中，法院对事实的认定必须以当事人之间的攻击防御为基础。同理，在刑事诉讼中，如果没有给予当事人充分的提出有利主张、出示证据，并对不利证据进行反驳的机会，就不满足程序保障原则，法院不能径行认定该事实。即便法院在前案中认定了某事实，在涉及该事实的后诉中该认定也不能产生预决力。其二，已确认事实是前案判决所认定的“必要”事实。所谓“必要”事实，是指刑事法官为证明其“有罪判决”或“无罪判决”的正确性而必须认定的事实，[26]如果不认定该事实，法院就无法作出裁判。例如，对构成犯罪的事实行为的存在或不存在作出认定，就是对“必要”事实的认定。只有已确认事实中的“必要事实”才能在后续中产生预决力，前案法院认定的其他事实，在涉及该事实的后诉中不能产生预决力。原因在于，前案当事人一般不会对本案涉及的所有事实都投入充分的辩护。如果控辩双方争执的某一事实不是对于判决而言有决定性意义的事实（非必要事实），当事人出于经济和成本的考虑，可能不会就该非必要事实开展充分的辩护。其三，已确认事实在后案中产生预决力的前提是，已确认事实与后案涉及的是同一事实。[27]已确认事实产生预决力必须以此为前提。如果后案中的事实不同于已确认事实，那么在后诉中就应当允许当事人就该事实进行争辩、质证，这意味着已确认事实不能产生预决力。</w:t>
      </w:r>
    </w:p>
    <w:p w14:paraId="0689521E">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2" w:name="sort_3_2_3"/>
      <w:bookmarkEnd w:id="12"/>
      <w:r>
        <w:rPr>
          <w:rFonts w:ascii="宋体" w:hAnsi="宋体" w:eastAsia="宋体" w:cs="宋体"/>
          <w:b/>
          <w:i w:val="0"/>
          <w:color w:val="000000"/>
          <w:sz w:val="21"/>
          <w:szCs w:val="27"/>
          <w:vertAlign w:val="baseline"/>
          <w:lang/>
        </w:rPr>
        <w:t>3.已确认事实预决力的主观范围</w:t>
      </w:r>
    </w:p>
    <w:p w14:paraId="433E4188">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预决力的主观范围，也即预决力的主体范围，解决的是当生效裁判已确认的事实出现在其他诉讼中时，预决力拘束什么范围的人的问题。程序保障原则要求，已确认事实产生预决力的前提是前案当事人和后案当事人保持同一。因为当事人在前案中已经对已确认事实进行了充分的质证和辩论，所以在涉及相关事实的后诉中，当事人会受已确认事实预决力的拘束。但是，前案当事人以外的人在涉及已确认事实的后诉不受预决力的拘束，他可以对后诉中的任何事实进行争辩，不受前案法院所认定事实的拘束。即使在前诉中就该事实已经开展过质证，也不产生预决力。这主要是因为，如果前案判决确认的事实对没有参与该诉讼的人产生预决力，就等于让没有参与诉讼的人承受一个其从未参加过的诉讼的结果，这是根本上的程序不正义。</w:t>
      </w:r>
    </w:p>
    <w:p w14:paraId="0C064B67">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bookmarkStart w:id="13" w:name="sort_3_2_4"/>
      <w:bookmarkEnd w:id="13"/>
      <w:r>
        <w:rPr>
          <w:rFonts w:ascii="宋体" w:hAnsi="宋体" w:eastAsia="宋体" w:cs="宋体"/>
          <w:b w:val="0"/>
          <w:i w:val="0"/>
          <w:color w:val="000000"/>
          <w:sz w:val="21"/>
          <w:szCs w:val="27"/>
          <w:vertAlign w:val="baseline"/>
          <w:lang/>
        </w:rPr>
        <w:t>4.共同犯罪案件分案审理时前案判决的预决力</w:t>
      </w:r>
    </w:p>
    <w:p w14:paraId="5F6A63AF">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在共同犯罪的案件中，如果将不同的被告人分案审理，在前案已经作出生效判决的情况下，其所认定的事实对后案的审理是否具有预决力，对于这一问题需要运用已确认事实预决力的一般原理加以分析。首先，前案生效裁判已确认事实的预决力不同于前案生效裁判的既判力，既判力仅限于判决主文，但效力更强，只能通过审判监督程序推翻。已确认事实的预决力既涵盖判决主文中的事实，也涵盖判决理由中的事实，但效力更弱，本质上是事实证明问题，后案法院既可以作出同一认定，也可以作出不同认定。其次，前案生效裁判已确认事实要产生预决力，必须符合程序保障原则、已确认事实必须构成前案判决的“必要”事实、前案判决已确认事实必须与后案诉讼所涉及的事实构成同一事实。再次，前案生效裁判所确认的事实产生预决力的前提是当事人同一。而在共同犯罪分案审理的情形中，前案判决理由即使涉及共同犯罪的事实，但由于前案和后案当事人不同，并不当然产生预决力。因此，共同犯罪案件对不同被告人分案审理的情况下，前案生效裁判所确认的事实仅具有证明效力，并不具有预决力。分案审理后，前案有罪判决、裁定所认定的事实证据与后案被告人定罪量刑相关的，在后案庭审中仍然应当进行示证、质证、认证。后案经审理认定的事实可以与前案不一致，在这种情况下，人民法院应当根据后案审理情况依法作出判决。</w:t>
      </w:r>
    </w:p>
    <w:p w14:paraId="4E3F6956">
      <w:pPr>
        <w:pStyle w:val="9"/>
        <w:spacing w:before="0" w:after="0" w:line="240" w:lineRule="auto" w:beforeLines="0" w:afterLines="0"/>
        <w:ind w:right="375"/>
        <w:jc w:val="center"/>
        <w:rPr>
          <w:rFonts w:ascii="宋体" w:hAnsi="宋体" w:eastAsia="宋体" w:cs="宋体"/>
          <w:color w:val="000000"/>
          <w:sz w:val="27"/>
          <w:szCs w:val="27"/>
          <w:lang/>
        </w:rPr>
      </w:pPr>
      <w:bookmarkStart w:id="14" w:name="sort_4"/>
      <w:bookmarkEnd w:id="14"/>
      <w:r>
        <w:rPr>
          <w:rFonts w:ascii="宋体" w:hAnsi="宋体" w:eastAsia="宋体" w:cs="宋体"/>
          <w:b/>
          <w:i w:val="0"/>
          <w:color w:val="000000"/>
          <w:sz w:val="24"/>
          <w:szCs w:val="27"/>
          <w:vertAlign w:val="baseline"/>
          <w:lang/>
        </w:rPr>
        <w:t>四、结语</w:t>
      </w:r>
    </w:p>
    <w:p w14:paraId="0AA31D2F">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犯罪嫌疑人、被告人认罪认罚的案件，虽然在法庭审理过程中不会出现激烈的对抗，但仍会出现一些较为特殊的证据法问题需要从理论上加以澄清。认罪认罚具结书主要是犯罪嫌疑人对指控犯罪事实的认可，其与证据法意义上的供述有一定差距，不能定性为一种证据。作为一种实质意义上的契约，一旦认罪认罚的犯罪嫌疑人、被告人反悔，之前签署的认罪认罚具结书自然失去效力。犯罪嫌疑人之前作出的供述，属于诉讼事实行为，不可撤销，当前也缺乏排除相关供述的法律根据，因此可以在诉讼中作为证据继续使用。虽然有降低认罪认罚案件证明标准的主张，但由于证明标准关系到保障无辜与惩罚犯罪的立法权衡，因此，即使犯罪嫌疑人、被告人认罪认罚，也不能因此降低证明标准。人民法院依然应当对认罪认罚案件进行实质性审查，不能仅因被告人认罪认罚就判处有罪。对共同犯罪案件分案审理，实践中很难完全避免，但分案审理的标准不应是被告人认罪或不认罪。在分案审理时，前案先行作出判决并已生效，其既判力仅限于判决主文，判决理由中认定的事实不具有既判力。前案先行判决已确认的事实要对后案产生预决力，必须符合程序保障原则、该已确认事实必须是前案判决的“必要”事实、该已确认事实与后案涉及事实必须是同一事实、前案和后案当事人同一等条件。</w:t>
      </w:r>
    </w:p>
    <w:p w14:paraId="62120264">
      <w:pPr>
        <w:pStyle w:val="9"/>
        <w:spacing w:before="0" w:after="0" w:line="240" w:lineRule="auto" w:beforeLines="0" w:afterLines="0"/>
        <w:ind w:right="375" w:firstLineChars="200" w:leftChars="0" w:hangingChars="0"/>
        <w:jc w:val="left"/>
        <w:rPr>
          <w:rFonts w:ascii="宋体" w:hAnsi="宋体" w:eastAsia="宋体" w:cs="宋体"/>
          <w:color w:val="000000"/>
          <w:sz w:val="27"/>
          <w:szCs w:val="27"/>
          <w:lang/>
        </w:rPr>
      </w:pPr>
      <w:r>
        <w:rPr>
          <w:rFonts w:ascii="宋体" w:hAnsi="宋体" w:eastAsia="宋体" w:cs="宋体"/>
          <w:b w:val="0"/>
          <w:i w:val="0"/>
          <w:color w:val="000000"/>
          <w:sz w:val="21"/>
          <w:szCs w:val="27"/>
          <w:vertAlign w:val="baseline"/>
          <w:lang/>
        </w:rPr>
        <w:t>（责任编辑：李琦）</w:t>
      </w:r>
    </w:p>
    <w:p w14:paraId="10340396">
      <w:pPr>
        <w:spacing w:line="600" w:lineRule="atLeast"/>
        <w:ind w:left="375" w:right="375"/>
        <w:rPr>
          <w:rFonts w:ascii="宋体" w:hAnsi="宋体" w:eastAsia="宋体" w:cs="宋体"/>
          <w:color w:val="000000"/>
          <w:sz w:val="27"/>
          <w:szCs w:val="27"/>
          <w:lang/>
        </w:rPr>
      </w:pPr>
      <w:r>
        <w:rPr>
          <w:rFonts w:ascii="宋体" w:hAnsi="宋体" w:eastAsia="宋体" w:cs="宋体"/>
          <w:color w:val="000000"/>
          <w:sz w:val="27"/>
          <w:szCs w:val="27"/>
          <w:lang/>
        </w:rPr>
        <w:br w:type="textWrapping"/>
      </w:r>
    </w:p>
    <w:p w14:paraId="06BE4C58">
      <w:pPr>
        <w:pStyle w:val="12"/>
        <w:spacing w:before="0" w:line="240" w:lineRule="auto" w:after="0" w:beforeLines="0" w:afterLines="0"/>
        <w:ind w:right="525" w:firstLineChars="200" w:leftChars="0" w:hangingChars="0"/>
        <w:jc w:val="left"/>
        <w:textAlignment w:val="baseline"/>
        <w:rPr>
          <w:rFonts w:ascii="宋体" w:hAnsi="宋体" w:eastAsia="宋体" w:cs="宋体"/>
          <w:color w:val="000000"/>
          <w:sz w:val="21"/>
          <w:szCs w:val="21"/>
          <w:lang/>
        </w:rPr>
      </w:pPr>
      <w:r>
        <w:rPr>
          <w:rStyle w:val="13"/>
          <w:rFonts w:ascii="宋体" w:hAnsi="宋体" w:eastAsia="宋体" w:cs="宋体"/>
          <w:b w:val="0"/>
          <w:bCs/>
          <w:i w:val="0"/>
          <w:sz w:val="21"/>
          <w:shd w:val="clear" w:color="auto" w:fill="auto"/>
          <w:lang/>
        </w:rPr>
        <w:t>【注释】</w:t>
      </w:r>
    </w:p>
    <w:p w14:paraId="56AF30F3">
      <w:pPr>
        <w:pStyle w:val="9"/>
        <w:shd w:val="clear" w:color="auto" w:fill="F6FAFF"/>
        <w:spacing w:before="0" w:after="0" w:line="240" w:lineRule="auto" w:beforeLines="0" w:afterLines="0"/>
        <w:ind w:right="525" w:firstLineChars="200" w:leftChars="0" w:hangingChars="0"/>
        <w:jc w:val="left"/>
        <w:rPr>
          <w:rFonts w:ascii="宋体" w:hAnsi="宋体" w:eastAsia="宋体" w:cs="宋体"/>
          <w:color w:val="000000"/>
          <w:sz w:val="21"/>
          <w:szCs w:val="21"/>
          <w:lang/>
        </w:rPr>
      </w:pPr>
      <w:r>
        <w:rPr>
          <w:rFonts w:ascii="宋体" w:hAnsi="宋体" w:eastAsia="宋体" w:cs="宋体"/>
          <w:b w:val="0"/>
          <w:i w:val="0"/>
          <w:color w:val="000000"/>
          <w:sz w:val="21"/>
          <w:szCs w:val="21"/>
          <w:vertAlign w:val="baseline"/>
          <w:lang/>
        </w:rPr>
        <w:t>*魏晓娜，中国人民大学刑事法律科学研究中心教授，法学博士。</w:t>
      </w:r>
    </w:p>
    <w:p w14:paraId="7496240C">
      <w:pPr>
        <w:pStyle w:val="9"/>
        <w:shd w:val="clear" w:color="auto" w:fill="F6FAFF"/>
        <w:spacing w:before="0" w:after="0" w:line="240" w:lineRule="auto" w:beforeLines="0" w:afterLines="0"/>
        <w:ind w:right="525" w:firstLineChars="200" w:leftChars="0" w:hangingChars="0"/>
        <w:jc w:val="left"/>
        <w:rPr>
          <w:rFonts w:ascii="宋体" w:hAnsi="宋体" w:eastAsia="宋体" w:cs="宋体"/>
          <w:color w:val="000000"/>
          <w:sz w:val="21"/>
          <w:szCs w:val="21"/>
          <w:lang/>
        </w:rPr>
      </w:pPr>
      <w:r>
        <w:rPr>
          <w:rFonts w:ascii="宋体" w:hAnsi="宋体" w:eastAsia="宋体" w:cs="宋体"/>
          <w:b w:val="0"/>
          <w:i w:val="0"/>
          <w:color w:val="000000"/>
          <w:sz w:val="21"/>
          <w:szCs w:val="21"/>
          <w:vertAlign w:val="baseline"/>
          <w:lang/>
        </w:rPr>
        <w:t>本文为国家社科基金一般项目“认罪认罚从宽的理论反思与制度重构研究”（项目编号：21BFX013）的阶段性成果。</w:t>
      </w:r>
    </w:p>
    <w:p w14:paraId="1CCFBF7F">
      <w:pPr>
        <w:spacing w:after="0"/>
        <w:ind w:left="375" w:right="375"/>
        <w:rPr>
          <w:rFonts w:ascii="Arial" w:hAnsi="Arial" w:eastAsia="Arial" w:cs="Arial"/>
          <w:lang/>
        </w:rPr>
      </w:pPr>
      <w:r>
        <w:rPr>
          <w:rFonts w:ascii="Arial" w:hAnsi="Arial" w:eastAsia="Arial" w:cs="Arial"/>
          <w:lang/>
        </w:rPr>
        <w:br w:type="textWrapping"/>
      </w:r>
    </w:p>
    <w:p w14:paraId="24DF77D7">
      <w:pPr>
        <w:spacing w:line="240" w:lineRule="auto" w:before="0" w:after="0" w:beforeLines="0" w:afterLines="0"/>
        <w:jc w:val="left"/>
        <w:rPr>
          <w:rFonts w:ascii="Times New Roman" w:hAnsi="Times New Roman" w:eastAsia="Times New Roman" w:cs="Times New Roman"/>
          <w:sz w:val="26"/>
          <w:szCs w:val="26"/>
          <w:lang/>
        </w:rPr>
        <w:ind w:firstLineChars="200" w:leftChars="0" w:hangingChars="0"/>
      </w:pPr>
      <w:r>
        <w:rPr>
          <w:rFonts w:eastAsia="宋体" w:ascii="宋体" w:hAnsi="宋体" w:cs="宋体"/>
          <w:b w:val="0"/>
          <w:i w:val="0"/>
          <w:sz w:val="21"/>
        </w:rPr>
        <w:br w:type="page"/>
      </w:r>
      <w:r>
        <w:rPr>
          <w:rFonts w:ascii="宋体" w:hAnsi="宋体" w:eastAsia="宋体" w:cs="宋体"/>
          <w:b w:val="0"/>
          <w:i w:val="0"/>
          <w:sz w:val="21"/>
          <w:szCs w:val="26"/>
          <w:lang/>
        </w:rPr>
        <w:t>©北大法宝：（</w:t>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"https://www.pkulaw.com" </w:instrText>
      </w:r>
      <w:r>
        <w:rPr>
          <w:rFonts w:ascii="宋体" w:hAnsi="宋体" w:eastAsia="宋体" w:cs="宋体"/>
          <w:b w:val="0"/>
          <w:i w:val="0"/>
          <w:sz w:val="21"/>
          <w:szCs w:val="26"/>
          <w:lang/>
        </w:rPr>
        <w:fldChar w:fldCharType="separate"/>
      </w:r>
      <w:r>
        <w:rPr>
          <w:rFonts w:ascii="宋体" w:hAnsi="宋体" w:eastAsia="宋体" w:cs="宋体"/>
          <w:b w:val="0"/>
          <w:i w:val="0"/>
          <w:color w:val="218FC4"/>
          <w:sz w:val="21"/>
          <w:szCs w:val="26"/>
          <w:u w:val="single" w:color="218FC4"/>
          <w:lang/>
        </w:rPr>
        <w:t>www.pkulaw.com</w:t>
      </w:r>
      <w:r>
        <w:rPr>
          <w:rFonts w:ascii="宋体" w:hAnsi="宋体" w:eastAsia="宋体" w:cs="宋体"/>
          <w:b w:val="0"/>
          <w:i w:val="0"/>
          <w:color w:val="218FC4"/>
          <w:sz w:val="21"/>
          <w:szCs w:val="26"/>
          <w:u w:val="single" w:color="218FC4"/>
          <w:lang/>
        </w:rPr>
        <w:fldChar w:fldCharType="end"/>
      </w:r>
      <w:r>
        <w:rPr>
          <w:rFonts w:ascii="宋体" w:hAnsi="宋体" w:eastAsia="宋体" w:cs="宋体"/>
          <w:b w:val="0"/>
          <w:i w:val="0"/>
          <w:sz w:val="21"/>
          <w:szCs w:val="26"/>
          <w:lang/>
        </w:rPr>
        <w:t>）专业提供法律信息、法学知识和法律软件领域各类解决方案。北大法宝为您提供丰富的参考资料，正式引用法规条文时请与标准文本核对。欢迎查看所有</w:t>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"http://www.pkulaw.net/" </w:instrText>
      </w:r>
      <w:r>
        <w:rPr>
          <w:rFonts w:ascii="宋体" w:hAnsi="宋体" w:eastAsia="宋体" w:cs="宋体"/>
          <w:b w:val="0"/>
          <w:i w:val="0"/>
          <w:sz w:val="21"/>
          <w:szCs w:val="26"/>
          <w:lang/>
        </w:rPr>
        <w:fldChar w:fldCharType="separate"/>
      </w:r>
      <w:r>
        <w:rPr>
          <w:rFonts w:ascii="宋体" w:hAnsi="宋体" w:eastAsia="宋体" w:cs="宋体"/>
          <w:b w:val="0"/>
          <w:i w:val="0"/>
          <w:color w:val="218FC4"/>
          <w:sz w:val="21"/>
          <w:szCs w:val="26"/>
          <w:u w:val="single" w:color="218FC4"/>
          <w:lang/>
        </w:rPr>
        <w:t>产品和服务</w:t>
      </w:r>
      <w:r>
        <w:rPr>
          <w:rFonts w:ascii="宋体" w:hAnsi="宋体" w:eastAsia="宋体" w:cs="宋体"/>
          <w:b w:val="0"/>
          <w:i w:val="0"/>
          <w:color w:val="218FC4"/>
          <w:sz w:val="21"/>
          <w:szCs w:val="26"/>
          <w:u w:val="single" w:color="218FC4"/>
          <w:lang/>
        </w:rPr>
        <w:fldChar w:fldCharType="end"/>
      </w:r>
      <w:r>
        <w:rPr>
          <w:rFonts w:ascii="宋体" w:hAnsi="宋体" w:eastAsia="宋体" w:cs="宋体"/>
          <w:b w:val="0"/>
          <w:i w:val="0"/>
          <w:sz w:val="21"/>
          <w:szCs w:val="26"/>
          <w:lang/>
        </w:rPr>
        <w:t>。</w:t>
      </w:r>
      <w:r>
        <w:rPr>
          <w:rFonts w:ascii="宋体" w:hAnsi="宋体" w:eastAsia="宋体" w:cs="宋体"/>
          <w:b w:val="0"/>
          <w:i w:val="0"/>
          <w:sz w:val="21"/>
          <w:szCs w:val="26"/>
          <w:lang/>
        </w:rPr>
        <w:br w:type="textWrapping"/>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"http://www.pkulaw.com/helps/69.html" </w:instrText>
      </w:r>
      <w:r>
        <w:rPr>
          <w:rFonts w:ascii="宋体" w:hAnsi="宋体" w:eastAsia="宋体" w:cs="宋体"/>
          <w:b w:val="0"/>
          <w:i w:val="0"/>
          <w:sz w:val="21"/>
          <w:szCs w:val="26"/>
          <w:lang/>
        </w:rPr>
        <w:fldChar w:fldCharType="separate"/>
      </w:r>
      <w:r>
        <w:rPr>
          <w:rFonts w:ascii="宋体" w:hAnsi="宋体" w:eastAsia="宋体" w:cs="宋体"/>
          <w:b w:val="0"/>
          <w:i w:val="0"/>
          <w:color w:val="218FC4"/>
          <w:sz w:val="21"/>
          <w:szCs w:val="26"/>
          <w:u w:val="single" w:color="218FC4"/>
          <w:lang/>
        </w:rPr>
        <w:t>法宝快讯：如何快速找到您需要的检索结果？ 法宝 V6 有何新特色？</w:t>
      </w:r>
      <w:r>
        <w:rPr>
          <w:rFonts w:ascii="宋体" w:hAnsi="宋体" w:eastAsia="宋体" w:cs="宋体"/>
          <w:b w:val="0"/>
          <w:i w:val="0"/>
          <w:color w:val="218FC4"/>
          <w:sz w:val="21"/>
          <w:szCs w:val="26"/>
          <w:u w:val="single" w:color="218FC4"/>
          <w:lang/>
        </w:rPr>
        <w:fldChar w:fldCharType="end"/>
      </w:r>
    </w:p>
    <w:p w14:paraId="738A08CA">
      <w:pPr>
        <w:spacing w:before="900"/>
        <w:ind w:left="900" w:right="900"/>
        <w:jc w:val="center"/>
        <w:rPr>
          <w:rFonts w:ascii="Times New Roman" w:hAnsi="Times New Roman" w:eastAsia="Times New Roman" w:cs="Times New Roman"/>
          <w:lang/>
        </w:rPr>
      </w:pPr>
      <w:r>
        <w:rPr>
          <w:rFonts w:ascii="Times New Roman" w:hAnsi="Times New Roman" w:eastAsia="Times New Roman" w:cs="Times New Roman"/>
          <w:strike w:val="0"/>
          <w:u w:val="none"/>
          <w:lang/>
        </w:rPr>
        <w:drawing>
          <wp:inline distT="0" distB="0" distL="114300" distR="114300">
            <wp:extent cx="2438400" cy="24384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2438400" cy="2438400"/>
                    </a:xfrm>
                    <a:prstGeom prst="rect">
                      <a:avLst/>
                    </a:prstGeom>
                    <a:noFill/>
                    <a:ln>
                      <a:noFill/>
                    </a:ln>
                  </pic:spPr>
                </pic:pic>
              </a:graphicData>
            </a:graphic>
          </wp:inline>
        </w:drawing>
      </w:r>
    </w:p>
    <w:p w14:paraId="6041D64A">
      <w:pPr>
        <w:spacing w:after="0" w:line="240" w:lineRule="auto" w:before="0" w:beforeLines="0" w:afterLines="0"/>
        <w:ind w:right="900" w:firstLineChars="200" w:leftChars="0" w:hangingChars="0"/>
        <w:jc w:val="left"/>
        <w:rPr>
          <w:rFonts w:ascii="Times New Roman" w:hAnsi="Times New Roman" w:eastAsia="Times New Roman" w:cs="Times New Roman"/>
          <w:sz w:val="26"/>
          <w:szCs w:val="26"/>
          <w:lang/>
        </w:rPr>
      </w:pPr>
      <w:r>
        <w:rPr>
          <w:rFonts w:ascii="宋体" w:hAnsi="宋体" w:eastAsia="宋体" w:cs="宋体"/>
          <w:b w:val="0"/>
          <w:i w:val="0"/>
          <w:sz w:val="21"/>
          <w:szCs w:val="26"/>
          <w:lang/>
        </w:rPr>
        <w:t xml:space="preserve">扫描二维码阅读原文 </w:t>
      </w:r>
    </w:p>
    <w:p w14:paraId="58B4D3EB">
      <w:pPr>
        <w:spacing w:line="240" w:lineRule="auto" w:before="0" w:after="0" w:beforeLines="0" w:afterLines="0"/>
        <w:jc w:val="left"/>
        <w:rPr>
          <w:rFonts w:ascii="Times New Roman" w:hAnsi="Times New Roman" w:eastAsia="Times New Roman" w:cs="Times New Roman"/>
          <w:sz w:val="26"/>
          <w:szCs w:val="26"/>
          <w:lang/>
        </w:rPr>
        <w:ind w:firstLineChars="200" w:leftChars="0" w:hangingChars="0"/>
      </w:pPr>
      <w:r>
        <w:rPr>
          <w:rFonts w:ascii="宋体" w:hAnsi="宋体" w:eastAsia="宋体" w:cs="宋体"/>
          <w:b w:val="0"/>
          <w:i w:val="0"/>
          <w:sz w:val="21"/>
          <w:szCs w:val="26"/>
          <w:lang/>
        </w:rPr>
        <w:t>原文链接：</w:t>
      </w:r>
      <w:r>
        <w:rPr>
          <w:rFonts w:ascii="宋体" w:hAnsi="宋体" w:eastAsia="宋体" w:cs="宋体"/>
          <w:b w:val="0"/>
          <w:i w:val="0"/>
          <w:sz w:val="21"/>
          <w:szCs w:val="26"/>
          <w:lang/>
        </w:rPr>
        <w:fldChar w:fldCharType="begin"/>
      </w:r>
      <w:r>
        <w:rPr>
          <w:rFonts w:ascii="宋体" w:hAnsi="宋体" w:eastAsia="宋体" w:cs="宋体"/>
          <w:b w:val="0"/>
          <w:i w:val="0"/>
          <w:sz w:val="21"/>
          <w:szCs w:val="26"/>
          <w:lang/>
        </w:rPr>
        <w:instrText xml:space="preserve"> HYPERLINK "https://www.pkulaw.com/qikan/411e6eca2177f1c5f7950f46e4ba41e4bdfb.html" </w:instrText>
      </w:r>
      <w:r>
        <w:rPr>
          <w:rFonts w:ascii="宋体" w:hAnsi="宋体" w:eastAsia="宋体" w:cs="宋体"/>
          <w:b w:val="0"/>
          <w:i w:val="0"/>
          <w:sz w:val="21"/>
          <w:szCs w:val="26"/>
          <w:lang/>
        </w:rPr>
        <w:fldChar w:fldCharType="separate"/>
      </w:r>
      <w:r>
        <w:rPr>
          <w:rFonts w:ascii="宋体" w:hAnsi="宋体" w:eastAsia="宋体" w:cs="宋体"/>
          <w:b w:val="0"/>
          <w:i w:val="0"/>
          <w:color w:val="000000"/>
          <w:sz w:val="21"/>
          <w:szCs w:val="26"/>
          <w:u w:val="single" w:color="000000"/>
          <w:lang/>
        </w:rPr>
        <w:t xml:space="preserve">https://www.pkulaw.com/qikan/411e6eca2177f1c5f7950f46e4ba41e4bdfb.html </w:t>
      </w:r>
      <w:r>
        <w:rPr>
          <w:rFonts w:ascii="宋体" w:hAnsi="宋体" w:eastAsia="宋体" w:cs="宋体"/>
          <w:b w:val="0"/>
          <w:i w:val="0"/>
          <w:color w:val="000000"/>
          <w:sz w:val="21"/>
          <w:szCs w:val="26"/>
          <w:u w:val="single" w:color="000000"/>
          <w:lang/>
        </w:rPr>
        <w:fldChar w:fldCharType="end"/>
      </w:r>
    </w:p>
    <w:p w14:paraId="00C01E6D"/>
    <w:sectPr>
      <w:headerReference r:id="rId3" w:type="default"/>
      <w:footerReference r:id="rId5" w:type="default"/>
      <w:headerReference r:id="rId4" w:type="even"/>
      <w:footerReference r:id="rId6" w:type="even"/>
      <w:pgSz w:w="11906" w:h="16838"/>
      <w:pgMar w:top="1440" w:right="720" w:bottom="144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tblCellSpacing w:w="15" w:type="dxa"/>
      <w:tblInd w:w="15" w:type="dxa"/>
      <w:tblLayout w:type="autofit"/>
      <w:tblCellMar>
        <w:top w:w="15" w:type="dxa"/>
        <w:left w:w="15" w:type="dxa"/>
        <w:bottom w:w="15" w:type="dxa"/>
        <w:right w:w="15" w:type="dxa"/>
      </w:tblCellMar>
    </w:tblPr>
    <w:tblGrid>
      <w:gridCol w:w="689"/>
      <w:gridCol w:w="9867"/>
    </w:tblGrid>
    <w:tr w14:paraId="0F2D4170">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66E12F7B">
          <w:pPr>
            <w:jc w:val="lef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PAGE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r>
            <w:rPr>
              <w:rFonts w:ascii="宋体" w:hAnsi="宋体" w:eastAsia="宋体" w:cs="宋体"/>
              <w:b w:val="0"/>
              <w:bCs w:val="0"/>
              <w:i w:val="0"/>
              <w:iCs w:val="0"/>
              <w:smallCaps w:val="0"/>
              <w:color w:val="000000"/>
              <w:sz w:val="18"/>
              <w:szCs w:val="18"/>
              <w:lang/>
            </w:rPr>
            <w:t>/</w:t>
          </w:r>
          <w:r>
            <w:rPr>
              <w:rFonts w:ascii="宋体" w:hAnsi="宋体" w:eastAsia="宋体" w:cs="宋体"/>
              <w:b w:val="0"/>
              <w:bCs w:val="0"/>
              <w:i w:val="0"/>
              <w:iCs w:val="0"/>
              <w:smallCaps w:val="0"/>
              <w:color w:val="000000"/>
              <w:sz w:val="18"/>
              <w:szCs w:val="18"/>
              <w:lang/>
            </w:rPr>
            <w:fldChar w:fldCharType="begin"/>
          </w:r>
          <w:r>
            <w:rPr>
              <w:rFonts w:ascii="宋体" w:hAnsi="宋体" w:eastAsia="宋体" w:cs="宋体"/>
              <w:b w:val="0"/>
              <w:bCs w:val="0"/>
              <w:i w:val="0"/>
              <w:iCs w:val="0"/>
              <w:smallCaps w:val="0"/>
              <w:color w:val="000000"/>
              <w:sz w:val="18"/>
              <w:szCs w:val="18"/>
              <w:lang/>
            </w:rPr>
            <w:instrText xml:space="preserve"> NUMPAGES  </w:instrText>
          </w:r>
          <w:r>
            <w:rPr>
              <w:rFonts w:ascii="宋体" w:hAnsi="宋体" w:eastAsia="宋体" w:cs="宋体"/>
              <w:b w:val="0"/>
              <w:bCs w:val="0"/>
              <w:i w:val="0"/>
              <w:iCs w:val="0"/>
              <w:smallCaps w:val="0"/>
              <w:color w:val="000000"/>
              <w:sz w:val="18"/>
              <w:szCs w:val="18"/>
              <w:lang/>
            </w:rPr>
            <w:fldChar w:fldCharType="separate"/>
          </w:r>
          <w:r>
            <w:rPr>
              <w:rFonts w:ascii="宋体" w:hAnsi="宋体" w:eastAsia="宋体" w:cs="宋体"/>
              <w:b w:val="0"/>
              <w:bCs w:val="0"/>
              <w:i w:val="0"/>
              <w:iCs w:val="0"/>
              <w:smallCaps w:val="0"/>
              <w:color w:val="000000"/>
              <w:sz w:val="18"/>
              <w:szCs w:val="18"/>
              <w:lang/>
            </w:rPr>
            <w:fldChar w:fldCharType="end"/>
          </w:r>
        </w:p>
      </w:tc>
      <w:tc>
        <w:tcPr>
          <w:tcW w:w="0" w:type="auto"/>
          <w:noWrap w:val="0"/>
          <w:tcMar>
            <w:top w:w="15" w:type="dxa"/>
            <w:left w:w="15" w:type="dxa"/>
            <w:bottom w:w="15" w:type="dxa"/>
            <w:right w:w="15" w:type="dxa"/>
          </w:tcMar>
          <w:vAlign w:val="center"/>
        </w:tcPr>
        <w:p w14:paraId="14047965">
          <w:pPr>
            <w:jc w:val="right"/>
            <w:rPr>
              <w:rFonts w:ascii="宋体" w:hAnsi="宋体" w:eastAsia="宋体" w:cs="宋体"/>
              <w:b w:val="0"/>
              <w:bCs w:val="0"/>
              <w:i w:val="0"/>
              <w:iCs w:val="0"/>
              <w:smallCaps w:val="0"/>
              <w:color w:val="000000"/>
              <w:sz w:val="18"/>
              <w:szCs w:val="18"/>
              <w:lang/>
            </w:rPr>
          </w:pPr>
          <w:r>
            <w:rPr>
              <w:rFonts w:ascii="宋体" w:hAnsi="宋体" w:eastAsia="宋体" w:cs="宋体"/>
              <w:b w:val="0"/>
              <w:bCs w:val="0"/>
              <w:i w:val="0"/>
              <w:iCs w:val="0"/>
              <w:smallCaps w:val="0"/>
              <w:color w:val="000000"/>
              <w:sz w:val="18"/>
              <w:szCs w:val="18"/>
              <w:lang/>
            </w:rPr>
            <w:t>下载日期：2026-08-17</w:t>
          </w:r>
        </w:p>
      </w:tc>
    </w:tr>
  </w:tbl>
  <w:p w14:paraId="419D2CD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E4EFD"/>
</w:ftr>
</file>

<file path=word/footnotes.xml><?xml version="1.0" encoding="utf-8"?>
<w:footnotes xmlns:w="http://schemas.openxmlformats.org/wordprocessingml/2006/main">
  <w:footnotePr>
    <w:numFmt w:val="decimal"/>
    <w:numStart w:val="1"/>
    <w:numRestart w:val="0"/>
  </w:footnotePr>
  <w:footnote w:id="-1">
    <w:p>
      <w:r>
        <w:separator/>
      </w:r>
    </w:p>
  </w:footnote>
  <w:footnote w:id="0">
    <w:p>
      <w:r>
        <w:continuationSeparator/>
      </w:r>
    </w:p>
  </w:footnote>
  <w:footnote w:id="1">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]参见最高人民检察院工作报告（2024年、2025年）。</w:t>
      </w:r>
    </w:p>
  </w:footnote>
  <w:footnote w:id="2">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]最高人民法院刑事审判第一庭编著：《认罪认罚从宽制度的理解与适用》，人民法院出版社2018年版，第78页。</w:t>
      </w:r>
    </w:p>
  </w:footnote>
  <w:footnote w:id="3">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]参见刘少军：《性质、内容及效力：完善认罪认罚从宽具结书的三个维度》，载《政法论坛》2020年第5期，第110页。</w:t>
      </w:r>
    </w:p>
  </w:footnote>
  <w:footnote w:id="4">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]参见万毅：《认罪认罚从宽程序解释和适用中的若干问题》，载《中国刑事法杂志》2019年第3期，第104页。</w:t>
      </w:r>
    </w:p>
  </w:footnote>
  <w:footnote w:id="5">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例如，陈瑞华教授认为，认罪认罚具结书既具有“量刑协议书”的性质，也是检察机关确定量刑建议书的根据。参见陈瑞华：《论量刑协商的性质和效力》，载《中外法学》2020年第5期，第1136页。类似的观点还可参见秦宗文：《认罪认罚案件被追诉人反悔问题研究》，载《内蒙古社会科学（汉文版）》2019年第3期，第125页。</w:t>
      </w:r>
    </w:p>
  </w:footnote>
  <w:footnote w:id="6">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]《辞海》（第6版），上海辞书出版社2009年版，第1181页。</w:t>
      </w:r>
    </w:p>
  </w:footnote>
  <w:footnote w:id="7">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例如：《美国联邦证据规则》第410条第（a）款和《美国联邦刑事诉讼规则》第11条第（f）款都规定，“在民事或刑事案件中，下列证据不能采纳为不利于作出答辩或参与答辩讨论的被告人不利的证据：（a）后来撤回的认罪答辩；（b）不争辩答辩；（c）根据联邦刑事诉讼规则第11条或者类似州程序，在进行上述答辩的程序中作出任何陈述；（d）在与控方律师的答辩讨论中作出的陈述，如果这些讨论未能产生认罪答辩，或者产生了后来被撤销的认罪答辩。”</w:t>
      </w:r>
    </w:p>
  </w:footnote>
  <w:footnote w:id="8">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]参见[美]理察德·伦伯特编：《证据故事》，魏晓娜译，中国人民大学出版社2012年版，第73页。</w:t>
      </w:r>
    </w:p>
  </w:footnote>
  <w:footnote w:id="9">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解释》第96条规定：“审查被告人供述和辩解，应当结合控辩双方提供的所有证据以及被告人的全部供述和辩解进行。被告人庭审中翻供，但不能合理说明翻供原因或者其辩解与全案证据矛盾，而其庭前供述与其他证据相互印证的，可以采信其庭前供述。被告人庭前供述和辩解存在反复，但庭审中供认，且与其他证据相互印证的，可以采信其庭审供述；被告人庭前供述和辩解存在反复，庭审中不供认，且无其他证据与庭前供述印证的，不得采信其庭前供述。”</w:t>
      </w:r>
    </w:p>
  </w:footnote>
  <w:footnote w:id="10">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对抗制审判开展的前提是控辩双方必须存在实质性的分歧。为此，在正式起诉后、开庭审判之前设置具有分流作用的传讯程序（arraignment）。传讯程序的一个重要内容就是让被告人对指控作出答辩，被告人通常作出两种答辩：无罪答辩和认罪答辩。如果答辩无罪，则进入对抗式审判；如果答辩认罪，意味着控辩之间不存在实质性分歧，则对抗制审判从根本上不再举行，直接进入量刑程序。还有一种答辩是“不争辩答辩”（Nolo Contendere），这种答辩在刑事诉讼中的效力相当于认罪答辩，但在相关的民事诉讼中不具有认罪答辩的效力。被告人作“不争辩答辩”要经过法庭同意。</w:t>
      </w:r>
    </w:p>
  </w:footnote>
  <w:footnote w:id="11">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]参见《美国联邦刑事诉讼规则》第11条第（b）款第（3）项。</w:t>
      </w:r>
    </w:p>
  </w:footnote>
  <w:footnote w:id="12">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]参见[美]约书亚·德雷斯勒、艾伦·C.迈克尔斯：《美国刑事诉讼法精解》（第4版第2卷·刑事审判），魏晓娜译，北京大学出版社2009年版，第179页。</w:t>
      </w:r>
    </w:p>
  </w:footnote>
  <w:footnote w:id="13">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]所谓的“阿尔弗德答辩”，是指被告人在答辩程序中十分肯定地告诉法官自己没有实施答辩有罪的罪行，认罪答辩只是出于其他考虑，例如为了避免死刑。See North Carolina v. Alford 400 U. S. 25 (1970).</w:t>
      </w:r>
    </w:p>
  </w:footnote>
  <w:footnote w:id="14">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]同前注[12]，第177页。</w:t>
      </w:r>
    </w:p>
  </w:footnote>
  <w:footnote w:id="15">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]See In re Davis, 557 U. S. 952, 952 (2009). 传统上，人身保护令审查主要聚焦于法律和宪法层面的错误，这种审查不涉及无罪与否或事实方面的错误。但从1993年开始，为了限制人身保护令的申请，美国最高法院要求人身保护令申请人，除了要证明宪法权利被侵犯之外，还要承担相当高的证明自己事实上无辜的责任。这种无辜的主张，结合宪法权利被侵犯主张，成为申请人身保护令的门槛要求。独立的无辜主张，是与作为门槛的无辜主张相对而言，即仅以“无辜”作为理由申请人身保护令。</w:t>
      </w:r>
    </w:p>
  </w:footnote>
  <w:footnote w:id="16">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]See Kent Roach, Exceptional Procedures to Correct Miscarriages of Justice in Common Law Systems., Darryl K. Brown, Jenia Iontcheva Turner, and Bettina Weisser (eds.), The Oxford Handbook of Criminal Process, New York: Oxford University Press. 2019，第1080页。</w:t>
      </w:r>
    </w:p>
  </w:footnote>
  <w:footnote w:id="17">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]See Bruton v. United States, 391 U. S. 123, 134 (1968).</w:t>
      </w:r>
    </w:p>
  </w:footnote>
  <w:footnote w:id="18">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]See Richardson v. Marsh, 481 U. S. 200, 210 (1987).</w:t>
      </w:r>
    </w:p>
  </w:footnote>
  <w:footnote w:id="19">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]参见龙宗智：《有组织犯罪案件分案审理问题研究》，载《法学研究》2021年第3期，第152页。</w:t>
      </w:r>
    </w:p>
  </w:footnote>
  <w:footnote w:id="20">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]参见江伟、常廷彬：《论已确认事实的预决力》，载《中国法学》2008年第3期，第102页。</w:t>
      </w:r>
    </w:p>
  </w:footnote>
  <w:footnote w:id="21">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]参见翁晓斌：《论已决事实的预决效力》，载《中国法学》2006年第4期；李浩：《民事证据的若干问题——兼评最高人民法院〈关于民事诉讼证据的司法解释〉》，载《法学研究》2002年第3期。</w:t>
      </w:r>
    </w:p>
  </w:footnote>
  <w:footnote w:id="22">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]参见[法]贝尔纳·布洛克：《法国刑事诉讼法》，罗结珍译，中国政法大学出版社2009年版，第562页。</w:t>
      </w:r>
    </w:p>
  </w:footnote>
  <w:footnote w:id="23">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既判力的消极效力指的是既判力的阻却效力，即对于生效裁判中确认的同一人，不得再因生效裁判中确认的同一事，再行追诉；既判力的积极效力指的是裁判理由对其他诉讼的约束力。参见赵常成：《刑事案件的既判力理论研究》，中国人民大学2024年博士学位论文，第9-12页。</w:t>
      </w:r>
    </w:p>
  </w:footnote>
  <w:footnote w:id="24">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]同前注[22]，第564页。</w:t>
      </w:r>
    </w:p>
  </w:footnote>
  <w:footnote w:id="25">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]同前注[20]，第103页。</w:t>
      </w:r>
    </w:p>
  </w:footnote>
  <w:footnote w:id="26">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]同前注[22]，第564页。</w:t>
      </w:r>
    </w:p>
  </w:footnote>
  <w:footnote w:id="27">
    <w:p>
      <w:pPr>
        <w:spacing w:line="240" w:lineRule="auto" w:before="0" w:after="0"/>
      </w:pPr>
      <w:r>
        <w:rPr>
          <w:rFonts w:eastAsia="宋体" w:ascii="宋体" w:hAnsi="宋体"/>
          <w:sz w:val="18"/>
          <w:szCs w:val="18"/>
        </w:rPr>
        <w:t xml:space="preserve">[</w:t>
      </w:r>
      <w:r>
        <w:rPr>
          <w:rFonts w:eastAsia="宋体" w:ascii="宋体" w:hAnsi="宋体"/>
          <w:sz w:val="18"/>
          <w:szCs w:val="18"/>
        </w:rPr>
        <w:footnoteRef/>
      </w:r>
      <w:r>
        <w:rPr>
          <w:rFonts w:eastAsia="宋体" w:ascii="宋体" w:hAnsi="宋体"/>
          <w:sz w:val="18"/>
          <w:szCs w:val="18"/>
        </w:rPr>
        <w:t xml:space="preserve">]当然，何为事实“同一”，可能出现不同的标准。例如：《法国刑事诉讼法典》第368条规定：“任何人经依法宣告无罪，不因相同事实再次受到拘捕或起诉，即使是以不同罪名施行拘捕或起诉，亦同。”这里所持的是“自然事实同一”的标准，即“同一事实”是指生活上相同的事实，与这些事实在法律上被认定为何种罪名没有关系。但是，法国最高司法法院1983年5月19日又判决，即使此前对某一事实上的行为以过失致人死亡罪作出了有罪判决，又对此事实以“故意杀人罪”提起追诉仍然是符合规定的。这一判决似乎又认可“法律事实同一”的意见。</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5000" w:type="pct"/>
      <w:tblCellSpacing w:w="15" w:type="dxa"/>
      <w:tblInd w:w="15" w:type="dxa"/>
      <w:tblLayout w:type="autofit"/>
      <w:tblCellMar>
        <w:top w:w="15" w:type="dxa"/>
        <w:left w:w="15" w:type="dxa"/>
        <w:bottom w:w="15" w:type="dxa"/>
        <w:right w:w="15" w:type="dxa"/>
      </w:tblCellMar>
    </w:tblPr>
    <w:tblGrid>
      <w:gridCol w:w="4955"/>
      <w:gridCol w:w="5601"/>
    </w:tblGrid>
    <w:tr w14:paraId="0B6958B9">
      <w:tblPrEx>
        <w:tblCellMar>
          <w:top w:w="15" w:type="dxa"/>
          <w:left w:w="15" w:type="dxa"/>
          <w:bottom w:w="15" w:type="dxa"/>
          <w:right w:w="15" w:type="dxa"/>
        </w:tblCellMar>
      </w:tblPrEx>
      <w:trPr>
        <w:wBefore w:w="0" w:type="dxa"/>
        <w:tblCellSpacing w:w="15" w:type="dxa"/>
      </w:trPr>
      <w:tc>
        <w:tcPr>
          <w:tcW w:w="0" w:type="auto"/>
          <w:noWrap w:val="0"/>
          <w:tcMar>
            <w:top w:w="15" w:type="dxa"/>
            <w:left w:w="15" w:type="dxa"/>
            <w:bottom w:w="15" w:type="dxa"/>
            <w:right w:w="15" w:type="dxa"/>
          </w:tcMar>
          <w:vAlign w:val="center"/>
        </w:tcPr>
        <w:p w14:paraId="1A70CD43">
          <w:pPr>
            <w:rPr>
              <w:rFonts w:ascii="Times New Roman" w:hAnsi="Times New Roman" w:eastAsia="Times New Roman" w:cs="Times New Roman"/>
              <w:b w:val="0"/>
              <w:bCs w:val="0"/>
              <w:i w:val="0"/>
              <w:iCs w:val="0"/>
              <w:smallCaps w:val="0"/>
              <w:color w:val="000000"/>
              <w:sz w:val="24"/>
              <w:szCs w:val="24"/>
              <w:lang/>
            </w:rPr>
          </w:pPr>
          <w:r>
            <w:rPr>
              <w:rFonts w:ascii="Times New Roman" w:hAnsi="Times New Roman" w:eastAsia="Times New Roman" w:cs="Times New Roman"/>
              <w:b w:val="0"/>
              <w:bCs w:val="0"/>
              <w:i w:val="0"/>
              <w:iCs w:val="0"/>
              <w:smallCaps w:val="0"/>
              <w:strike w:val="0"/>
              <w:color w:val="000000"/>
              <w:u w:val="none"/>
              <w:lang/>
            </w:rPr>
            <w:drawing>
              <wp:inline distT="0" distB="0" distL="114300" distR="114300">
                <wp:extent cx="1733550" cy="3048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733550" cy="304800"/>
                        </a:xfrm>
                        <a:prstGeom prst="rect">
                          <a:avLst/>
                        </a:prstGeom>
                        <a:noFill/>
                        <a:ln>
                          <a:noFill/>
                        </a:ln>
                      </pic:spPr>
                    </pic:pic>
                  </a:graphicData>
                </a:graphic>
              </wp:inline>
            </w:drawing>
          </w:r>
        </w:p>
      </w:tc>
      <w:tc>
        <w:tcPr>
          <w:tcW w:w="0" w:type="auto"/>
          <w:noWrap w:val="0"/>
          <w:tcMar>
            <w:top w:w="15" w:type="dxa"/>
            <w:left w:w="15" w:type="dxa"/>
            <w:bottom w:w="15" w:type="dxa"/>
            <w:right w:w="15" w:type="dxa"/>
          </w:tcMar>
          <w:vAlign w:val="center"/>
        </w:tcPr>
        <w:p w14:paraId="12910A8E">
          <w:pPr>
            <w:jc w:val="right"/>
            <w:rPr>
              <w:rFonts w:ascii="宋体" w:hAnsi="宋体" w:eastAsia="宋体" w:cs="宋体"/>
              <w:b w:val="0"/>
              <w:bCs w:val="0"/>
              <w:i w:val="0"/>
              <w:iCs w:val="0"/>
              <w:smallCaps w:val="0"/>
              <w:color w:val="000000"/>
              <w:sz w:val="23"/>
              <w:szCs w:val="23"/>
              <w:lang/>
            </w:rPr>
          </w:pPr>
          <w:r>
            <w:rPr>
              <w:rFonts w:ascii="宋体" w:hAnsi="宋体" w:eastAsia="宋体" w:cs="宋体"/>
              <w:b w:val="0"/>
              <w:bCs w:val="0"/>
              <w:i w:val="0"/>
              <w:iCs w:val="0"/>
              <w:smallCaps w:val="0"/>
              <w:color w:val="000000"/>
              <w:sz w:val="23"/>
              <w:szCs w:val="23"/>
              <w:lang/>
            </w:rPr>
            <w:t>【法宝引证码】CLI.A.1393635</w:t>
          </w:r>
        </w:p>
      </w:tc>
    </w:tr>
  </w:tbl>
  <w:p w14:paraId="3EC5E8C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DEDC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noLineBreaksAfter w:lang="zh-CN" w:val="([{·‘“〈《「『【〔〖（．［｛￡￥"/>
  <w:noLineBreaksBefore w:lang="zh-CN" w:val="!),.:;?]}¨·ˇˉ―‖’”…∶、。〃々〉》」』】〕〗！＂＇），．：；？］｀｜｝～￠"/>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5D5C24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character" w:default="1" w:styleId="4">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 w:type="paragraph" w:customStyle="1" w:styleId="5">
    <w:name w:val="fulltext-wrap"/>
    <w:basedOn w:val="1"/>
    <w:uiPriority w:val="0"/>
    <w:pPr>
      <w:pBdr>
        <w:top w:val="none" w:color="auto" w:sz="0" w:space="18"/>
        <w:left w:val="none" w:color="auto" w:sz="0" w:space="18"/>
        <w:bottom w:val="none" w:color="auto" w:sz="0" w:space="18"/>
        <w:right w:val="none" w:color="auto" w:sz="0" w:space="18"/>
      </w:pBdr>
    </w:pPr>
  </w:style>
  <w:style w:type="paragraph" w:customStyle="1" w:styleId="6">
    <w:name w:val="fulltext-wrap_title"/>
    <w:basedOn w:val="1"/>
    <w:uiPriority w:val="0"/>
    <w:pPr>
      <w:jc w:val="center"/>
    </w:pPr>
    <w:rPr>
      <w:sz w:val="30"/>
      <w:szCs w:val="30"/>
    </w:rPr>
  </w:style>
  <w:style w:type="paragraph" w:customStyle="1" w:styleId="7">
    <w:name w:val="div"/>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paragraph" w:customStyle="1" w:styleId="8">
    <w:name w:val="divFullText"/>
    <w:basedOn w:val="1"/>
    <w:uiPriority w:val="0"/>
    <w:pPr>
      <w:spacing w:line="600" w:lineRule="atLeast"/>
    </w:pPr>
    <w:rPr>
      <w:rFonts w:ascii="宋体" w:hAnsi="宋体" w:eastAsia="宋体" w:cs="宋体"/>
      <w:color w:val="000000"/>
      <w:sz w:val="27"/>
      <w:szCs w:val="27"/>
    </w:rPr>
  </w:style>
  <w:style w:type="paragraph" w:customStyle="1" w:styleId="9">
    <w:name w:val="p"/>
    <w:basedOn w:val="1"/>
    <w:uiPriority w:val="0"/>
    <w:pPr>
      <w:pBdr>
        <w:top w:val="none" w:color="auto" w:sz="0" w:space="0"/>
        <w:left w:val="none" w:color="auto" w:sz="0" w:space="0"/>
        <w:bottom w:val="none" w:color="auto" w:sz="0" w:space="0"/>
        <w:right w:val="none" w:color="auto" w:sz="0" w:space="0"/>
      </w:pBdr>
      <w:textAlignment w:val="baseline"/>
    </w:pPr>
    <w:rPr>
      <w:sz w:val="24"/>
      <w:szCs w:val="24"/>
      <w:vertAlign w:val="baseline"/>
    </w:rPr>
  </w:style>
  <w:style w:type="character" w:customStyle="1" w:styleId="10">
    <w:name w:val="fulltext-wrap_fulltext_a"/>
    <w:basedOn w:val="4"/>
    <w:uiPriority w:val="0"/>
    <w:rPr>
      <w:color w:val="218FC4"/>
    </w:rPr>
  </w:style>
  <w:style w:type="character" w:customStyle="1" w:styleId="11">
    <w:name w:val="fulltext-wrap_navtiao"/>
    <w:basedOn w:val="4"/>
    <w:uiPriority w:val="0"/>
    <w:rPr>
      <w:b/>
      <w:bCs/>
    </w:rPr>
  </w:style>
  <w:style w:type="paragraph" w:customStyle="1" w:styleId="12">
    <w:name w:val="fulltext-wrap_fulltext_note-wrap"/>
    <w:basedOn w:val="1"/>
    <w:uiPriority w:val="0"/>
    <w:pPr>
      <w:pBdr>
        <w:top w:val="none" w:color="auto" w:sz="0" w:space="7"/>
        <w:left w:val="none" w:color="auto" w:sz="0" w:space="7"/>
        <w:bottom w:val="none" w:color="auto" w:sz="0" w:space="7"/>
        <w:right w:val="none" w:color="auto" w:sz="0" w:space="7"/>
      </w:pBdr>
      <w:shd w:val="clear" w:color="auto" w:fill="F6FAFF"/>
    </w:pPr>
    <w:rPr>
      <w:sz w:val="21"/>
      <w:szCs w:val="21"/>
      <w:shd w:val="clear" w:color="auto" w:fill="F6FAFF"/>
    </w:rPr>
  </w:style>
  <w:style w:type="character" w:customStyle="1" w:styleId="13">
    <w:name w:val="fulltext-wrap_fulltext_note-wrap_strong"/>
    <w:basedOn w:val="4"/>
    <w:uiPriority w:val="0"/>
    <w:rPr>
      <w:color w:val="8E1D1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Footnotes"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21</Pages>
  <Words>14037</Words>
  <Characters>14832</Characters>
  <Lines>1</Lines>
  <Paragraphs>1</Paragraphs>
  <TotalTime>0</TotalTime>
  <ScaleCrop>false</ScaleCrop>
  <LinksUpToDate>false</LinksUpToDate>
  <CharactersWithSpaces>14922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2026-08-17T02:09:50Z</dcterms:created>
  <dc:creator>我的请求权基础呢</dc:creator>
  <cp:lastModifiedBy>chinese-paper-format-skill</cp:lastModifiedBy>
  <dcterms:modified xsi:type="dcterms:W3CDTF">2026-08-17T02:10:09Z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AA6C058078C241C8875C8CB742DB3103_13</vt:lpwstr>
  </property>
</Properties>
</file>