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599CF9">
      <w:pPr>
        <w:pStyle w:val="6"/>
        <w:pBdr>
          <w:top w:val="none" w:color="auto" w:sz="0" w:space="0"/>
          <w:left w:val="none" w:color="auto" w:sz="0" w:space="0"/>
          <w:bottom w:val="none" w:color="auto" w:sz="0" w:space="0"/>
          <w:right w:val="none" w:color="auto" w:sz="0" w:space="0"/>
        </w:pBdr>
        <w:spacing w:before="0" w:after="225"/>
        <w:ind w:left="375" w:right="375"/>
        <w:textAlignment w:val="baseline"/>
        <w:rPr>
          <w:rFonts w:ascii="Arial" w:hAnsi="Arial" w:eastAsia="Arial" w:cs="Arial"/>
          <w:b/>
          <w:bCs/>
          <w:sz w:val="30"/>
          <w:szCs w:val="30"/>
          <w:lang/>
        </w:rPr>
      </w:pPr>
      <w:bookmarkStart w:id="15" w:name="_GoBack"/>
      <w:bookmarkEnd w:id="15"/>
      <w:r>
        <w:rPr>
          <w:rFonts w:ascii="Arial" w:hAnsi="Arial" w:eastAsia="Arial" w:cs="Arial"/>
          <w:b/>
          <w:bCs/>
          <w:lang/>
        </w:rPr>
        <w:t>认罪认罚从宽制度中的证据法问题</w:t>
      </w:r>
    </w:p>
    <w:p w14:paraId="610E77DE">
      <w:pPr>
        <w:ind w:left="375" w:right="375"/>
        <w:rPr>
          <w:rFonts w:ascii="Arial" w:hAnsi="Arial" w:eastAsia="Arial" w:cs="Arial"/>
          <w:lang/>
        </w:rPr>
      </w:pPr>
      <w:r>
        <w:rPr>
          <w:rFonts w:ascii="Arial" w:hAnsi="Arial" w:eastAsia="Arial" w:cs="Arial"/>
          <w:lang/>
        </w:rPr>
        <w:br w:type="textWrapping"/>
      </w:r>
    </w:p>
    <w:p w14:paraId="7B16AF53">
      <w:pPr>
        <w:pStyle w:val="9"/>
        <w:pBdr>
          <w:top w:val="none" w:color="auto" w:sz="0" w:space="0"/>
          <w:left w:val="none" w:color="auto" w:sz="0" w:space="0"/>
          <w:bottom w:val="none" w:color="auto" w:sz="0" w:space="0"/>
          <w:right w:val="none" w:color="auto" w:sz="0" w:space="0"/>
        </w:pBdr>
        <w:spacing w:before="0" w:after="0" w:line="600" w:lineRule="atLeast"/>
        <w:ind w:left="375" w:right="375" w:firstLine="540"/>
        <w:rPr>
          <w:rFonts w:ascii="宋体" w:hAnsi="宋体" w:eastAsia="宋体" w:cs="宋体"/>
          <w:color w:val="000000"/>
          <w:sz w:val="27"/>
          <w:szCs w:val="27"/>
          <w:lang/>
        </w:rPr>
      </w:pPr>
      <w:r>
        <w:rPr>
          <w:rFonts w:ascii="宋体" w:hAnsi="宋体" w:eastAsia="宋体" w:cs="宋体"/>
          <w:color w:val="000000"/>
          <w:sz w:val="27"/>
          <w:szCs w:val="27"/>
          <w:vertAlign w:val="baseline"/>
          <w:lang/>
        </w:rPr>
        <w:t>2018年修正的刑事诉讼法增设认罪认罚从宽制度，并开始全面实施。经过7年多实践，认罪认罚从宽制度适用率全面提升，上诉率稳步下降，认罪认罚从宽制度在节约资源、繁简分流、案结息诉等方面的制度效能逐渐释放。2023年，认罪认罚从宽制度在检察环节的适用率超过90%，一审服判率为96.8%。2024年，认罪认罚从宽制度在检察环节的适用率为86.9%，一审服判率为96.9%。[1]2019年10月24日，为保证认罪认罚从宽制度正确有效实施，最高人民法院、最高人民检察院、公安部、国家安全部、司法部联合发布《</w:t>
      </w:r>
      <w:r>
        <w:rPr>
          <w:rFonts w:ascii="宋体" w:hAnsi="宋体" w:eastAsia="宋体" w:cs="宋体"/>
          <w:color w:val="000000"/>
          <w:sz w:val="27"/>
          <w:szCs w:val="27"/>
          <w:vertAlign w:val="baseline"/>
          <w:lang/>
        </w:rPr>
        <w:fldChar w:fldCharType="begin"/>
      </w:r>
      <w:r>
        <w:rPr>
          <w:rFonts w:ascii="宋体" w:hAnsi="宋体" w:eastAsia="宋体" w:cs="宋体"/>
          <w:color w:val="000000"/>
          <w:sz w:val="27"/>
          <w:szCs w:val="27"/>
          <w:vertAlign w:val="baseline"/>
          <w:lang/>
        </w:rPr>
        <w:instrText xml:space="preserve"> HYPERLINK "https://www.pkulaw.com/chl/dab537e302636ea3bdfb.html?way=textSlc" \l "tiao_0" </w:instrText>
      </w:r>
      <w:r>
        <w:rPr>
          <w:rFonts w:ascii="宋体" w:hAnsi="宋体" w:eastAsia="宋体" w:cs="宋体"/>
          <w:color w:val="000000"/>
          <w:sz w:val="27"/>
          <w:szCs w:val="27"/>
          <w:vertAlign w:val="baseline"/>
          <w:lang/>
        </w:rPr>
        <w:fldChar w:fldCharType="separate"/>
      </w:r>
      <w:r>
        <w:rPr>
          <w:rStyle w:val="10"/>
          <w:rFonts w:ascii="宋体" w:hAnsi="宋体" w:eastAsia="宋体" w:cs="宋体"/>
          <w:sz w:val="27"/>
          <w:szCs w:val="27"/>
          <w:lang/>
        </w:rPr>
        <w:t>关于适用认罪认罚从宽制度的指导意见</w:t>
      </w:r>
      <w:r>
        <w:rPr>
          <w:rStyle w:val="10"/>
          <w:rFonts w:ascii="宋体" w:hAnsi="宋体" w:eastAsia="宋体" w:cs="宋体"/>
          <w:sz w:val="27"/>
          <w:szCs w:val="27"/>
          <w:lang/>
        </w:rPr>
        <w:fldChar w:fldCharType="end"/>
      </w:r>
      <w:r>
        <w:rPr>
          <w:rFonts w:ascii="宋体" w:hAnsi="宋体" w:eastAsia="宋体" w:cs="宋体"/>
          <w:color w:val="000000"/>
          <w:sz w:val="27"/>
          <w:szCs w:val="27"/>
          <w:vertAlign w:val="baseline"/>
          <w:lang/>
        </w:rPr>
        <w:t>》。随着认罪认罚从宽制度的深入推进，实践中又出现了一些新的问题，及时对这些问题进行研究总结，对于认罪认罚从宽制度的健康运行十分必要。本文主要就认罪认罚从宽制度实施过程中涉及的证据法问题略陈己见。</w:t>
      </w:r>
      <w:r>
        <w:rPr>
          <w:vertAlign w:val="superscript"/>
        </w:rPr>
        <w:footnoteReference w:id="1"/>
      </w:r>
    </w:p>
    <w:p w14:paraId="09A46B1F">
      <w:pPr>
        <w:pStyle w:val="9"/>
        <w:spacing w:before="0" w:after="0" w:line="600" w:lineRule="atLeast"/>
        <w:ind w:left="375" w:right="375" w:firstLine="540"/>
        <w:rPr>
          <w:rFonts w:ascii="宋体" w:hAnsi="宋体" w:eastAsia="宋体" w:cs="宋体"/>
          <w:color w:val="000000"/>
          <w:sz w:val="27"/>
          <w:szCs w:val="27"/>
          <w:lang/>
        </w:rPr>
      </w:pPr>
      <w:bookmarkStart w:id="0" w:name="sort_1"/>
      <w:bookmarkEnd w:id="0"/>
      <w:r>
        <w:rPr>
          <w:rFonts w:ascii="宋体" w:hAnsi="宋体" w:eastAsia="宋体" w:cs="宋体"/>
          <w:color w:val="000000"/>
          <w:sz w:val="27"/>
          <w:szCs w:val="27"/>
          <w:vertAlign w:val="baseline"/>
          <w:lang/>
        </w:rPr>
        <w:t>一、犯罪嫌疑人、被告人反悔时认罪认罚具结书与相关供述的使用问题</w:t>
      </w:r>
      <w:r>
        <w:rPr>
          <w:vertAlign w:val="superscript"/>
        </w:rPr>
        <w:footnoteReference w:id="2"/>
      </w:r>
    </w:p>
    <w:p w14:paraId="0385AA4B">
      <w:pPr>
        <w:pStyle w:val="9"/>
        <w:spacing w:before="0" w:after="0" w:line="600" w:lineRule="atLeast"/>
        <w:ind w:left="375" w:right="375" w:firstLine="540"/>
        <w:rPr>
          <w:rFonts w:ascii="宋体" w:hAnsi="宋体" w:eastAsia="宋体" w:cs="宋体"/>
          <w:color w:val="000000"/>
          <w:sz w:val="27"/>
          <w:szCs w:val="27"/>
          <w:lang/>
        </w:rPr>
      </w:pPr>
      <w:bookmarkStart w:id="1" w:name="sort_1_1"/>
      <w:bookmarkEnd w:id="1"/>
      <w:r>
        <w:rPr>
          <w:rFonts w:ascii="宋体" w:hAnsi="宋体" w:eastAsia="宋体" w:cs="宋体"/>
          <w:color w:val="000000"/>
          <w:sz w:val="27"/>
          <w:szCs w:val="27"/>
          <w:vertAlign w:val="baseline"/>
          <w:lang/>
        </w:rPr>
        <w:t>（一）认罪认罚具结书的性质</w:t>
      </w:r>
      <w:r>
        <w:rPr>
          <w:vertAlign w:val="superscript"/>
        </w:rPr>
        <w:footnoteReference w:id="3"/>
      </w:r>
    </w:p>
    <w:p w14:paraId="6F4DBE3B">
      <w:pPr>
        <w:pStyle w:val="9"/>
        <w:spacing w:before="0" w:after="0" w:line="600" w:lineRule="atLeast"/>
        <w:ind w:left="375" w:right="375" w:firstLine="540"/>
        <w:rPr>
          <w:rFonts w:ascii="宋体" w:hAnsi="宋体" w:eastAsia="宋体" w:cs="宋体"/>
          <w:color w:val="000000"/>
          <w:sz w:val="27"/>
          <w:szCs w:val="27"/>
          <w:lang/>
        </w:rPr>
      </w:pPr>
      <w:r>
        <w:rPr>
          <w:rFonts w:ascii="宋体" w:hAnsi="宋体" w:eastAsia="宋体" w:cs="宋体"/>
          <w:color w:val="000000"/>
          <w:sz w:val="27"/>
          <w:szCs w:val="27"/>
          <w:vertAlign w:val="baseline"/>
          <w:lang/>
        </w:rPr>
        <w:t>认罪认罚具结书，是认罪认罚从宽制度运行中的关键文书，其性质为何、效力如何，从认罪认罚从宽制度试点时期开始，就一直有不同的看法。例如，有观点认为，被追诉人撤回认罪认罚具结书后，具结书不能作为其认罪认罚的依据，但仍可能作为其曾作有罪供述的证据提交至法院。[2]该观点主要以试点期间最高人民法院制发的《认罪认罚从宽制度告知书》第7条为根据，该条规定，“犯罪嫌疑人、被告人撤回《认罪认罚具结书》后，犯罪嫌疑人、被告人已签署过的《认罪认罚具结书》不能作为本人认罪认罚的依据，但仍可能作为其曾作有罪供述的证据，由人民法院结合其他证据对本案事实进行认定。”另有观点认为，认罪认罚具结书是一种证明认罪认罚诉讼过程事实的程序性证据或称为过程性证据，具体可归入《</w:t>
      </w:r>
      <w:r>
        <w:rPr>
          <w:rFonts w:ascii="宋体" w:hAnsi="宋体" w:eastAsia="宋体" w:cs="宋体"/>
          <w:color w:val="000000"/>
          <w:sz w:val="27"/>
          <w:szCs w:val="27"/>
          <w:vertAlign w:val="baseline"/>
          <w:lang/>
        </w:rPr>
        <w:fldChar w:fldCharType="begin"/>
      </w:r>
      <w:r>
        <w:rPr>
          <w:rFonts w:ascii="宋体" w:hAnsi="宋体" w:eastAsia="宋体" w:cs="宋体"/>
          <w:color w:val="000000"/>
          <w:sz w:val="27"/>
          <w:szCs w:val="27"/>
          <w:vertAlign w:val="baseline"/>
          <w:lang/>
        </w:rPr>
        <w:instrText xml:space="preserve"> HYPERLINK "https://www.pkulaw.com/chl/5a06769be1274052bdfb.html?way=textSlc" \l "tiao_0" </w:instrText>
      </w:r>
      <w:r>
        <w:rPr>
          <w:rFonts w:ascii="宋体" w:hAnsi="宋体" w:eastAsia="宋体" w:cs="宋体"/>
          <w:color w:val="000000"/>
          <w:sz w:val="27"/>
          <w:szCs w:val="27"/>
          <w:vertAlign w:val="baseline"/>
          <w:lang/>
        </w:rPr>
        <w:fldChar w:fldCharType="separate"/>
      </w:r>
      <w:r>
        <w:rPr>
          <w:rStyle w:val="10"/>
          <w:rFonts w:ascii="宋体" w:hAnsi="宋体" w:eastAsia="宋体" w:cs="宋体"/>
          <w:sz w:val="27"/>
          <w:szCs w:val="27"/>
          <w:lang/>
        </w:rPr>
        <w:t>刑事诉讼法</w:t>
      </w:r>
      <w:r>
        <w:rPr>
          <w:rStyle w:val="10"/>
          <w:rFonts w:ascii="宋体" w:hAnsi="宋体" w:eastAsia="宋体" w:cs="宋体"/>
          <w:sz w:val="27"/>
          <w:szCs w:val="27"/>
          <w:lang/>
        </w:rPr>
        <w:fldChar w:fldCharType="end"/>
      </w:r>
      <w:r>
        <w:rPr>
          <w:rFonts w:ascii="宋体" w:hAnsi="宋体" w:eastAsia="宋体" w:cs="宋体"/>
          <w:color w:val="000000"/>
          <w:sz w:val="27"/>
          <w:szCs w:val="27"/>
          <w:vertAlign w:val="baseline"/>
          <w:lang/>
        </w:rPr>
        <w:t>》第</w:t>
      </w:r>
      <w:r>
        <w:rPr>
          <w:rFonts w:ascii="宋体" w:hAnsi="宋体" w:eastAsia="宋体" w:cs="宋体"/>
          <w:color w:val="000000"/>
          <w:sz w:val="27"/>
          <w:szCs w:val="27"/>
          <w:vertAlign w:val="baseline"/>
          <w:lang/>
        </w:rPr>
        <w:fldChar w:fldCharType="begin"/>
      </w:r>
      <w:r>
        <w:rPr>
          <w:rFonts w:ascii="宋体" w:hAnsi="宋体" w:eastAsia="宋体" w:cs="宋体"/>
          <w:color w:val="000000"/>
          <w:sz w:val="27"/>
          <w:szCs w:val="27"/>
          <w:vertAlign w:val="baseline"/>
          <w:lang/>
        </w:rPr>
        <w:instrText xml:space="preserve"> HYPERLINK "https://www.pkulaw.com/chl/5a06769be1274052bdfb.html?way=textSlc" \l "tiao_50" </w:instrText>
      </w:r>
      <w:r>
        <w:rPr>
          <w:rFonts w:ascii="宋体" w:hAnsi="宋体" w:eastAsia="宋体" w:cs="宋体"/>
          <w:color w:val="000000"/>
          <w:sz w:val="27"/>
          <w:szCs w:val="27"/>
          <w:vertAlign w:val="baseline"/>
          <w:lang/>
        </w:rPr>
        <w:fldChar w:fldCharType="separate"/>
      </w:r>
      <w:r>
        <w:rPr>
          <w:rStyle w:val="10"/>
          <w:rFonts w:ascii="宋体" w:hAnsi="宋体" w:eastAsia="宋体" w:cs="宋体"/>
          <w:sz w:val="27"/>
          <w:szCs w:val="27"/>
          <w:lang/>
        </w:rPr>
        <w:t>50</w:t>
      </w:r>
      <w:r>
        <w:rPr>
          <w:rStyle w:val="10"/>
          <w:rFonts w:ascii="宋体" w:hAnsi="宋体" w:eastAsia="宋体" w:cs="宋体"/>
          <w:sz w:val="27"/>
          <w:szCs w:val="27"/>
          <w:lang/>
        </w:rPr>
        <w:fldChar w:fldCharType="end"/>
      </w:r>
      <w:r>
        <w:rPr>
          <w:rFonts w:ascii="宋体" w:hAnsi="宋体" w:eastAsia="宋体" w:cs="宋体"/>
          <w:color w:val="000000"/>
          <w:sz w:val="27"/>
          <w:szCs w:val="27"/>
          <w:vertAlign w:val="baseline"/>
          <w:lang/>
        </w:rPr>
        <w:t>条中“笔录类证据”，仅能证明认罪认罚诉讼行为的自愿性与合法性，不能直接作为证明被追诉人有罪的证据，同时也不应用于补强被追诉人作出的有罪供述。[3]但也有学者对上述观点持明确反对态度，认为具结书本身仅仅是被追诉人所作的一种声明，不符合证据所具有的还原案件事实的基本功能和要求，实务中不能将具结书直接作为口供来用，更不能径直以具结书作为认定案件事实的证据。[4]当然，绝大多数学者，包括前述对具结书的证据地位有不同看法的学者都一致认同的看法是，认罪认罚具结书具有契约或协议的性质。[5]</w:t>
      </w:r>
      <w:r>
        <w:rPr>
          <w:vertAlign w:val="superscript"/>
        </w:rPr>
        <w:footnoteReference w:id="4"/>
      </w:r>
    </w:p>
    <w:p w14:paraId="42BD3A05">
      <w:pPr>
        <w:pStyle w:val="9"/>
        <w:spacing w:before="0" w:after="0" w:line="600" w:lineRule="atLeast"/>
        <w:ind w:left="375" w:right="375" w:firstLine="540"/>
        <w:rPr>
          <w:rFonts w:ascii="宋体" w:hAnsi="宋体" w:eastAsia="宋体" w:cs="宋体"/>
          <w:color w:val="000000"/>
          <w:sz w:val="27"/>
          <w:szCs w:val="27"/>
          <w:lang/>
        </w:rPr>
      </w:pPr>
      <w:r>
        <w:rPr>
          <w:rFonts w:ascii="宋体" w:hAnsi="宋体" w:eastAsia="宋体" w:cs="宋体"/>
          <w:color w:val="000000"/>
          <w:sz w:val="27"/>
          <w:szCs w:val="27"/>
          <w:vertAlign w:val="baseline"/>
          <w:lang/>
        </w:rPr>
        <w:t>“具结书”一词最早出现于最高人民法院、最高人民检察院、公安部和司法部2014年联合发布的《</w:t>
      </w:r>
      <w:r>
        <w:rPr>
          <w:rFonts w:ascii="宋体" w:hAnsi="宋体" w:eastAsia="宋体" w:cs="宋体"/>
          <w:color w:val="000000"/>
          <w:sz w:val="27"/>
          <w:szCs w:val="27"/>
          <w:vertAlign w:val="baseline"/>
          <w:lang/>
        </w:rPr>
        <w:fldChar w:fldCharType="begin"/>
      </w:r>
      <w:r>
        <w:rPr>
          <w:rFonts w:ascii="宋体" w:hAnsi="宋体" w:eastAsia="宋体" w:cs="宋体"/>
          <w:color w:val="000000"/>
          <w:sz w:val="27"/>
          <w:szCs w:val="27"/>
          <w:vertAlign w:val="baseline"/>
          <w:lang/>
        </w:rPr>
        <w:instrText xml:space="preserve"> HYPERLINK "https://www.pkulaw.com/chl/66c6494ac0f57bc5bdfb.html?way=textSlc" \l "tiao_0" </w:instrText>
      </w:r>
      <w:r>
        <w:rPr>
          <w:rFonts w:ascii="宋体" w:hAnsi="宋体" w:eastAsia="宋体" w:cs="宋体"/>
          <w:color w:val="000000"/>
          <w:sz w:val="27"/>
          <w:szCs w:val="27"/>
          <w:vertAlign w:val="baseline"/>
          <w:lang/>
        </w:rPr>
        <w:fldChar w:fldCharType="separate"/>
      </w:r>
      <w:r>
        <w:rPr>
          <w:rStyle w:val="10"/>
          <w:rFonts w:ascii="宋体" w:hAnsi="宋体" w:eastAsia="宋体" w:cs="宋体"/>
          <w:sz w:val="27"/>
          <w:szCs w:val="27"/>
          <w:lang/>
        </w:rPr>
        <w:t>关于在部分地区开展刑事案件速裁程序试点工作的办法</w:t>
      </w:r>
      <w:r>
        <w:rPr>
          <w:rStyle w:val="10"/>
          <w:rFonts w:ascii="宋体" w:hAnsi="宋体" w:eastAsia="宋体" w:cs="宋体"/>
          <w:sz w:val="27"/>
          <w:szCs w:val="27"/>
          <w:lang/>
        </w:rPr>
        <w:fldChar w:fldCharType="end"/>
      </w:r>
      <w:r>
        <w:rPr>
          <w:rFonts w:ascii="宋体" w:hAnsi="宋体" w:eastAsia="宋体" w:cs="宋体"/>
          <w:color w:val="000000"/>
          <w:sz w:val="27"/>
          <w:szCs w:val="27"/>
          <w:vertAlign w:val="baseline"/>
          <w:lang/>
        </w:rPr>
        <w:t>》第8条，“决定起诉并建议人民法院适用速裁程序的，应当在起诉书中提出量刑建议，并提供犯罪嫌疑人的具结书等材料。”2016年，最高人民法院、最高人民检察院、公安部、国家安全部和司法部印发了《</w:t>
      </w:r>
      <w:r>
        <w:rPr>
          <w:rFonts w:ascii="宋体" w:hAnsi="宋体" w:eastAsia="宋体" w:cs="宋体"/>
          <w:color w:val="000000"/>
          <w:sz w:val="27"/>
          <w:szCs w:val="27"/>
          <w:vertAlign w:val="baseline"/>
          <w:lang/>
        </w:rPr>
        <w:fldChar w:fldCharType="begin"/>
      </w:r>
      <w:r>
        <w:rPr>
          <w:rFonts w:ascii="宋体" w:hAnsi="宋体" w:eastAsia="宋体" w:cs="宋体"/>
          <w:color w:val="000000"/>
          <w:sz w:val="27"/>
          <w:szCs w:val="27"/>
          <w:vertAlign w:val="baseline"/>
          <w:lang/>
        </w:rPr>
        <w:instrText xml:space="preserve"> HYPERLINK "https://www.pkulaw.com/chl/5b13b34048ee275fbdfb.html?way=textSlc" \l "tiao_0" </w:instrText>
      </w:r>
      <w:r>
        <w:rPr>
          <w:rFonts w:ascii="宋体" w:hAnsi="宋体" w:eastAsia="宋体" w:cs="宋体"/>
          <w:color w:val="000000"/>
          <w:sz w:val="27"/>
          <w:szCs w:val="27"/>
          <w:vertAlign w:val="baseline"/>
          <w:lang/>
        </w:rPr>
        <w:fldChar w:fldCharType="separate"/>
      </w:r>
      <w:r>
        <w:rPr>
          <w:rStyle w:val="10"/>
          <w:rFonts w:ascii="宋体" w:hAnsi="宋体" w:eastAsia="宋体" w:cs="宋体"/>
          <w:sz w:val="27"/>
          <w:szCs w:val="27"/>
          <w:lang/>
        </w:rPr>
        <w:t>关于在部分地区开展刑事案件认罪认罚从宽制度试点工作的办法</w:t>
      </w:r>
      <w:r>
        <w:rPr>
          <w:rStyle w:val="10"/>
          <w:rFonts w:ascii="宋体" w:hAnsi="宋体" w:eastAsia="宋体" w:cs="宋体"/>
          <w:sz w:val="27"/>
          <w:szCs w:val="27"/>
          <w:lang/>
        </w:rPr>
        <w:fldChar w:fldCharType="end"/>
      </w:r>
      <w:r>
        <w:rPr>
          <w:rFonts w:ascii="宋体" w:hAnsi="宋体" w:eastAsia="宋体" w:cs="宋体"/>
          <w:color w:val="000000"/>
          <w:sz w:val="27"/>
          <w:szCs w:val="27"/>
          <w:vertAlign w:val="baseline"/>
          <w:lang/>
        </w:rPr>
        <w:t>》，“具结书”一词开始大量使用。根据《辞海》，具结是指“旧时对官署提出表示负责的文字”，[6]即犯罪嫌疑人向办案机关递交的保证书。然而，作为认罪认罚从宽核心制度的具结书，是控辩双方就指控犯罪事实、量刑建议、程序选择等重要事项达成一致的产物。因此，绝大多数学者都认同认罪认罚具结书本质上是一种刑事契约或量刑协议。</w:t>
      </w:r>
      <w:r>
        <w:rPr>
          <w:vertAlign w:val="superscript"/>
        </w:rPr>
        <w:footnoteReference w:id="5"/>
      </w:r>
    </w:p>
    <w:p w14:paraId="74783853">
      <w:pPr>
        <w:pStyle w:val="9"/>
        <w:spacing w:before="0" w:after="0" w:line="600" w:lineRule="atLeast"/>
        <w:ind w:left="375" w:right="375" w:firstLine="540"/>
        <w:rPr>
          <w:rFonts w:ascii="宋体" w:hAnsi="宋体" w:eastAsia="宋体" w:cs="宋体"/>
          <w:color w:val="000000"/>
          <w:sz w:val="27"/>
          <w:szCs w:val="27"/>
          <w:lang/>
        </w:rPr>
      </w:pPr>
      <w:r>
        <w:rPr>
          <w:rFonts w:ascii="宋体" w:hAnsi="宋体" w:eastAsia="宋体" w:cs="宋体"/>
          <w:color w:val="000000"/>
          <w:sz w:val="27"/>
          <w:szCs w:val="27"/>
          <w:vertAlign w:val="baseline"/>
          <w:lang/>
        </w:rPr>
        <w:t>既然本质上是契约或协议，一旦签署，控辩双方从道义上应该受其约束，依照双方合意实施诉讼行为、履行一定的义务。但是，该协议对控辩双方的约束力并不对等。对犯罪嫌疑人、被告人而言，该协议并无强制约束力，为保障认罪认罚的自愿性，法律允许犯罪嫌疑人、被告人反悔，不再认罪认罚。认罪认罚具结书对于检察机关虽然没有法律上的拘束力，但出于诚信原则，同时为了保护犯罪嫌疑人、被告人的期待利益，在犯罪嫌疑人签署具结书后，如果没有出现新的事实和证据，人民检察院不得单方撤销具结书、变更量刑建议。</w:t>
      </w:r>
      <w:r>
        <w:rPr>
          <w:vertAlign w:val="superscript"/>
        </w:rPr>
        <w:footnoteReference w:id="6"/>
      </w:r>
    </w:p>
    <w:p w14:paraId="1CD96505">
      <w:pPr>
        <w:pStyle w:val="9"/>
        <w:spacing w:before="0" w:after="0" w:line="600" w:lineRule="atLeast"/>
        <w:ind w:left="375" w:right="375" w:firstLine="540"/>
        <w:rPr>
          <w:rFonts w:ascii="宋体" w:hAnsi="宋体" w:eastAsia="宋体" w:cs="宋体"/>
          <w:color w:val="000000"/>
          <w:sz w:val="27"/>
          <w:szCs w:val="27"/>
          <w:lang/>
        </w:rPr>
      </w:pPr>
      <w:bookmarkStart w:id="2" w:name="sort_1_2"/>
      <w:bookmarkEnd w:id="2"/>
      <w:r>
        <w:rPr>
          <w:rFonts w:ascii="宋体" w:hAnsi="宋体" w:eastAsia="宋体" w:cs="宋体"/>
          <w:color w:val="000000"/>
          <w:sz w:val="27"/>
          <w:szCs w:val="27"/>
          <w:vertAlign w:val="baseline"/>
          <w:lang/>
        </w:rPr>
        <w:t>（二）犯罪嫌疑人、被告人反悔后具结书的效力</w:t>
      </w:r>
      <w:r>
        <w:rPr>
          <w:vertAlign w:val="superscript"/>
        </w:rPr>
        <w:footnoteReference w:id="7"/>
      </w:r>
    </w:p>
    <w:p w14:paraId="49513C7D">
      <w:pPr>
        <w:pStyle w:val="9"/>
        <w:spacing w:before="0" w:after="0" w:line="600" w:lineRule="atLeast"/>
        <w:ind w:left="375" w:right="375" w:firstLine="540"/>
        <w:rPr>
          <w:rFonts w:ascii="宋体" w:hAnsi="宋体" w:eastAsia="宋体" w:cs="宋体"/>
          <w:color w:val="000000"/>
          <w:sz w:val="27"/>
          <w:szCs w:val="27"/>
          <w:lang/>
        </w:rPr>
      </w:pPr>
      <w:r>
        <w:rPr>
          <w:rFonts w:ascii="宋体" w:hAnsi="宋体" w:eastAsia="宋体" w:cs="宋体"/>
          <w:color w:val="000000"/>
          <w:sz w:val="27"/>
          <w:szCs w:val="27"/>
          <w:vertAlign w:val="baseline"/>
          <w:lang/>
        </w:rPr>
        <w:t>如果犯罪嫌疑人在签署认罪认罚具结书后反悔，不再认罪或者不履行具结书中需要履行的赔偿损失、退赃退赔等义务，在这种情况下，对认罪认罚具结书该如何处理？</w:t>
      </w:r>
      <w:r>
        <w:rPr>
          <w:vertAlign w:val="superscript"/>
        </w:rPr>
        <w:footnoteReference w:id="8"/>
      </w:r>
    </w:p>
    <w:p w14:paraId="7002DE51">
      <w:pPr>
        <w:pStyle w:val="9"/>
        <w:spacing w:before="0" w:after="0" w:line="600" w:lineRule="atLeast"/>
        <w:ind w:left="375" w:right="375" w:firstLine="540"/>
        <w:rPr>
          <w:rFonts w:ascii="宋体" w:hAnsi="宋体" w:eastAsia="宋体" w:cs="宋体"/>
          <w:color w:val="000000"/>
          <w:sz w:val="27"/>
          <w:szCs w:val="27"/>
          <w:lang/>
        </w:rPr>
      </w:pPr>
      <w:r>
        <w:rPr>
          <w:rFonts w:ascii="宋体" w:hAnsi="宋体" w:eastAsia="宋体" w:cs="宋体"/>
          <w:color w:val="000000"/>
          <w:sz w:val="27"/>
          <w:szCs w:val="27"/>
          <w:vertAlign w:val="baseline"/>
          <w:lang/>
        </w:rPr>
        <w:t>认罪认罚具结书的内容除犯罪嫌疑人身份信息、权利知悉声明、自愿性声明外，最核心部分是声明本人知悉并认可指控犯罪事实、检察机关提出的量刑建议和选择审判程序的情况。那么，犯罪嫌疑人对指控犯罪事实的笼统认可，是否构成一种证据？</w:t>
      </w:r>
      <w:r>
        <w:rPr>
          <w:vertAlign w:val="superscript"/>
        </w:rPr>
        <w:footnoteReference w:id="9"/>
      </w:r>
    </w:p>
    <w:p w14:paraId="5674827B">
      <w:pPr>
        <w:pStyle w:val="9"/>
        <w:spacing w:before="0" w:after="0" w:line="600" w:lineRule="atLeast"/>
        <w:ind w:left="375" w:right="375" w:firstLine="540"/>
        <w:rPr>
          <w:rFonts w:ascii="宋体" w:hAnsi="宋体" w:eastAsia="宋体" w:cs="宋体"/>
          <w:color w:val="000000"/>
          <w:sz w:val="27"/>
          <w:szCs w:val="27"/>
          <w:lang/>
        </w:rPr>
      </w:pPr>
      <w:r>
        <w:rPr>
          <w:rFonts w:ascii="宋体" w:hAnsi="宋体" w:eastAsia="宋体" w:cs="宋体"/>
          <w:color w:val="000000"/>
          <w:sz w:val="27"/>
          <w:szCs w:val="27"/>
          <w:vertAlign w:val="baseline"/>
          <w:lang/>
        </w:rPr>
        <w:t>在对抗制诉讼制度下，被告人宣布认可指控的犯罪事实，是一种放弃“对抗”的表现。在这种情况下，对抗制审判从根本上不必举行，直接进入量刑程序。此时，被告人对指控犯罪事实的认可，如同民事诉讼中的自认一样，不仅是一种非常有力的证据，还具有重要的程序法效果。但是，在以查明案件真相为主要任务的非对抗制诉讼制度下，证据是查明案件真相的线索，是重建案件事实的基础，作为证据的“供述”不能只是笼统地宣布认可指控犯罪事实，还必须提供犯罪细节。作为证据的供述，是对案件细节的陈述。而对指控犯罪事实表示认可，构成一种态度，至多反映行为人是否悔过等主观心理状态。即便如此，提供细节的供述也比笼统的认罪宣告更能反映出行为人真实的内心状态。因此，单纯地表示对指控犯罪事实的认可与我国证据法中的“供述”尚有一定差距，认罪认罚具结书不具有证据属性。</w:t>
      </w:r>
      <w:r>
        <w:rPr>
          <w:vertAlign w:val="superscript"/>
        </w:rPr>
        <w:footnoteReference w:id="10"/>
      </w:r>
    </w:p>
    <w:p w14:paraId="0ABE448B">
      <w:pPr>
        <w:pStyle w:val="9"/>
        <w:spacing w:before="0" w:after="0" w:line="600" w:lineRule="atLeast"/>
        <w:ind w:left="375" w:right="375" w:firstLine="540"/>
        <w:rPr>
          <w:rFonts w:ascii="宋体" w:hAnsi="宋体" w:eastAsia="宋体" w:cs="宋体"/>
          <w:color w:val="000000"/>
          <w:sz w:val="27"/>
          <w:szCs w:val="27"/>
          <w:lang/>
        </w:rPr>
      </w:pPr>
      <w:bookmarkStart w:id="3" w:name="sort_1_3"/>
      <w:bookmarkEnd w:id="3"/>
      <w:r>
        <w:rPr>
          <w:rFonts w:ascii="宋体" w:hAnsi="宋体" w:eastAsia="宋体" w:cs="宋体"/>
          <w:color w:val="000000"/>
          <w:sz w:val="27"/>
          <w:szCs w:val="27"/>
          <w:vertAlign w:val="baseline"/>
          <w:lang/>
        </w:rPr>
        <w:t>（三）认罪认罚具结书失效后相关供述的处理</w:t>
      </w:r>
      <w:r>
        <w:rPr>
          <w:vertAlign w:val="superscript"/>
        </w:rPr>
        <w:footnoteReference w:id="11"/>
      </w:r>
    </w:p>
    <w:p w14:paraId="016B4CD6">
      <w:pPr>
        <w:pStyle w:val="9"/>
        <w:spacing w:before="0" w:after="0" w:line="600" w:lineRule="atLeast"/>
        <w:ind w:left="375" w:right="375" w:firstLine="540"/>
        <w:rPr>
          <w:rFonts w:ascii="宋体" w:hAnsi="宋体" w:eastAsia="宋体" w:cs="宋体"/>
          <w:color w:val="000000"/>
          <w:sz w:val="27"/>
          <w:szCs w:val="27"/>
          <w:lang/>
        </w:rPr>
      </w:pPr>
      <w:r>
        <w:rPr>
          <w:rFonts w:ascii="宋体" w:hAnsi="宋体" w:eastAsia="宋体" w:cs="宋体"/>
          <w:color w:val="000000"/>
          <w:sz w:val="27"/>
          <w:szCs w:val="27"/>
          <w:vertAlign w:val="baseline"/>
          <w:lang/>
        </w:rPr>
        <w:t>如果犯罪嫌疑人在签署认罪认罚具结书后反悔，不再认罪认罚，认罪认罚具结书失效，那么犯罪嫌疑人、被告人所作供述该如何处理？该问题的处理，既关涉价值取舍，也与犯罪嫌疑人供述自身属性有关，更与国家制度环境有密切的关系。</w:t>
      </w:r>
      <w:r>
        <w:rPr>
          <w:vertAlign w:val="superscript"/>
        </w:rPr>
        <w:footnoteReference w:id="12"/>
      </w:r>
    </w:p>
    <w:p w14:paraId="456AFEC1">
      <w:pPr>
        <w:pStyle w:val="9"/>
        <w:spacing w:before="0" w:after="0" w:line="600" w:lineRule="atLeast"/>
        <w:ind w:left="375" w:right="375" w:firstLine="540"/>
        <w:rPr>
          <w:rFonts w:ascii="宋体" w:hAnsi="宋体" w:eastAsia="宋体" w:cs="宋体"/>
          <w:color w:val="000000"/>
          <w:sz w:val="27"/>
          <w:szCs w:val="27"/>
          <w:lang/>
        </w:rPr>
      </w:pPr>
      <w:r>
        <w:rPr>
          <w:rFonts w:ascii="宋体" w:hAnsi="宋体" w:eastAsia="宋体" w:cs="宋体"/>
          <w:color w:val="000000"/>
          <w:sz w:val="27"/>
          <w:szCs w:val="27"/>
          <w:vertAlign w:val="baseline"/>
          <w:lang/>
        </w:rPr>
        <w:t>有些国家的立法否定交易破裂后相关陈述的证据资格，[7]其本意是让被告人放弃后顾之忧，大胆与检察官进行协商，即使协商没有达成预想的成果，或者协商破裂，已经作出的相关陈述也不会使自己陷于更不利的境地。但是，实践中的运作情况却事与愿违，由于检察官可以以被告人放弃相关立法保护作为开始协商的前提条件，当前，被告人放弃上述立法保护已经成为辩诉交易实践中的常规操作。[8]</w:t>
      </w:r>
      <w:r>
        <w:rPr>
          <w:vertAlign w:val="superscript"/>
        </w:rPr>
        <w:footnoteReference w:id="13"/>
      </w:r>
    </w:p>
    <w:p w14:paraId="283E6EAE">
      <w:pPr>
        <w:pStyle w:val="9"/>
        <w:spacing w:before="0" w:after="0" w:line="600" w:lineRule="atLeast"/>
        <w:ind w:left="375" w:right="375" w:firstLine="540"/>
        <w:rPr>
          <w:rFonts w:ascii="宋体" w:hAnsi="宋体" w:eastAsia="宋体" w:cs="宋体"/>
          <w:color w:val="000000"/>
          <w:sz w:val="27"/>
          <w:szCs w:val="27"/>
          <w:lang/>
        </w:rPr>
      </w:pPr>
      <w:r>
        <w:rPr>
          <w:rFonts w:ascii="宋体" w:hAnsi="宋体" w:eastAsia="宋体" w:cs="宋体"/>
          <w:color w:val="000000"/>
          <w:sz w:val="27"/>
          <w:szCs w:val="27"/>
          <w:vertAlign w:val="baseline"/>
          <w:lang/>
        </w:rPr>
        <w:t>我国的制度环境有所不同。其一，从诉讼行为理论的视角来看，我国的供述不同于对抗制诉讼之下的认罪答辩。在我国，犯罪嫌疑人、被告人的供述行为形成的是纯粹的证据，其在刑事诉讼中的效果是影响法官心证，属于实体形成行为，或诉讼事实行为。对抗制诉讼之下的认罪答辩不是纯粹的证据法上的自白，它还具有程序法功能（例如认罪答辩后可以规避审判，直接进入量刑程序），属于程序形成行为，或诉讼法律行为。一般而言，诉讼法律行为是可以撤回或撤销的，例如撤销原判、撤回告诉、撤回自诉；而实体形成行为或诉讼事实行为发生了就是发生了，无法撤销。就供述而言，一旦作出，就会对司法主体的心证产生影响，没有撤回之说。其二，在我国，排除口供的唯一理论根据是证据收集方式不合法，排除口供的立法依据则是《</w:t>
      </w:r>
      <w:r>
        <w:rPr>
          <w:rFonts w:ascii="宋体" w:hAnsi="宋体" w:eastAsia="宋体" w:cs="宋体"/>
          <w:color w:val="000000"/>
          <w:sz w:val="27"/>
          <w:szCs w:val="27"/>
          <w:vertAlign w:val="baseline"/>
          <w:lang/>
        </w:rPr>
        <w:fldChar w:fldCharType="begin"/>
      </w:r>
      <w:r>
        <w:rPr>
          <w:rFonts w:ascii="宋体" w:hAnsi="宋体" w:eastAsia="宋体" w:cs="宋体"/>
          <w:color w:val="000000"/>
          <w:sz w:val="27"/>
          <w:szCs w:val="27"/>
          <w:vertAlign w:val="baseline"/>
          <w:lang/>
        </w:rPr>
        <w:instrText xml:space="preserve"> HYPERLINK "https://www.pkulaw.com/chl/5a06769be1274052bdfb.html?way=textSlc" \l "tiao_0" </w:instrText>
      </w:r>
      <w:r>
        <w:rPr>
          <w:rFonts w:ascii="宋体" w:hAnsi="宋体" w:eastAsia="宋体" w:cs="宋体"/>
          <w:color w:val="000000"/>
          <w:sz w:val="27"/>
          <w:szCs w:val="27"/>
          <w:vertAlign w:val="baseline"/>
          <w:lang/>
        </w:rPr>
        <w:fldChar w:fldCharType="separate"/>
      </w:r>
      <w:r>
        <w:rPr>
          <w:rStyle w:val="10"/>
          <w:rFonts w:ascii="宋体" w:hAnsi="宋体" w:eastAsia="宋体" w:cs="宋体"/>
          <w:sz w:val="27"/>
          <w:szCs w:val="27"/>
          <w:lang/>
        </w:rPr>
        <w:t>刑事诉讼法</w:t>
      </w:r>
      <w:r>
        <w:rPr>
          <w:rStyle w:val="10"/>
          <w:rFonts w:ascii="宋体" w:hAnsi="宋体" w:eastAsia="宋体" w:cs="宋体"/>
          <w:sz w:val="27"/>
          <w:szCs w:val="27"/>
          <w:lang/>
        </w:rPr>
        <w:fldChar w:fldCharType="end"/>
      </w:r>
      <w:r>
        <w:rPr>
          <w:rFonts w:ascii="宋体" w:hAnsi="宋体" w:eastAsia="宋体" w:cs="宋体"/>
          <w:color w:val="000000"/>
          <w:sz w:val="27"/>
          <w:szCs w:val="27"/>
          <w:vertAlign w:val="baseline"/>
          <w:lang/>
        </w:rPr>
        <w:t>》第56—60条所规定的非法证据排除制度。如果不属于证据取得方式不合法的情形，在我国制度环境下就不存在排除口供的理论根据和立法依据。我们当下讨论的具结书失效后相关口供的使用问题，即属于这种情形。所以，在认罪认罚具结书失效后否定供述的证据资格面临着理论上的难题，也缺乏立法上的依据。</w:t>
      </w:r>
      <w:r>
        <w:rPr>
          <w:vertAlign w:val="superscript"/>
        </w:rPr>
        <w:footnoteReference w:id="14"/>
      </w:r>
    </w:p>
    <w:p w14:paraId="4396D2C2">
      <w:pPr>
        <w:pStyle w:val="9"/>
        <w:spacing w:before="0" w:after="0" w:line="600" w:lineRule="atLeast"/>
        <w:ind w:left="375" w:right="375" w:firstLine="540"/>
        <w:rPr>
          <w:rFonts w:ascii="宋体" w:hAnsi="宋体" w:eastAsia="宋体" w:cs="宋体"/>
          <w:color w:val="000000"/>
          <w:sz w:val="27"/>
          <w:szCs w:val="27"/>
          <w:lang/>
        </w:rPr>
      </w:pPr>
      <w:r>
        <w:rPr>
          <w:rFonts w:ascii="宋体" w:hAnsi="宋体" w:eastAsia="宋体" w:cs="宋体"/>
          <w:color w:val="000000"/>
          <w:sz w:val="27"/>
          <w:szCs w:val="27"/>
          <w:vertAlign w:val="baseline"/>
          <w:lang/>
        </w:rPr>
        <w:t>在我国，强调认罪认罚具结书对控辩双方约束力的不对等性，正是为了防范参与协商的公权力机关出尔反尔，甚至利用交易或协商作为骗取嫌疑人供述的工具。如果是犯罪嫌疑人、被告人在签署认罪认罚具结书后反悔，则无需提供这种特殊的保护。被告人在诉讼早期作出的供述，将和法庭上的辩解一起，成为法庭调查的对象，法庭将在全面审查判断全案证据的基础上对案件事实作出认定。具体说来，法庭此时面对的既有前期作出的有罪供述，也有反悔之后不认罪的辩解，对于这种情况，可以依据《</w:t>
      </w:r>
      <w:r>
        <w:rPr>
          <w:rFonts w:ascii="宋体" w:hAnsi="宋体" w:eastAsia="宋体" w:cs="宋体"/>
          <w:color w:val="000000"/>
          <w:sz w:val="27"/>
          <w:szCs w:val="27"/>
          <w:vertAlign w:val="baseline"/>
          <w:lang/>
        </w:rPr>
        <w:fldChar w:fldCharType="begin"/>
      </w:r>
      <w:r>
        <w:rPr>
          <w:rFonts w:ascii="宋体" w:hAnsi="宋体" w:eastAsia="宋体" w:cs="宋体"/>
          <w:color w:val="000000"/>
          <w:sz w:val="27"/>
          <w:szCs w:val="27"/>
          <w:vertAlign w:val="baseline"/>
          <w:lang/>
        </w:rPr>
        <w:instrText xml:space="preserve"> HYPERLINK "https://www.pkulaw.com/chl/b9e351a3215ceccdbdfb.html?way=textSlc" \l "tiao_0" </w:instrText>
      </w:r>
      <w:r>
        <w:rPr>
          <w:rFonts w:ascii="宋体" w:hAnsi="宋体" w:eastAsia="宋体" w:cs="宋体"/>
          <w:color w:val="000000"/>
          <w:sz w:val="27"/>
          <w:szCs w:val="27"/>
          <w:vertAlign w:val="baseline"/>
          <w:lang/>
        </w:rPr>
        <w:fldChar w:fldCharType="separate"/>
      </w:r>
      <w:r>
        <w:rPr>
          <w:rStyle w:val="10"/>
          <w:rFonts w:ascii="宋体" w:hAnsi="宋体" w:eastAsia="宋体" w:cs="宋体"/>
          <w:sz w:val="27"/>
          <w:szCs w:val="27"/>
          <w:lang/>
        </w:rPr>
        <w:t>最高人民法院关于适用〈中华人民共和国刑事诉讼法〉的解释</w:t>
      </w:r>
      <w:r>
        <w:rPr>
          <w:rStyle w:val="10"/>
          <w:rFonts w:ascii="宋体" w:hAnsi="宋体" w:eastAsia="宋体" w:cs="宋体"/>
          <w:sz w:val="27"/>
          <w:szCs w:val="27"/>
          <w:lang/>
        </w:rPr>
        <w:fldChar w:fldCharType="end"/>
      </w:r>
      <w:r>
        <w:rPr>
          <w:rFonts w:ascii="宋体" w:hAnsi="宋体" w:eastAsia="宋体" w:cs="宋体"/>
          <w:color w:val="000000"/>
          <w:sz w:val="27"/>
          <w:szCs w:val="27"/>
          <w:vertAlign w:val="baseline"/>
          <w:lang/>
        </w:rPr>
        <w:t>》（以下简称《解释》）第96条关于翻供的规定进行处理。[9]</w:t>
      </w:r>
      <w:r>
        <w:rPr>
          <w:vertAlign w:val="superscript"/>
        </w:rPr>
        <w:footnoteReference w:id="15"/>
      </w:r>
    </w:p>
    <w:p w14:paraId="6106CF5C">
      <w:pPr>
        <w:pStyle w:val="9"/>
        <w:spacing w:before="0" w:after="0" w:line="600" w:lineRule="atLeast"/>
        <w:ind w:left="375" w:right="375" w:firstLine="540"/>
        <w:rPr>
          <w:rFonts w:ascii="宋体" w:hAnsi="宋体" w:eastAsia="宋体" w:cs="宋体"/>
          <w:color w:val="000000"/>
          <w:sz w:val="27"/>
          <w:szCs w:val="27"/>
          <w:lang/>
        </w:rPr>
      </w:pPr>
      <w:bookmarkStart w:id="4" w:name="sort_2"/>
      <w:bookmarkEnd w:id="4"/>
      <w:r>
        <w:rPr>
          <w:rFonts w:ascii="宋体" w:hAnsi="宋体" w:eastAsia="宋体" w:cs="宋体"/>
          <w:color w:val="000000"/>
          <w:sz w:val="27"/>
          <w:szCs w:val="27"/>
          <w:vertAlign w:val="baseline"/>
          <w:lang/>
        </w:rPr>
        <w:t>二、认罪认罚案件中的证明标准</w:t>
      </w:r>
      <w:r>
        <w:rPr>
          <w:vertAlign w:val="superscript"/>
        </w:rPr>
        <w:footnoteReference w:id="16"/>
      </w:r>
    </w:p>
    <w:p w14:paraId="36C2BEEF">
      <w:pPr>
        <w:pStyle w:val="9"/>
        <w:spacing w:before="0" w:after="0" w:line="600" w:lineRule="atLeast"/>
        <w:ind w:left="375" w:right="375" w:firstLine="540"/>
        <w:rPr>
          <w:rFonts w:ascii="宋体" w:hAnsi="宋体" w:eastAsia="宋体" w:cs="宋体"/>
          <w:color w:val="000000"/>
          <w:sz w:val="27"/>
          <w:szCs w:val="27"/>
          <w:lang/>
        </w:rPr>
      </w:pPr>
      <w:r>
        <w:rPr>
          <w:rFonts w:ascii="宋体" w:hAnsi="宋体" w:eastAsia="宋体" w:cs="宋体"/>
          <w:color w:val="000000"/>
          <w:sz w:val="27"/>
          <w:szCs w:val="27"/>
          <w:vertAlign w:val="baseline"/>
          <w:lang/>
        </w:rPr>
        <w:t>早在认罪认罚从宽制度试点期间，就存在降低证明标准的呼声，认为被告人已经认罪认罚，没有必要再坚持“犯罪事实清楚，证据确实、充分”的有罪认定标准。在部分国家，被告人认罪后的确可以降低定罪的证明标准。例如在美国，如果被告人在传讯程序中作出有罪答辩，[10]法官可以根据该有罪答辩作出有罪判决，宪法对此没有任何限制，只是成文法要求“在对有罪答辩作出判决之前，法庭必须确定答辩存在事实根据”。[11]这里不要求初审法官相信被告人有罪，只要答辩存在一定的“事实根据”（a factual basis）就足够。这还是在被告人明确作出认罪答辩情形下的要求。如果被告人作出的是“不争辩答辩”（Nolo Contendere），那么甚至连存在一定“事实根据”的成文法要求也不需要了。[12]在另一种情形下，“事实根据”的要求会被强化，即如果被告人作出的是“阿尔弗德答辩”（alford plea），[13]那么接受认罪答辩的初审法官必须确认答辩存在一定的事实基础。此时的标准是，如果案件存在事实上有罪的“有力证据”（strong evidence），那么即使被告人宣称自己没有实施犯罪，法官仍可以接受认罪答辩。[14]所谓的“有力证据”，其具体标准是什么，并没有官方的定义，但是显然不需要达到“排除合理怀疑”地确信被告人有罪的程度。可见，在上述国家，一旦被告人作认罪答辩，证明标准是可以降低的。但是，证明标准在刑事诉讼中不是一个简单的技术问题，它是支撑起整个刑事诉讼价值体系的脊梁，所以，对能否降低证明标准的讨论不能停留在“术”的层面，必须深入到“道”的层面讨论证明标准的制度基础。</w:t>
      </w:r>
      <w:r>
        <w:rPr>
          <w:vertAlign w:val="superscript"/>
        </w:rPr>
        <w:footnoteReference w:id="17"/>
      </w:r>
    </w:p>
    <w:p w14:paraId="1CF6BEFD">
      <w:pPr>
        <w:pStyle w:val="9"/>
        <w:spacing w:before="0" w:after="0" w:line="600" w:lineRule="atLeast"/>
        <w:ind w:left="375" w:right="375" w:firstLine="540"/>
        <w:rPr>
          <w:rFonts w:ascii="宋体" w:hAnsi="宋体" w:eastAsia="宋体" w:cs="宋体"/>
          <w:color w:val="000000"/>
          <w:sz w:val="27"/>
          <w:szCs w:val="27"/>
          <w:lang/>
        </w:rPr>
      </w:pPr>
      <w:bookmarkStart w:id="5" w:name="sort_2_1"/>
      <w:bookmarkEnd w:id="5"/>
      <w:r>
        <w:rPr>
          <w:rFonts w:ascii="宋体" w:hAnsi="宋体" w:eastAsia="宋体" w:cs="宋体"/>
          <w:color w:val="000000"/>
          <w:sz w:val="27"/>
          <w:szCs w:val="27"/>
          <w:vertAlign w:val="baseline"/>
          <w:lang/>
        </w:rPr>
        <w:t>（一）证明标准的制度功能</w:t>
      </w:r>
      <w:r>
        <w:rPr>
          <w:vertAlign w:val="superscript"/>
        </w:rPr>
        <w:footnoteReference w:id="18"/>
      </w:r>
    </w:p>
    <w:p w14:paraId="69B4249F">
      <w:pPr>
        <w:pStyle w:val="9"/>
        <w:spacing w:before="0" w:after="0" w:line="600" w:lineRule="atLeast"/>
        <w:ind w:left="375" w:right="375" w:firstLine="540"/>
        <w:rPr>
          <w:rFonts w:ascii="宋体" w:hAnsi="宋体" w:eastAsia="宋体" w:cs="宋体"/>
          <w:color w:val="000000"/>
          <w:sz w:val="27"/>
          <w:szCs w:val="27"/>
          <w:lang/>
        </w:rPr>
      </w:pPr>
      <w:r>
        <w:rPr>
          <w:rFonts w:ascii="宋体" w:hAnsi="宋体" w:eastAsia="宋体" w:cs="宋体"/>
          <w:color w:val="000000"/>
          <w:sz w:val="27"/>
          <w:szCs w:val="27"/>
          <w:vertAlign w:val="baseline"/>
          <w:lang/>
        </w:rPr>
        <w:t>讨论认罪认罚案件中证明标准能否降低的问题，需要从刑事证明标准的定义与制度功能出发。刑事证明标准这个术语如果没有特别说明，一般是指法官在判决被告人有罪时（定罪）需要达到的心证程度或认识程度。从制度功能上看，刑事证明标准与无罪推定原则一起，构成了刑事诉讼法中最重要的实体保障。人们经常将刑事审判比喻成检察机关的一场跨栏障碍赛，检察机关只有跨过立法所设置的重重障碍，才能实现对被告人定罪，证明标准就是立法给检察机关设置的需要跨越的栏杆。如果栏杆很低，检察机关可以很轻易地跨越，就意味着对被告人定罪很容易。对被告人定罪容易意味着真正的罪犯不容易逃脱定罪，有利于实现打击犯罪的目标，但是，无辜被告人在较低的定罪门槛下也容易被错判有罪，对保障无辜不利。可见，如果证明标准很低，那么即使有无罪推定原则，也不能起到实质性的保护作用，因为检察机关可以轻易跨过这个门槛。</w:t>
      </w:r>
      <w:r>
        <w:rPr>
          <w:vertAlign w:val="superscript"/>
        </w:rPr>
        <w:footnoteReference w:id="19"/>
      </w:r>
    </w:p>
    <w:p w14:paraId="55A98A46">
      <w:pPr>
        <w:pStyle w:val="9"/>
        <w:spacing w:before="0" w:after="0" w:line="600" w:lineRule="atLeast"/>
        <w:ind w:left="375" w:right="375" w:firstLine="540"/>
        <w:rPr>
          <w:rFonts w:ascii="宋体" w:hAnsi="宋体" w:eastAsia="宋体" w:cs="宋体"/>
          <w:color w:val="000000"/>
          <w:sz w:val="27"/>
          <w:szCs w:val="27"/>
          <w:lang/>
        </w:rPr>
      </w:pPr>
      <w:r>
        <w:rPr>
          <w:rFonts w:ascii="宋体" w:hAnsi="宋体" w:eastAsia="宋体" w:cs="宋体"/>
          <w:color w:val="000000"/>
          <w:sz w:val="27"/>
          <w:szCs w:val="27"/>
          <w:vertAlign w:val="baseline"/>
          <w:lang/>
        </w:rPr>
        <w:t>刑事证明标准是基于特定的价值观和认识论作出的立法选择。国家立法在设计刑事证明标准时首先要进行价值选择：如果认为打击犯罪比保障无辜更重要，就选择低一点的证明标准；如果认为错判无辜比放纵犯罪更糟糕，就要选择高一点的证明标准。在这个问题上，没有任何现代国家公然地承认为了惩罚犯罪可以牺牲无辜，因此，各国都会选择一个最高的证明标准以尽量避免错判无辜。至于证明标准能有多高，这个问题又进入认识领域，即人们对案件事实的认识能够达到何种程度？对这一问题的回答取决于一个国家的主流认识论哲学。我国的主流认识论哲学是马克思主义认识论，即辩证唯物主义认识论，辩证唯物主义认识论是可知论，认为人可以达到对客观世界的正确认识。虽然认识案件事实具有一定的特殊性并受到各种主客观条件的限制，但认定被告人有罪一定要建立在最高的认识程度上，即客观真实的基础上，这是我国“犯罪事实清楚，证据确实、充分”证明标准形成的价值论前提和认识论基础。可见，证明标准的制度功能在于保障无辜者免受错误定罪。降低证明标准即意味着容忍无辜者被定罪的可能性。</w:t>
      </w:r>
      <w:r>
        <w:rPr>
          <w:vertAlign w:val="superscript"/>
        </w:rPr>
        <w:footnoteReference w:id="20"/>
      </w:r>
    </w:p>
    <w:p w14:paraId="5CAADB16">
      <w:pPr>
        <w:pStyle w:val="9"/>
        <w:spacing w:before="0" w:after="0" w:line="600" w:lineRule="atLeast"/>
        <w:ind w:left="375" w:right="375" w:firstLine="540"/>
        <w:rPr>
          <w:rFonts w:ascii="宋体" w:hAnsi="宋体" w:eastAsia="宋体" w:cs="宋体"/>
          <w:color w:val="000000"/>
          <w:sz w:val="27"/>
          <w:szCs w:val="27"/>
          <w:lang/>
        </w:rPr>
      </w:pPr>
      <w:bookmarkStart w:id="6" w:name="sort_2_2"/>
      <w:bookmarkEnd w:id="6"/>
      <w:r>
        <w:rPr>
          <w:rFonts w:ascii="宋体" w:hAnsi="宋体" w:eastAsia="宋体" w:cs="宋体"/>
          <w:color w:val="000000"/>
          <w:sz w:val="27"/>
          <w:szCs w:val="27"/>
          <w:vertAlign w:val="baseline"/>
          <w:lang/>
        </w:rPr>
        <w:t>（二）认罪认罚案件不能降低证明标准</w:t>
      </w:r>
      <w:r>
        <w:rPr>
          <w:vertAlign w:val="superscript"/>
        </w:rPr>
        <w:footnoteReference w:id="21"/>
      </w:r>
    </w:p>
    <w:p w14:paraId="5311A51D">
      <w:pPr>
        <w:pStyle w:val="9"/>
        <w:spacing w:before="0" w:after="0" w:line="600" w:lineRule="atLeast"/>
        <w:ind w:left="375" w:right="375" w:firstLine="540"/>
        <w:rPr>
          <w:rFonts w:ascii="宋体" w:hAnsi="宋体" w:eastAsia="宋体" w:cs="宋体"/>
          <w:color w:val="000000"/>
          <w:sz w:val="27"/>
          <w:szCs w:val="27"/>
          <w:lang/>
        </w:rPr>
      </w:pPr>
      <w:r>
        <w:rPr>
          <w:rFonts w:ascii="宋体" w:hAnsi="宋体" w:eastAsia="宋体" w:cs="宋体"/>
          <w:color w:val="000000"/>
          <w:sz w:val="27"/>
          <w:szCs w:val="27"/>
          <w:vertAlign w:val="baseline"/>
          <w:lang/>
        </w:rPr>
        <w:t>认罪认罚案件中不能降低证明标准，直接原因是立法并未给认罪认罚案件设置另外的证明标准，认罪认罚案件中的证明标准仍然是“犯罪事实清楚，证据确实、充分”。立法之所以没有为认罪认罚案件降低证明标准，是因为降低证明标准意味着容忍并接受无辜者被定罪的可能性。这是一种立法价值选择。如前所述，确实有国家在被告人认罪后选择降低证明标准，但是，在刑事诉讼中以追求实质真实为目标的国家大多数作出了与我国同样的选择，即不降低证明标准。</w:t>
      </w:r>
      <w:r>
        <w:rPr>
          <w:vertAlign w:val="superscript"/>
        </w:rPr>
        <w:footnoteReference w:id="22"/>
      </w:r>
    </w:p>
    <w:p w14:paraId="037C53C5">
      <w:pPr>
        <w:pStyle w:val="9"/>
        <w:spacing w:before="0" w:after="0" w:line="600" w:lineRule="atLeast"/>
        <w:ind w:left="375" w:right="375" w:firstLine="540"/>
        <w:rPr>
          <w:rFonts w:ascii="宋体" w:hAnsi="宋体" w:eastAsia="宋体" w:cs="宋体"/>
          <w:color w:val="000000"/>
          <w:sz w:val="27"/>
          <w:szCs w:val="27"/>
          <w:lang/>
        </w:rPr>
      </w:pPr>
      <w:r>
        <w:rPr>
          <w:rFonts w:ascii="宋体" w:hAnsi="宋体" w:eastAsia="宋体" w:cs="宋体"/>
          <w:color w:val="000000"/>
          <w:sz w:val="27"/>
          <w:szCs w:val="27"/>
          <w:vertAlign w:val="baseline"/>
          <w:lang/>
        </w:rPr>
        <w:t>这一问题背后的深层考虑是，是否降低认罪认罚案件的证明标准，与以下几个重大问题密切相关：其一，刑事诉讼建立的理论基础，这主要体现在对刑事诉讼性质和审判任务的理解上。有的国家对刑事诉讼性质的理解更接近于解决纠纷，审判的唯一任务是定罪，量刑传统上不被认为是审判的任务。如果被告人在正式的传讯程序中作认罪答辩，就意味着控辩双方之间不存在实质性争点，那么审判从根本上不再举行，直接进入量刑程序。我国对刑事诉讼的设计更接近对案件真相的调查程序，而非解决纠纷的程序。即使控辩双方对于指控的态度不存在实质性分歧，例如被告人已经认罪，审判仍需照常举行，双方的意见也不能约束法庭，法庭仍应在查明真相的基础上作出判决。《</w:t>
      </w:r>
      <w:r>
        <w:rPr>
          <w:rFonts w:ascii="宋体" w:hAnsi="宋体" w:eastAsia="宋体" w:cs="宋体"/>
          <w:color w:val="000000"/>
          <w:sz w:val="27"/>
          <w:szCs w:val="27"/>
          <w:vertAlign w:val="baseline"/>
          <w:lang/>
        </w:rPr>
        <w:fldChar w:fldCharType="begin"/>
      </w:r>
      <w:r>
        <w:rPr>
          <w:rFonts w:ascii="宋体" w:hAnsi="宋体" w:eastAsia="宋体" w:cs="宋体"/>
          <w:color w:val="000000"/>
          <w:sz w:val="27"/>
          <w:szCs w:val="27"/>
          <w:vertAlign w:val="baseline"/>
          <w:lang/>
        </w:rPr>
        <w:instrText xml:space="preserve"> HYPERLINK "https://www.pkulaw.com/chl/5a06769be1274052bdfb.html?way=textSlc" \l "tiao_0" </w:instrText>
      </w:r>
      <w:r>
        <w:rPr>
          <w:rFonts w:ascii="宋体" w:hAnsi="宋体" w:eastAsia="宋体" w:cs="宋体"/>
          <w:color w:val="000000"/>
          <w:sz w:val="27"/>
          <w:szCs w:val="27"/>
          <w:vertAlign w:val="baseline"/>
          <w:lang/>
        </w:rPr>
        <w:fldChar w:fldCharType="separate"/>
      </w:r>
      <w:r>
        <w:rPr>
          <w:rStyle w:val="10"/>
          <w:rFonts w:ascii="宋体" w:hAnsi="宋体" w:eastAsia="宋体" w:cs="宋体"/>
          <w:sz w:val="27"/>
          <w:szCs w:val="27"/>
          <w:lang/>
        </w:rPr>
        <w:t>刑事诉讼法</w:t>
      </w:r>
      <w:r>
        <w:rPr>
          <w:rStyle w:val="10"/>
          <w:rFonts w:ascii="宋体" w:hAnsi="宋体" w:eastAsia="宋体" w:cs="宋体"/>
          <w:sz w:val="27"/>
          <w:szCs w:val="27"/>
          <w:lang/>
        </w:rPr>
        <w:fldChar w:fldCharType="end"/>
      </w:r>
      <w:r>
        <w:rPr>
          <w:rFonts w:ascii="宋体" w:hAnsi="宋体" w:eastAsia="宋体" w:cs="宋体"/>
          <w:color w:val="000000"/>
          <w:sz w:val="27"/>
          <w:szCs w:val="27"/>
          <w:vertAlign w:val="baseline"/>
          <w:lang/>
        </w:rPr>
        <w:t>》第</w:t>
      </w:r>
      <w:r>
        <w:rPr>
          <w:rFonts w:ascii="宋体" w:hAnsi="宋体" w:eastAsia="宋体" w:cs="宋体"/>
          <w:color w:val="000000"/>
          <w:sz w:val="27"/>
          <w:szCs w:val="27"/>
          <w:vertAlign w:val="baseline"/>
          <w:lang/>
        </w:rPr>
        <w:fldChar w:fldCharType="begin"/>
      </w:r>
      <w:r>
        <w:rPr>
          <w:rFonts w:ascii="宋体" w:hAnsi="宋体" w:eastAsia="宋体" w:cs="宋体"/>
          <w:color w:val="000000"/>
          <w:sz w:val="27"/>
          <w:szCs w:val="27"/>
          <w:vertAlign w:val="baseline"/>
          <w:lang/>
        </w:rPr>
        <w:instrText xml:space="preserve"> HYPERLINK "https://www.pkulaw.com/chl/5a06769be1274052bdfb.html?way=textSlc" \l "tiao_55" </w:instrText>
      </w:r>
      <w:r>
        <w:rPr>
          <w:rFonts w:ascii="宋体" w:hAnsi="宋体" w:eastAsia="宋体" w:cs="宋体"/>
          <w:color w:val="000000"/>
          <w:sz w:val="27"/>
          <w:szCs w:val="27"/>
          <w:vertAlign w:val="baseline"/>
          <w:lang/>
        </w:rPr>
        <w:fldChar w:fldCharType="separate"/>
      </w:r>
      <w:r>
        <w:rPr>
          <w:rStyle w:val="10"/>
          <w:rFonts w:ascii="宋体" w:hAnsi="宋体" w:eastAsia="宋体" w:cs="宋体"/>
          <w:sz w:val="27"/>
          <w:szCs w:val="27"/>
          <w:lang/>
        </w:rPr>
        <w:t>55</w:t>
      </w:r>
      <w:r>
        <w:rPr>
          <w:rStyle w:val="10"/>
          <w:rFonts w:ascii="宋体" w:hAnsi="宋体" w:eastAsia="宋体" w:cs="宋体"/>
          <w:sz w:val="27"/>
          <w:szCs w:val="27"/>
          <w:lang/>
        </w:rPr>
        <w:fldChar w:fldCharType="end"/>
      </w:r>
      <w:r>
        <w:rPr>
          <w:rFonts w:ascii="宋体" w:hAnsi="宋体" w:eastAsia="宋体" w:cs="宋体"/>
          <w:color w:val="000000"/>
          <w:sz w:val="27"/>
          <w:szCs w:val="27"/>
          <w:vertAlign w:val="baseline"/>
          <w:lang/>
        </w:rPr>
        <w:t>条规定的“只有被告人供述，没有其他证据的，不能认定被告人有罪和处以刑罚”比较典型地反映了这种立场。</w:t>
      </w:r>
      <w:r>
        <w:rPr>
          <w:vertAlign w:val="superscript"/>
        </w:rPr>
        <w:footnoteReference w:id="23"/>
      </w:r>
    </w:p>
    <w:p w14:paraId="58ED0B16">
      <w:pPr>
        <w:pStyle w:val="9"/>
        <w:spacing w:before="0" w:after="0" w:line="600" w:lineRule="atLeast"/>
        <w:ind w:left="375" w:right="375" w:firstLine="540"/>
        <w:rPr>
          <w:rFonts w:ascii="宋体" w:hAnsi="宋体" w:eastAsia="宋体" w:cs="宋体"/>
          <w:color w:val="000000"/>
          <w:sz w:val="27"/>
          <w:szCs w:val="27"/>
          <w:lang/>
        </w:rPr>
      </w:pPr>
      <w:r>
        <w:rPr>
          <w:rFonts w:ascii="宋体" w:hAnsi="宋体" w:eastAsia="宋体" w:cs="宋体"/>
          <w:color w:val="000000"/>
          <w:sz w:val="27"/>
          <w:szCs w:val="27"/>
          <w:vertAlign w:val="baseline"/>
          <w:lang/>
        </w:rPr>
        <w:t>其二，法官对判决的准确性所承担的责任。在有的国家，法官对刑事判决的准确性基本不承担责任，相反，这些国家的程序机制的设计实际上也起到了分化和转移错判责任的效果。例如，使用陪审团认定事实，即使出错，甚至是造成冤案，也很难追究主审法官的司法责任，因为负责认定事实和定罪的是陪审团，法官只负责适用法律和量刑。在我国，法官被认为对判决的准确性负有责任。事实认定错误，不仅会引起诉讼法上的责任，例如在判决有错误时被上级法院改判或者撤销，而且可能引起司法责任，甚至终身追责。降低证明标准意味着要接受错判无辜的风险，需要考虑我国社会的接受度。同时，降低证明标准客观上也要求减轻法官的错案责任，只降低证明标准而不减轻法官的司法责任没有任何意义，而减轻法官的司法责任会不会引起刑事案件判决质量的整体下降，也是一个需要谨慎评估的问题。</w:t>
      </w:r>
      <w:r>
        <w:rPr>
          <w:vertAlign w:val="superscript"/>
        </w:rPr>
        <w:footnoteReference w:id="24"/>
      </w:r>
    </w:p>
    <w:p w14:paraId="2A6F3017">
      <w:pPr>
        <w:pStyle w:val="9"/>
        <w:spacing w:before="0" w:after="0" w:line="600" w:lineRule="atLeast"/>
        <w:ind w:left="375" w:right="375" w:firstLine="540"/>
        <w:rPr>
          <w:rFonts w:ascii="宋体" w:hAnsi="宋体" w:eastAsia="宋体" w:cs="宋体"/>
          <w:color w:val="000000"/>
          <w:sz w:val="27"/>
          <w:szCs w:val="27"/>
          <w:lang/>
        </w:rPr>
      </w:pPr>
      <w:r>
        <w:rPr>
          <w:rFonts w:ascii="宋体" w:hAnsi="宋体" w:eastAsia="宋体" w:cs="宋体"/>
          <w:color w:val="000000"/>
          <w:sz w:val="27"/>
          <w:szCs w:val="27"/>
          <w:vertAlign w:val="baseline"/>
          <w:lang/>
        </w:rPr>
        <w:t>其三，我国社会对冤枉无辜的容忍度。在我国，冤枉无辜被视为最大的司法不公，无论是立法还是普通民众，对冤枉无辜的容忍度趋近于零。不得不承认，有的国家对冤案的容忍度相对较高。例如在美国，“阿尔弗德答辩”的存在本身即意味着对冤枉无辜在一定程度上的容忍。另一个例证是，除北卡罗林纳等少数州模仿英国设立无辜调查委员会（NCIIC）外，美国至今没有发展出类似于我国再审程序的专门针对错误生效判决进行纠错的制度性措施。直到2009年，美国最高法院才首次允许当事人以“无辜”作为独立的理由，申请人身保护令。[15]这种不设置专门的再审程序，只是借用人身保护令等古老的普通法程序平反冤案的做法，实践效果并不理想。在2009年这个典型案例中，申诉人Troy Davis提出大量证明自己无罪的证据，包括当初作证说申诉人杀害警察的11个证人中有9位已经撤销了证词，剩下的两个证人其中一个还被许多人指认为真正的凶手。受理案件的最高法院并未就案件的实质性问题作出判决，而是将案件发回地方法院。但是，地方法院拒绝提供救济，2011年9月21日，Troy Davis还是被执行了死刑。[16]所以，不同的国家、不同的社会，对冤案的容忍度不同，必然会有不同的制度选择。在对冤案容忍度较高的社会环境下，自然可以接受证明标准的降低。但是，在对冤案容忍度极低的社会中，当然不可能降低证明标准，即使被告人已经认罪认罚。</w:t>
      </w:r>
      <w:r>
        <w:rPr>
          <w:vertAlign w:val="superscript"/>
        </w:rPr>
        <w:footnoteReference w:id="25"/>
      </w:r>
    </w:p>
    <w:p w14:paraId="3E59276D">
      <w:pPr>
        <w:pStyle w:val="9"/>
        <w:spacing w:before="0" w:after="0" w:line="600" w:lineRule="atLeast"/>
        <w:ind w:left="375" w:right="375" w:firstLine="540"/>
        <w:rPr>
          <w:rFonts w:ascii="宋体" w:hAnsi="宋体" w:eastAsia="宋体" w:cs="宋体"/>
          <w:color w:val="000000"/>
          <w:sz w:val="27"/>
          <w:szCs w:val="27"/>
          <w:lang/>
        </w:rPr>
      </w:pPr>
      <w:r>
        <w:rPr>
          <w:rFonts w:ascii="宋体" w:hAnsi="宋体" w:eastAsia="宋体" w:cs="宋体"/>
          <w:color w:val="000000"/>
          <w:sz w:val="27"/>
          <w:szCs w:val="27"/>
          <w:vertAlign w:val="baseline"/>
          <w:lang/>
        </w:rPr>
        <w:t>认罪认罚案件虽然不降低证明标准，但仍会在两个方面大幅度节约司法资源。首先是程序上的宽松。认罪认罚案件大多适用简易程序或速裁程序，法庭调查程序十分宽松，甚至不再举行法庭调查和法庭辩论。需要指出的是，程序上的从简和证明标准不降低二者并不矛盾。证明标准是在认定被告人有罪时应当达到的认识程度或心证程度，这是一种结果评价，而程序的繁简则是一种过程评价。即使采用较为简化的程序，在对被告人定罪时仍需要达到“证据确实、充分”的认识程度。这样的例子在刑事诉讼中并不罕见。例如，二审甚至可以不开庭审理，但认定被告人有罪或者维持一审的有罪判决仍需要达到犯罪事实清楚，证据确实、充分的程度。即使在认罪认罚案件中适用普通程序审理，由于辩方的合作态度，程序异议的减少，也会大幅度缩短审判程序。其次是举证压力的减轻。被告人的认罪本身属于口供，包含大量案件细节的可靠口供不仅有助于挖掘进一步的证据，还可以有效弥合其他证据在逻辑链条方面的缺口，大大减轻检察机关的举证压力。</w:t>
      </w:r>
      <w:r>
        <w:rPr>
          <w:vertAlign w:val="superscript"/>
        </w:rPr>
        <w:footnoteReference w:id="26"/>
      </w:r>
    </w:p>
    <w:p w14:paraId="2C6928EA">
      <w:pPr>
        <w:pStyle w:val="9"/>
        <w:spacing w:before="0" w:after="0" w:line="600" w:lineRule="atLeast"/>
        <w:ind w:left="375" w:right="375" w:firstLine="540"/>
        <w:rPr>
          <w:rFonts w:ascii="宋体" w:hAnsi="宋体" w:eastAsia="宋体" w:cs="宋体"/>
          <w:color w:val="000000"/>
          <w:sz w:val="27"/>
          <w:szCs w:val="27"/>
          <w:lang/>
        </w:rPr>
      </w:pPr>
      <w:bookmarkStart w:id="7" w:name="sort_3"/>
      <w:bookmarkEnd w:id="7"/>
      <w:r>
        <w:rPr>
          <w:rFonts w:ascii="宋体" w:hAnsi="宋体" w:eastAsia="宋体" w:cs="宋体"/>
          <w:color w:val="000000"/>
          <w:sz w:val="27"/>
          <w:szCs w:val="27"/>
          <w:vertAlign w:val="baseline"/>
          <w:lang/>
        </w:rPr>
        <w:t>三、共同犯罪并案审理与分案审理中的程序问题与证据问题</w:t>
      </w:r>
      <w:r>
        <w:rPr>
          <w:vertAlign w:val="superscript"/>
        </w:rPr>
        <w:footnoteReference w:id="27"/>
      </w:r>
    </w:p>
    <w:p w14:paraId="6B8B9F01">
      <w:pPr>
        <w:pStyle w:val="9"/>
        <w:spacing w:before="0" w:after="0" w:line="600" w:lineRule="atLeast"/>
        <w:ind w:left="375" w:right="375" w:firstLine="540"/>
        <w:rPr>
          <w:rFonts w:ascii="宋体" w:hAnsi="宋体" w:eastAsia="宋体" w:cs="宋体"/>
          <w:color w:val="000000"/>
          <w:sz w:val="27"/>
          <w:szCs w:val="27"/>
          <w:lang/>
        </w:rPr>
      </w:pPr>
      <w:r>
        <w:rPr>
          <w:rFonts w:ascii="宋体" w:hAnsi="宋体" w:eastAsia="宋体" w:cs="宋体"/>
          <w:color w:val="000000"/>
          <w:sz w:val="27"/>
          <w:szCs w:val="27"/>
          <w:vertAlign w:val="baseline"/>
          <w:lang/>
        </w:rPr>
        <w:t>共同犯罪的并案审理和分案审理问题近年来日益受到关注，这与两个因素有关。其一，随着认罪认罚从宽制度的施行，实践中出现将共同犯罪中认罪认罚的被告人与不认罪认罚的被告人分案审理的做法。其二，2021年发布的《解释》第220条规定：“对一案起诉的共同犯罪或者关联犯罪案件，被告人人数众多、案情复杂，人民法院经审查认为，分案审理更有利于保障庭审质量和效率的，可以分案审理。”该条肯定了人民法院对一案起诉的共同犯罪案件分案审理的裁量权。关于并案审理和分案审理的讨论，既涉及程序问题，也涉及证据问题。为尽量全面展现并案审理和分案审理实践中涉及的问题，这里一并加以讨论。</w:t>
      </w:r>
    </w:p>
    <w:p w14:paraId="03A42F89">
      <w:pPr>
        <w:pStyle w:val="9"/>
        <w:spacing w:before="0" w:after="0" w:line="600" w:lineRule="atLeast"/>
        <w:ind w:left="375" w:right="375" w:firstLine="540"/>
        <w:rPr>
          <w:rFonts w:ascii="宋体" w:hAnsi="宋体" w:eastAsia="宋体" w:cs="宋体"/>
          <w:color w:val="000000"/>
          <w:sz w:val="27"/>
          <w:szCs w:val="27"/>
          <w:lang/>
        </w:rPr>
      </w:pPr>
      <w:bookmarkStart w:id="8" w:name="sort_3_1"/>
      <w:bookmarkEnd w:id="8"/>
      <w:r>
        <w:rPr>
          <w:rFonts w:ascii="宋体" w:hAnsi="宋体" w:eastAsia="宋体" w:cs="宋体"/>
          <w:color w:val="000000"/>
          <w:sz w:val="27"/>
          <w:szCs w:val="27"/>
          <w:vertAlign w:val="baseline"/>
          <w:lang/>
        </w:rPr>
        <w:t>（一）并案审理与分案审理涉及的程序问题</w:t>
      </w:r>
    </w:p>
    <w:p w14:paraId="411F0AD1">
      <w:pPr>
        <w:pStyle w:val="9"/>
        <w:spacing w:before="0" w:after="0" w:line="600" w:lineRule="atLeast"/>
        <w:ind w:left="375" w:right="375" w:firstLine="540"/>
        <w:rPr>
          <w:rFonts w:ascii="宋体" w:hAnsi="宋体" w:eastAsia="宋体" w:cs="宋体"/>
          <w:color w:val="000000"/>
          <w:sz w:val="27"/>
          <w:szCs w:val="27"/>
          <w:lang/>
        </w:rPr>
      </w:pPr>
      <w:r>
        <w:rPr>
          <w:rFonts w:ascii="宋体" w:hAnsi="宋体" w:eastAsia="宋体" w:cs="宋体"/>
          <w:color w:val="000000"/>
          <w:sz w:val="27"/>
          <w:szCs w:val="27"/>
          <w:vertAlign w:val="baseline"/>
          <w:lang/>
        </w:rPr>
        <w:t>首先需要明确的是，在共同犯罪案件中，只有部分被告人认罪认罚的，对认罪认罚的被告人，可以适用认罪认罚从宽制度。但是，认罪认罚从宽是制度，而不是程序，不能简单地将认罪认罚的被告人放在一个审判程序中，将不认罪认罚的被告人放在另一个程序中进行审理。接下来的问题是，对于一案起诉的共同犯罪案件，人民法院可否分案审理？需要澄清的是，这里的“一案”与诉讼理论上的“一案”并不是一回事。诉讼理论上的“一案”具有较为严格的定义，简单来说，“一人”加“一个犯罪行为”构成一个“案件”。多人共犯一个犯罪行为，以及一人实施多个犯罪行为，从诉讼理论上看，都构成了多个案件，更遑论多人共同实施的是关联犯罪。既然是多个案件，那么就不是必须并案审理。因此，所谓“一案起诉的共同犯罪”案件，实际上在诉讼理论上都构成了数个案件。既然是数个案件，就并非绝对不可分。</w:t>
      </w:r>
    </w:p>
    <w:p w14:paraId="031669D6">
      <w:pPr>
        <w:pStyle w:val="9"/>
        <w:spacing w:before="0" w:after="0" w:line="600" w:lineRule="atLeast"/>
        <w:ind w:left="375" w:right="375" w:firstLine="540"/>
        <w:rPr>
          <w:rFonts w:ascii="宋体" w:hAnsi="宋体" w:eastAsia="宋体" w:cs="宋体"/>
          <w:color w:val="000000"/>
          <w:sz w:val="27"/>
          <w:szCs w:val="27"/>
          <w:lang/>
        </w:rPr>
      </w:pPr>
      <w:r>
        <w:rPr>
          <w:rFonts w:ascii="宋体" w:hAnsi="宋体" w:eastAsia="宋体" w:cs="宋体"/>
          <w:color w:val="000000"/>
          <w:sz w:val="27"/>
          <w:szCs w:val="27"/>
          <w:vertAlign w:val="baseline"/>
          <w:lang/>
        </w:rPr>
        <w:t>但是，这并不意味着法庭可以随意分案，法庭必须考虑并案审理和分案审理对当事人行使诉讼权利产生的影响。在不同的制度环境下，并案审理和分案审理可能对被告人产生截然不同的影响。</w:t>
      </w:r>
    </w:p>
    <w:p w14:paraId="30CECFD5">
      <w:pPr>
        <w:pStyle w:val="9"/>
        <w:spacing w:before="0" w:after="0" w:line="600" w:lineRule="atLeast"/>
        <w:ind w:left="375" w:right="375" w:firstLine="540"/>
        <w:rPr>
          <w:rFonts w:ascii="宋体" w:hAnsi="宋体" w:eastAsia="宋体" w:cs="宋体"/>
          <w:color w:val="000000"/>
          <w:sz w:val="27"/>
          <w:szCs w:val="27"/>
          <w:lang/>
        </w:rPr>
      </w:pPr>
      <w:r>
        <w:rPr>
          <w:rFonts w:ascii="宋体" w:hAnsi="宋体" w:eastAsia="宋体" w:cs="宋体"/>
          <w:color w:val="000000"/>
          <w:sz w:val="27"/>
          <w:szCs w:val="27"/>
          <w:vertAlign w:val="baseline"/>
          <w:lang/>
        </w:rPr>
        <w:t>在对抗制诉讼制度下，一般认为并案审理对检察官更有利。并案审理的优点首先是效率，有多个被告人的共同犯罪案件只需要一场审判就可以解决，可以节省大量的资源，减少多次审判对证人和办案机关造成的不便。[17]并案审理的另一个优点是可以避免不一致判决，使得对各个被告人罪行轻重的判断更为准确，更符合司法利益。[18]</w:t>
      </w:r>
    </w:p>
    <w:p w14:paraId="3FE97337">
      <w:pPr>
        <w:pStyle w:val="9"/>
        <w:spacing w:before="0" w:after="0" w:line="600" w:lineRule="atLeast"/>
        <w:ind w:left="375" w:right="375" w:firstLine="540"/>
        <w:rPr>
          <w:rFonts w:ascii="宋体" w:hAnsi="宋体" w:eastAsia="宋体" w:cs="宋体"/>
          <w:color w:val="000000"/>
          <w:sz w:val="27"/>
          <w:szCs w:val="27"/>
          <w:lang/>
        </w:rPr>
      </w:pPr>
      <w:r>
        <w:rPr>
          <w:rFonts w:ascii="宋体" w:hAnsi="宋体" w:eastAsia="宋体" w:cs="宋体"/>
          <w:color w:val="000000"/>
          <w:sz w:val="27"/>
          <w:szCs w:val="27"/>
          <w:vertAlign w:val="baseline"/>
          <w:lang/>
        </w:rPr>
        <w:t>一般而言，在对抗制诉讼制度下，分案审理对被告人更为有利，并案审理则对被告人可能有不利影响。首先，有些证据在对被告人甲定罪时具有可采性，在用来反对被告人乙时没有可采性，但陪审团可能无法区分这其中的不同，可能会用证明被告人甲有罪的证据来给被告人乙定罪，而该证据实际上是不能成为审判被告人乙的合法证据的。即使有法官的指示，实际上也很难保证陪审团不会受到该证据的影响。其次，人们普遍相信“物以类聚，人以群分”，既然被告人甲和被告人乙被放在一起审判，大概率是共同犯罪，在这种情况下，期待陪审员仅根据案件中的可采证据来认定事实就过于理想了。最后，被指控实施了共同犯罪的被告人，他们的律师可能采用不同的辩护策略，这种辩护策略上的不一致在法庭上有可能演变为被告人之间的互相拆台。</w:t>
      </w:r>
    </w:p>
    <w:p w14:paraId="118CEE82">
      <w:pPr>
        <w:pStyle w:val="9"/>
        <w:spacing w:before="0" w:after="0" w:line="600" w:lineRule="atLeast"/>
        <w:ind w:left="375" w:right="375" w:firstLine="540"/>
        <w:rPr>
          <w:rFonts w:ascii="宋体" w:hAnsi="宋体" w:eastAsia="宋体" w:cs="宋体"/>
          <w:color w:val="000000"/>
          <w:sz w:val="27"/>
          <w:szCs w:val="27"/>
          <w:lang/>
        </w:rPr>
      </w:pPr>
      <w:r>
        <w:rPr>
          <w:rFonts w:ascii="宋体" w:hAnsi="宋体" w:eastAsia="宋体" w:cs="宋体"/>
          <w:color w:val="000000"/>
          <w:sz w:val="27"/>
          <w:szCs w:val="27"/>
          <w:vertAlign w:val="baseline"/>
          <w:lang/>
        </w:rPr>
        <w:t>因此，对抗制之下，立法常常限制并案审理，比如《美国联邦刑事诉讼规则》第8条第（b）款规定，只有在两种情形下，两个或更多的被告人可以在同一份起诉书中被起诉，“如果他们（1）参与了同一行为或交易，或者（2）在同一系列的行为或交易中，构成了一个或者多个犯罪。”检察官通常要先行判断，是否用一份起诉书将两个被告人“合并”审理，如果被告人被不当合并审理，即构成“错误合并”。即使在规则允许的范围内正常合并的情况下，被告人都可以申请“分案”审理，理由是合并审理对自己的辩护权造成了不利影响。所以，在对抗制之下，通常会有不当并案（审理）的问题，而不当分案（审理）的问题则较为少见。</w:t>
      </w:r>
    </w:p>
    <w:p w14:paraId="3C5771AD">
      <w:pPr>
        <w:pStyle w:val="9"/>
        <w:spacing w:before="0" w:after="0" w:line="600" w:lineRule="atLeast"/>
        <w:ind w:left="375" w:right="375" w:firstLine="540"/>
        <w:rPr>
          <w:rFonts w:ascii="宋体" w:hAnsi="宋体" w:eastAsia="宋体" w:cs="宋体"/>
          <w:color w:val="000000"/>
          <w:sz w:val="27"/>
          <w:szCs w:val="27"/>
          <w:lang/>
        </w:rPr>
      </w:pPr>
      <w:r>
        <w:rPr>
          <w:rFonts w:ascii="宋体" w:hAnsi="宋体" w:eastAsia="宋体" w:cs="宋体"/>
          <w:color w:val="000000"/>
          <w:sz w:val="27"/>
          <w:szCs w:val="27"/>
          <w:vertAlign w:val="baseline"/>
          <w:lang/>
        </w:rPr>
        <w:t>我国的情况有所不同，一般认为对共同犯罪案件分案审理总体上会对被告人行使诉讼权利产生不利影响。例如，共同犯罪的被告人甲和乙被分案审理，如果被告人乙认罪，其所作的供述成为对被告人甲不利的证据，如果法庭不传唤另案审理的乙出庭，被告人甲的质证权就无法实现。因此，在共同犯罪的案件中，如果部分被告人认罪认罚，人民检察院原则上应当一并起诉，人民法院原则上应当并案审理，适用普通程序。只有在被告人人数众多，合并审理难以保证庭审质量和庭审效率的，可以依法分案起诉、分案审理。在被告人过多的案件中，适当的分案审理，能促进庭审有序开展，防止诉讼拖延，保障质证辩论，降低审理难度。[19]然而，分案审理不能影响被告人行使诉讼权利。为此，《解释》第220条要求“分案审理不得影响当事人质证权等诉讼权利的行使”，《解释》第269条同时规定，“审理过程中，法庭认为有必要的，可以传唤同案被告人、分案审理的共同犯罪或者关联犯罪案件的被告人等到庭对质。”</w:t>
      </w:r>
    </w:p>
    <w:p w14:paraId="4D9B0CE6">
      <w:pPr>
        <w:pStyle w:val="9"/>
        <w:spacing w:before="0" w:after="0" w:line="600" w:lineRule="atLeast"/>
        <w:ind w:left="375" w:right="375" w:firstLine="540"/>
        <w:rPr>
          <w:rFonts w:ascii="宋体" w:hAnsi="宋体" w:eastAsia="宋体" w:cs="宋体"/>
          <w:color w:val="000000"/>
          <w:sz w:val="27"/>
          <w:szCs w:val="27"/>
          <w:lang/>
        </w:rPr>
      </w:pPr>
      <w:bookmarkStart w:id="9" w:name="sort_3_2"/>
      <w:bookmarkEnd w:id="9"/>
      <w:r>
        <w:rPr>
          <w:rFonts w:ascii="宋体" w:hAnsi="宋体" w:eastAsia="宋体" w:cs="宋体"/>
          <w:color w:val="000000"/>
          <w:sz w:val="27"/>
          <w:szCs w:val="27"/>
          <w:vertAlign w:val="baseline"/>
          <w:lang/>
        </w:rPr>
        <w:t>（二）并案审理与分案审理涉及的证据问题</w:t>
      </w:r>
    </w:p>
    <w:p w14:paraId="6CEF647B">
      <w:pPr>
        <w:pStyle w:val="9"/>
        <w:spacing w:before="0" w:after="0" w:line="600" w:lineRule="atLeast"/>
        <w:ind w:left="375" w:right="375" w:firstLine="540"/>
        <w:rPr>
          <w:rFonts w:ascii="宋体" w:hAnsi="宋体" w:eastAsia="宋体" w:cs="宋体"/>
          <w:color w:val="000000"/>
          <w:sz w:val="27"/>
          <w:szCs w:val="27"/>
          <w:lang/>
        </w:rPr>
      </w:pPr>
      <w:r>
        <w:rPr>
          <w:rFonts w:ascii="宋体" w:hAnsi="宋体" w:eastAsia="宋体" w:cs="宋体"/>
          <w:color w:val="000000"/>
          <w:sz w:val="27"/>
          <w:szCs w:val="27"/>
          <w:vertAlign w:val="baseline"/>
          <w:lang/>
        </w:rPr>
        <w:t>共同犯罪案件分案审理时，对被告人甲先行作出判决并已生效，该判决所确认的涉及被告人乙的事实，在后来对被告人乙的审判中，是否可以直接认定？换言之，前一判决已确认的事实，在后案审理中能否成为免证的事实？对这个问题的回答又取决于，前一判决已确认的涉及被告人乙的事实，是否对后一判决有预决力？</w:t>
      </w:r>
    </w:p>
    <w:p w14:paraId="4A28C0C6">
      <w:pPr>
        <w:pStyle w:val="9"/>
        <w:spacing w:before="0" w:after="0" w:line="600" w:lineRule="atLeast"/>
        <w:ind w:left="375" w:right="375" w:firstLine="540"/>
        <w:rPr>
          <w:rFonts w:ascii="宋体" w:hAnsi="宋体" w:eastAsia="宋体" w:cs="宋体"/>
          <w:color w:val="000000"/>
          <w:sz w:val="27"/>
          <w:szCs w:val="27"/>
          <w:lang/>
        </w:rPr>
      </w:pPr>
      <w:bookmarkStart w:id="10" w:name="sort_3_2_1"/>
      <w:bookmarkEnd w:id="10"/>
      <w:r>
        <w:rPr>
          <w:rFonts w:ascii="宋体" w:hAnsi="宋体" w:eastAsia="宋体" w:cs="宋体"/>
          <w:color w:val="000000"/>
          <w:sz w:val="27"/>
          <w:szCs w:val="27"/>
          <w:vertAlign w:val="baseline"/>
          <w:lang/>
        </w:rPr>
        <w:t>1.已确认事实的预决力</w:t>
      </w:r>
    </w:p>
    <w:p w14:paraId="36935188">
      <w:pPr>
        <w:pStyle w:val="9"/>
        <w:spacing w:before="0" w:after="0" w:line="600" w:lineRule="atLeast"/>
        <w:ind w:left="375" w:right="375" w:firstLine="540"/>
        <w:rPr>
          <w:rFonts w:ascii="宋体" w:hAnsi="宋体" w:eastAsia="宋体" w:cs="宋体"/>
          <w:color w:val="000000"/>
          <w:sz w:val="27"/>
          <w:szCs w:val="27"/>
          <w:lang/>
        </w:rPr>
      </w:pPr>
      <w:r>
        <w:rPr>
          <w:rFonts w:ascii="宋体" w:hAnsi="宋体" w:eastAsia="宋体" w:cs="宋体"/>
          <w:color w:val="000000"/>
          <w:sz w:val="27"/>
          <w:szCs w:val="27"/>
          <w:vertAlign w:val="baseline"/>
          <w:lang/>
        </w:rPr>
        <w:t>已确认事实，是指为法院发生法律效力的裁判所确认的事实。所谓已确认事实的预决力，是指已确认事实对涉及该事实的后诉法院、当事人的拘束力，即在涉及已确认事实的后诉中，对于已确认事实，当事人是否需要举证证明、法院能否直接认定的问题。[20]对于已确认事实的预决力，刑事诉讼法学界的研究十分不足，目前的讨论主要集中于民事诉讼学界。[21]</w:t>
      </w:r>
    </w:p>
    <w:p w14:paraId="3463D399">
      <w:pPr>
        <w:pStyle w:val="9"/>
        <w:spacing w:before="0" w:after="0" w:line="600" w:lineRule="atLeast"/>
        <w:ind w:left="375" w:right="375" w:firstLine="540"/>
        <w:rPr>
          <w:rFonts w:ascii="宋体" w:hAnsi="宋体" w:eastAsia="宋体" w:cs="宋体"/>
          <w:color w:val="000000"/>
          <w:sz w:val="27"/>
          <w:szCs w:val="27"/>
          <w:lang/>
        </w:rPr>
      </w:pPr>
      <w:r>
        <w:rPr>
          <w:rFonts w:ascii="宋体" w:hAnsi="宋体" w:eastAsia="宋体" w:cs="宋体"/>
          <w:color w:val="000000"/>
          <w:sz w:val="27"/>
          <w:szCs w:val="27"/>
          <w:vertAlign w:val="baseline"/>
          <w:lang/>
        </w:rPr>
        <w:t>已确认事实的预决力与既判力密切相关。既判力是指刑事诉讼中作出裁判后，由于上诉期限经过，或者已经上诉并作出裁判，在用尽各种常规救济途径之后，裁判所取得的拘束法院和当事人的效力。[22]预决力与既判力都对后案产生影响，都涉及对后续法院和当事人的拘束力，都有避免矛盾裁判、维护司法权威的作用，因而也有论者将预决力作为既判力的“积极效力”加以讨论。[23]但二者本质上是两种不同的制度：</w:t>
      </w:r>
    </w:p>
    <w:p w14:paraId="7A21FA11">
      <w:pPr>
        <w:pStyle w:val="9"/>
        <w:spacing w:before="0" w:after="0" w:line="600" w:lineRule="atLeast"/>
        <w:ind w:left="375" w:right="375" w:firstLine="540"/>
        <w:rPr>
          <w:rFonts w:ascii="宋体" w:hAnsi="宋体" w:eastAsia="宋体" w:cs="宋体"/>
          <w:color w:val="000000"/>
          <w:sz w:val="27"/>
          <w:szCs w:val="27"/>
          <w:lang/>
        </w:rPr>
      </w:pPr>
      <w:r>
        <w:rPr>
          <w:rFonts w:ascii="宋体" w:hAnsi="宋体" w:eastAsia="宋体" w:cs="宋体"/>
          <w:color w:val="000000"/>
          <w:sz w:val="27"/>
          <w:szCs w:val="27"/>
          <w:vertAlign w:val="baseline"/>
          <w:lang/>
        </w:rPr>
        <w:t>其一，二者的范围不一致。既判力的作用范围只及于作为判决对象的诉讼标的。在刑事诉讼中，诉讼标的指的是诉讼请求事项，刑事诉讼中的请求事项是对被追诉人适用刑罚。[24]既判力的客观范围也是诉讼标的的范围，二者是一致的，诉讼标的的范围体现于判决主文。预决力的范围覆盖前案判决所确认的事实（已确认事实），已确认事实既可能出现在判决主文，也可能出现在判决理由中。其二，既判力强调前案与后案诉讼请求的同一性，其效果是完全禁止后诉。而预决力的概念强调的是前案事实与后案事实同一，预决力的适用并不禁止提起后诉，仅是禁止当事人对生效裁判已经确定的事实再行争议。其三，既判力的作用有两方面。其消极作用是禁止重复起诉，形成我们所熟知的一事不再理原则。既判力的积极作用是禁止矛盾判决，法院必须以已生效判决对诉讼标的所作判断作为后案判决的基础，不得作出与前案明显不一致的判决。然而，已确认事实的预决力没有类似于一事不再理原则的消极作用，不能阻止后续起诉，只不过要求法院作出一致的事实认定，这一点类似于既判力的积极作用。其四，既判力问题属于法律问题，凡是有既判力的事项，法院只能作出同一认定。既判力不能推翻，除非启动审判监督程序。但是，已确认事实的预决力属于事实证明问题，不属于法律问题。对于已确认事实，后案法院可以作同一的事实认定，也可以作出不同的事实认定。[25]所以，预决力与既判力是两种不同的制度，既判力效力更强，只能通过审判监督程序推翻，而预决力本质是事实认定问题，即证据法问题，不能将生效裁判的既判力所具有的法律效果施加于已确认事实的预决力。</w:t>
      </w:r>
    </w:p>
    <w:p w14:paraId="70721660">
      <w:pPr>
        <w:pStyle w:val="9"/>
        <w:spacing w:before="0" w:after="0" w:line="600" w:lineRule="atLeast"/>
        <w:ind w:left="375" w:right="375" w:firstLine="540"/>
        <w:rPr>
          <w:rFonts w:ascii="宋体" w:hAnsi="宋体" w:eastAsia="宋体" w:cs="宋体"/>
          <w:color w:val="000000"/>
          <w:sz w:val="27"/>
          <w:szCs w:val="27"/>
          <w:lang/>
        </w:rPr>
      </w:pPr>
      <w:bookmarkStart w:id="11" w:name="sort_3_2_2"/>
      <w:bookmarkEnd w:id="11"/>
      <w:r>
        <w:rPr>
          <w:rFonts w:ascii="宋体" w:hAnsi="宋体" w:eastAsia="宋体" w:cs="宋体"/>
          <w:color w:val="000000"/>
          <w:sz w:val="27"/>
          <w:szCs w:val="27"/>
          <w:vertAlign w:val="baseline"/>
          <w:lang/>
        </w:rPr>
        <w:t>2.已确认事实预决力的客观范围</w:t>
      </w:r>
    </w:p>
    <w:p w14:paraId="1883B82F">
      <w:pPr>
        <w:pStyle w:val="9"/>
        <w:spacing w:before="0" w:after="0" w:line="600" w:lineRule="atLeast"/>
        <w:ind w:left="375" w:right="375" w:firstLine="540"/>
        <w:rPr>
          <w:rFonts w:ascii="宋体" w:hAnsi="宋体" w:eastAsia="宋体" w:cs="宋体"/>
          <w:color w:val="000000"/>
          <w:sz w:val="27"/>
          <w:szCs w:val="27"/>
          <w:lang/>
        </w:rPr>
      </w:pPr>
      <w:r>
        <w:rPr>
          <w:rFonts w:ascii="宋体" w:hAnsi="宋体" w:eastAsia="宋体" w:cs="宋体"/>
          <w:color w:val="000000"/>
          <w:sz w:val="27"/>
          <w:szCs w:val="27"/>
          <w:vertAlign w:val="baseline"/>
          <w:lang/>
        </w:rPr>
        <w:t>预决力的客观范围讨论的是哪些已确认事实能产生预决力。并非所有的已确认事实都会产生预决力，只有符合条件的已确认事实才能产生预决力。根据法理，已确认事实要产生预决力，需要具备下列条件：</w:t>
      </w:r>
    </w:p>
    <w:p w14:paraId="1E77E253">
      <w:pPr>
        <w:pStyle w:val="9"/>
        <w:spacing w:before="0" w:after="0" w:line="600" w:lineRule="atLeast"/>
        <w:ind w:left="375" w:right="375" w:firstLine="540"/>
        <w:rPr>
          <w:rFonts w:ascii="宋体" w:hAnsi="宋体" w:eastAsia="宋体" w:cs="宋体"/>
          <w:color w:val="000000"/>
          <w:sz w:val="27"/>
          <w:szCs w:val="27"/>
          <w:lang/>
        </w:rPr>
      </w:pPr>
      <w:r>
        <w:rPr>
          <w:rFonts w:ascii="宋体" w:hAnsi="宋体" w:eastAsia="宋体" w:cs="宋体"/>
          <w:color w:val="000000"/>
          <w:sz w:val="27"/>
          <w:szCs w:val="27"/>
          <w:vertAlign w:val="baseline"/>
          <w:lang/>
        </w:rPr>
        <w:t>其一，满足程序保障原则。在民事诉讼中，法院对事实的认定必须以当事人之间的攻击防御为基础。同理，在刑事诉讼中，如果没有给予当事人充分的提出有利主张、出示证据，并对不利证据进行反驳的机会，就不满足程序保障原则，法院不能径行认定该事实。即便法院在前案中认定了某事实，在涉及该事实的后诉中该认定也不能产生预决力。其二，已确认事实是前案判决所认定的“必要”事实。所谓“必要”事实，是指刑事法官为证明其“有罪判决”或“无罪判决”的正确性而必须认定的事实，[26]如果不认定该事实，法院就无法作出裁判。例如，对构成犯罪的事实行为的存在或不存在作出认定，就是对“必要”事实的认定。只有已确认事实中的“必要事实”才能在后续中产生预决力，前案法院认定的其他事实，在涉及该事实的后诉中不能产生预决力。原因在于，前案当事人一般不会对本案涉及的所有事实都投入充分的辩护。如果控辩双方争执的某一事实不是对于判决而言有决定性意义的事实（非必要事实），当事人出于经济和成本的考虑，可能不会就该非必要事实开展充分的辩护。其三，已确认事实在后案中产生预决力的前提是，已确认事实与后案涉及的是同一事实。[27]已确认事实产生预决力必须以此为前提。如果后案中的事实不同于已确认事实，那么在后诉中就应当允许当事人就该事实进行争辩、质证，这意味着已确认事实不能产生预决力。</w:t>
      </w:r>
    </w:p>
    <w:p w14:paraId="0689521E">
      <w:pPr>
        <w:pStyle w:val="9"/>
        <w:spacing w:before="0" w:after="0" w:line="600" w:lineRule="atLeast"/>
        <w:ind w:left="375" w:right="375" w:firstLine="540"/>
        <w:rPr>
          <w:rFonts w:ascii="宋体" w:hAnsi="宋体" w:eastAsia="宋体" w:cs="宋体"/>
          <w:color w:val="000000"/>
          <w:sz w:val="27"/>
          <w:szCs w:val="27"/>
          <w:lang/>
        </w:rPr>
      </w:pPr>
      <w:bookmarkStart w:id="12" w:name="sort_3_2_3"/>
      <w:bookmarkEnd w:id="12"/>
      <w:r>
        <w:rPr>
          <w:rFonts w:ascii="宋体" w:hAnsi="宋体" w:eastAsia="宋体" w:cs="宋体"/>
          <w:color w:val="000000"/>
          <w:sz w:val="27"/>
          <w:szCs w:val="27"/>
          <w:vertAlign w:val="baseline"/>
          <w:lang/>
        </w:rPr>
        <w:t>3.已确认事实预决力的主观范围</w:t>
      </w:r>
    </w:p>
    <w:p w14:paraId="433E4188">
      <w:pPr>
        <w:pStyle w:val="9"/>
        <w:spacing w:before="0" w:after="0" w:line="600" w:lineRule="atLeast"/>
        <w:ind w:left="375" w:right="375" w:firstLine="540"/>
        <w:rPr>
          <w:rFonts w:ascii="宋体" w:hAnsi="宋体" w:eastAsia="宋体" w:cs="宋体"/>
          <w:color w:val="000000"/>
          <w:sz w:val="27"/>
          <w:szCs w:val="27"/>
          <w:lang/>
        </w:rPr>
      </w:pPr>
      <w:r>
        <w:rPr>
          <w:rFonts w:ascii="宋体" w:hAnsi="宋体" w:eastAsia="宋体" w:cs="宋体"/>
          <w:color w:val="000000"/>
          <w:sz w:val="27"/>
          <w:szCs w:val="27"/>
          <w:vertAlign w:val="baseline"/>
          <w:lang/>
        </w:rPr>
        <w:t>预决力的主观范围，也即预决力的主体范围，解决的是当生效裁判已确认的事实出现在其他诉讼中时，预决力拘束什么范围的人的问题。程序保障原则要求，已确认事实产生预决力的前提是前案当事人和后案当事人保持同一。因为当事人在前案中已经对已确认事实进行了充分的质证和辩论，所以在涉及相关事实的后诉中，当事人会受已确认事实预决力的拘束。但是，前案当事人以外的人在涉及已确认事实的后诉不受预决力的拘束，他可以对后诉中的任何事实进行争辩，不受前案法院所认定事实的拘束。即使在前诉中就该事实已经开展过质证，也不产生预决力。这主要是因为，如果前案判决确认的事实对没有参与该诉讼的人产生预决力，就等于让没有参与诉讼的人承受一个其从未参加过的诉讼的结果，这是根本上的程序不正义。</w:t>
      </w:r>
    </w:p>
    <w:p w14:paraId="0C064B67">
      <w:pPr>
        <w:pStyle w:val="9"/>
        <w:spacing w:before="0" w:after="0" w:line="600" w:lineRule="atLeast"/>
        <w:ind w:left="375" w:right="375" w:firstLine="540"/>
        <w:rPr>
          <w:rFonts w:ascii="宋体" w:hAnsi="宋体" w:eastAsia="宋体" w:cs="宋体"/>
          <w:color w:val="000000"/>
          <w:sz w:val="27"/>
          <w:szCs w:val="27"/>
          <w:lang/>
        </w:rPr>
      </w:pPr>
      <w:bookmarkStart w:id="13" w:name="sort_3_2_4"/>
      <w:bookmarkEnd w:id="13"/>
      <w:r>
        <w:rPr>
          <w:rFonts w:ascii="宋体" w:hAnsi="宋体" w:eastAsia="宋体" w:cs="宋体"/>
          <w:color w:val="000000"/>
          <w:sz w:val="27"/>
          <w:szCs w:val="27"/>
          <w:vertAlign w:val="baseline"/>
          <w:lang/>
        </w:rPr>
        <w:t>4.共同犯罪案件分案审理时前案判决的预决力</w:t>
      </w:r>
    </w:p>
    <w:p w14:paraId="5F6A63AF">
      <w:pPr>
        <w:pStyle w:val="9"/>
        <w:spacing w:before="0" w:after="0" w:line="600" w:lineRule="atLeast"/>
        <w:ind w:left="375" w:right="375" w:firstLine="540"/>
        <w:rPr>
          <w:rFonts w:ascii="宋体" w:hAnsi="宋体" w:eastAsia="宋体" w:cs="宋体"/>
          <w:color w:val="000000"/>
          <w:sz w:val="27"/>
          <w:szCs w:val="27"/>
          <w:lang/>
        </w:rPr>
      </w:pPr>
      <w:r>
        <w:rPr>
          <w:rFonts w:ascii="宋体" w:hAnsi="宋体" w:eastAsia="宋体" w:cs="宋体"/>
          <w:color w:val="000000"/>
          <w:sz w:val="27"/>
          <w:szCs w:val="27"/>
          <w:vertAlign w:val="baseline"/>
          <w:lang/>
        </w:rPr>
        <w:t>在共同犯罪的案件中，如果将不同的被告人分案审理，在前案已经作出生效判决的情况下，其所认定的事实对后案的审理是否具有预决力，对于这一问题需要运用已确认事实预决力的一般原理加以分析。首先，前案生效裁判已确认事实的预决力不同于前案生效裁判的既判力，既判力仅限于判决主文，但效力更强，只能通过审判监督程序推翻。已确认事实的预决力既涵盖判决主文中的事实，也涵盖判决理由中的事实，但效力更弱，本质上是事实证明问题，后案法院既可以作出同一认定，也可以作出不同认定。其次，前案生效裁判已确认事实要产生预决力，必须符合程序保障原则、已确认事实必须构成前案判决的“必要”事实、前案判决已确认事实必须与后案诉讼所涉及的事实构成同一事实。再次，前案生效裁判所确认的事实产生预决力的前提是当事人同一。而在共同犯罪分案审理的情形中，前案判决理由即使涉及共同犯罪的事实，但由于前案和后案当事人不同，并不当然产生预决力。因此，共同犯罪案件对不同被告人分案审理的情况下，前案生效裁判所确认的事实仅具有证明效力，并不具有预决力。分案审理后，前案有罪判决、裁定所认定的事实证据与后案被告人定罪量刑相关的，在后案庭审中仍然应当进行示证、质证、认证。后案经审理认定的事实可以与前案不一致，在这种情况下，人民法院应当根据后案审理情况依法作出判决。</w:t>
      </w:r>
    </w:p>
    <w:p w14:paraId="4E3F6956">
      <w:pPr>
        <w:pStyle w:val="9"/>
        <w:spacing w:before="0" w:after="0" w:line="600" w:lineRule="atLeast"/>
        <w:ind w:left="375" w:right="375" w:firstLine="540"/>
        <w:rPr>
          <w:rFonts w:ascii="宋体" w:hAnsi="宋体" w:eastAsia="宋体" w:cs="宋体"/>
          <w:color w:val="000000"/>
          <w:sz w:val="27"/>
          <w:szCs w:val="27"/>
          <w:lang/>
        </w:rPr>
      </w:pPr>
      <w:bookmarkStart w:id="14" w:name="sort_4"/>
      <w:bookmarkEnd w:id="14"/>
      <w:r>
        <w:rPr>
          <w:rFonts w:ascii="宋体" w:hAnsi="宋体" w:eastAsia="宋体" w:cs="宋体"/>
          <w:color w:val="000000"/>
          <w:sz w:val="27"/>
          <w:szCs w:val="27"/>
          <w:vertAlign w:val="baseline"/>
          <w:lang/>
        </w:rPr>
        <w:t>四、结语</w:t>
      </w:r>
    </w:p>
    <w:p w14:paraId="0AA31D2F">
      <w:pPr>
        <w:pStyle w:val="9"/>
        <w:spacing w:before="0" w:after="0" w:line="600" w:lineRule="atLeast"/>
        <w:ind w:left="375" w:right="375" w:firstLine="540"/>
        <w:rPr>
          <w:rFonts w:ascii="宋体" w:hAnsi="宋体" w:eastAsia="宋体" w:cs="宋体"/>
          <w:color w:val="000000"/>
          <w:sz w:val="27"/>
          <w:szCs w:val="27"/>
          <w:lang/>
        </w:rPr>
      </w:pPr>
      <w:r>
        <w:rPr>
          <w:rFonts w:ascii="宋体" w:hAnsi="宋体" w:eastAsia="宋体" w:cs="宋体"/>
          <w:color w:val="000000"/>
          <w:sz w:val="27"/>
          <w:szCs w:val="27"/>
          <w:vertAlign w:val="baseline"/>
          <w:lang/>
        </w:rPr>
        <w:t>犯罪嫌疑人、被告人认罪认罚的案件，虽然在法庭审理过程中不会出现激烈的对抗，但仍会出现一些较为特殊的证据法问题需要从理论上加以澄清。认罪认罚具结书主要是犯罪嫌疑人对指控犯罪事实的认可，其与证据法意义上的供述有一定差距，不能定性为一种证据。作为一种实质意义上的契约，一旦认罪认罚的犯罪嫌疑人、被告人反悔，之前签署的认罪认罚具结书自然失去效力。犯罪嫌疑人之前作出的供述，属于诉讼事实行为，不可撤销，当前也缺乏排除相关供述的法律根据，因此可以在诉讼中作为证据继续使用。虽然有降低认罪认罚案件证明标准的主张，但由于证明标准关系到保障无辜与惩罚犯罪的立法权衡，因此，即使犯罪嫌疑人、被告人认罪认罚，也不能因此降低证明标准。人民法院依然应当对认罪认罚案件进行实质性审查，不能仅因被告人认罪认罚就判处有罪。对共同犯罪案件分案审理，实践中很难完全避免，但分案审理的标准不应是被告人认罪或不认罪。在分案审理时，前案先行作出判决并已生效，其既判力仅限于判决主文，判决理由中认定的事实不具有既判力。前案先行判决已确认的事实要对后案产生预决力，必须符合程序保障原则、该已确认事实必须是前案判决的“必要”事实、该已确认事实与后案涉及事实必须是同一事实、前案和后案当事人同一等条件。</w:t>
      </w:r>
    </w:p>
    <w:p w14:paraId="62120264">
      <w:pPr>
        <w:pStyle w:val="9"/>
        <w:spacing w:before="0" w:after="0" w:line="600" w:lineRule="atLeast"/>
        <w:ind w:left="375" w:right="375" w:firstLine="540"/>
        <w:rPr>
          <w:rFonts w:ascii="宋体" w:hAnsi="宋体" w:eastAsia="宋体" w:cs="宋体"/>
          <w:color w:val="000000"/>
          <w:sz w:val="27"/>
          <w:szCs w:val="27"/>
          <w:lang/>
        </w:rPr>
      </w:pPr>
      <w:r>
        <w:rPr>
          <w:rFonts w:ascii="宋体" w:hAnsi="宋体" w:eastAsia="宋体" w:cs="宋体"/>
          <w:color w:val="000000"/>
          <w:sz w:val="27"/>
          <w:szCs w:val="27"/>
          <w:vertAlign w:val="baseline"/>
          <w:lang/>
        </w:rPr>
        <w:t>（责任编辑：李琦）</w:t>
      </w:r>
    </w:p>
    <w:p w14:paraId="10340396">
      <w:pPr>
        <w:spacing w:line="600" w:lineRule="atLeast"/>
        <w:ind w:left="375" w:right="375"/>
        <w:rPr>
          <w:rFonts w:ascii="宋体" w:hAnsi="宋体" w:eastAsia="宋体" w:cs="宋体"/>
          <w:color w:val="000000"/>
          <w:sz w:val="27"/>
          <w:szCs w:val="27"/>
          <w:lang/>
        </w:rPr>
      </w:pPr>
      <w:r>
        <w:rPr>
          <w:rFonts w:ascii="宋体" w:hAnsi="宋体" w:eastAsia="宋体" w:cs="宋体"/>
          <w:color w:val="000000"/>
          <w:sz w:val="27"/>
          <w:szCs w:val="27"/>
          <w:lang/>
        </w:rPr>
        <w:br w:type="textWrapping"/>
      </w:r>
    </w:p>
    <w:p w14:paraId="06BE4C58">
      <w:pPr>
        <w:pStyle w:val="12"/>
        <w:spacing w:before="0" w:line="600" w:lineRule="atLeast"/>
        <w:ind w:left="525" w:right="525"/>
        <w:textAlignment w:val="baseline"/>
        <w:rPr>
          <w:rFonts w:ascii="宋体" w:hAnsi="宋体" w:eastAsia="宋体" w:cs="宋体"/>
          <w:color w:val="000000"/>
          <w:sz w:val="21"/>
          <w:szCs w:val="21"/>
          <w:lang/>
        </w:rPr>
      </w:pPr>
      <w:r>
        <w:rPr>
          <w:rStyle w:val="13"/>
          <w:rFonts w:ascii="宋体" w:hAnsi="宋体" w:eastAsia="宋体" w:cs="宋体"/>
          <w:b/>
          <w:bCs/>
          <w:shd w:val="clear" w:color="auto" w:fill="auto"/>
          <w:lang/>
        </w:rPr>
        <w:t>【注释】</w:t>
      </w:r>
    </w:p>
    <w:p w14:paraId="56AF30F3">
      <w:pPr>
        <w:pStyle w:val="9"/>
        <w:shd w:val="clear" w:color="auto" w:fill="F6FAFF"/>
        <w:spacing w:before="0" w:after="0" w:line="600" w:lineRule="atLeast"/>
        <w:ind w:left="525" w:right="525" w:firstLine="420"/>
        <w:rPr>
          <w:rFonts w:ascii="宋体" w:hAnsi="宋体" w:eastAsia="宋体" w:cs="宋体"/>
          <w:color w:val="000000"/>
          <w:sz w:val="21"/>
          <w:szCs w:val="21"/>
          <w:lang/>
        </w:rPr>
      </w:pPr>
      <w:r>
        <w:rPr>
          <w:rFonts w:ascii="宋体" w:hAnsi="宋体" w:eastAsia="宋体" w:cs="宋体"/>
          <w:color w:val="000000"/>
          <w:sz w:val="21"/>
          <w:szCs w:val="21"/>
          <w:vertAlign w:val="baseline"/>
          <w:lang/>
        </w:rPr>
        <w:t>*魏晓娜，中国人民大学刑事法律科学研究中心教授，法学博士。</w:t>
      </w:r>
    </w:p>
    <w:p w14:paraId="7496240C">
      <w:pPr>
        <w:pStyle w:val="9"/>
        <w:shd w:val="clear" w:color="auto" w:fill="F6FAFF"/>
        <w:spacing w:before="0" w:after="0" w:line="600" w:lineRule="atLeast"/>
        <w:ind w:left="525" w:right="525" w:firstLine="420"/>
        <w:rPr>
          <w:rFonts w:ascii="宋体" w:hAnsi="宋体" w:eastAsia="宋体" w:cs="宋体"/>
          <w:color w:val="000000"/>
          <w:sz w:val="21"/>
          <w:szCs w:val="21"/>
          <w:lang/>
        </w:rPr>
      </w:pPr>
      <w:r>
        <w:rPr>
          <w:rFonts w:ascii="宋体" w:hAnsi="宋体" w:eastAsia="宋体" w:cs="宋体"/>
          <w:color w:val="000000"/>
          <w:sz w:val="21"/>
          <w:szCs w:val="21"/>
          <w:vertAlign w:val="baseline"/>
          <w:lang/>
        </w:rPr>
        <w:t>本文为国家社科基金一般项目“认罪认罚从宽的理论反思与制度重构研究”（项目编号：21BFX013）的阶段性成果。</w:t>
      </w:r>
    </w:p>
    <w:p w14:paraId="1CCFBF7F">
      <w:pPr>
        <w:spacing w:after="0"/>
        <w:ind w:left="375" w:right="375"/>
        <w:rPr>
          <w:rFonts w:ascii="Arial" w:hAnsi="Arial" w:eastAsia="Arial" w:cs="Arial"/>
          <w:lang/>
        </w:rPr>
      </w:pPr>
      <w:r>
        <w:rPr>
          <w:rFonts w:ascii="Arial" w:hAnsi="Arial" w:eastAsia="Arial" w:cs="Arial"/>
          <w:lang/>
        </w:rPr>
        <w:br w:type="textWrapping"/>
      </w:r>
    </w:p>
    <w:p w14:paraId="24DF77D7">
      <w:pPr>
        <w:spacing w:line="630" w:lineRule="atLeast"/>
        <w:rPr>
          <w:rFonts w:ascii="Times New Roman" w:hAnsi="Times New Roman" w:eastAsia="Times New Roman" w:cs="Times New Roman"/>
          <w:sz w:val="26"/>
          <w:szCs w:val="26"/>
          <w:lang/>
        </w:rPr>
      </w:pPr>
      <w:r>
        <w:br w:type="page"/>
      </w:r>
      <w:r>
        <w:rPr>
          <w:rFonts w:ascii="Times New Roman" w:hAnsi="Times New Roman" w:eastAsia="Times New Roman" w:cs="Times New Roman"/>
          <w:sz w:val="26"/>
          <w:szCs w:val="26"/>
          <w:lang/>
        </w:rPr>
        <w:t>©北大法宝：（</w:t>
      </w:r>
      <w:r>
        <w:rPr>
          <w:rFonts w:ascii="Times New Roman" w:hAnsi="Times New Roman" w:eastAsia="Times New Roman" w:cs="Times New Roman"/>
          <w:sz w:val="26"/>
          <w:szCs w:val="26"/>
          <w:lang/>
        </w:rPr>
        <w:fldChar w:fldCharType="begin"/>
      </w:r>
      <w:r>
        <w:rPr>
          <w:rFonts w:ascii="Times New Roman" w:hAnsi="Times New Roman" w:eastAsia="Times New Roman" w:cs="Times New Roman"/>
          <w:sz w:val="26"/>
          <w:szCs w:val="26"/>
          <w:lang/>
        </w:rPr>
        <w:instrText xml:space="preserve"> HYPERLINK "https://www.pkulaw.com" </w:instrText>
      </w:r>
      <w:r>
        <w:rPr>
          <w:rFonts w:ascii="Times New Roman" w:hAnsi="Times New Roman" w:eastAsia="Times New Roman" w:cs="Times New Roman"/>
          <w:sz w:val="26"/>
          <w:szCs w:val="26"/>
          <w:lang/>
        </w:rPr>
        <w:fldChar w:fldCharType="separate"/>
      </w:r>
      <w:r>
        <w:rPr>
          <w:rFonts w:ascii="Times New Roman" w:hAnsi="Times New Roman" w:eastAsia="Times New Roman" w:cs="Times New Roman"/>
          <w:color w:val="218FC4"/>
          <w:sz w:val="26"/>
          <w:szCs w:val="26"/>
          <w:u w:val="single" w:color="218FC4"/>
          <w:lang/>
        </w:rPr>
        <w:t>www.pkulaw.com</w:t>
      </w:r>
      <w:r>
        <w:rPr>
          <w:rFonts w:ascii="Times New Roman" w:hAnsi="Times New Roman" w:eastAsia="Times New Roman" w:cs="Times New Roman"/>
          <w:color w:val="218FC4"/>
          <w:sz w:val="26"/>
          <w:szCs w:val="26"/>
          <w:u w:val="single" w:color="218FC4"/>
          <w:lang/>
        </w:rPr>
        <w:fldChar w:fldCharType="end"/>
      </w:r>
      <w:r>
        <w:rPr>
          <w:rFonts w:ascii="Times New Roman" w:hAnsi="Times New Roman" w:eastAsia="Times New Roman" w:cs="Times New Roman"/>
          <w:sz w:val="26"/>
          <w:szCs w:val="26"/>
          <w:lang/>
        </w:rPr>
        <w:t>）专业提供法律信息、法学知识和法律软件领域各类解决方案。北大法宝为您提供丰富的参考资料，正式引用法规条文时请与标准文本核对。 欢迎查看所有</w:t>
      </w:r>
      <w:r>
        <w:rPr>
          <w:rFonts w:ascii="Times New Roman" w:hAnsi="Times New Roman" w:eastAsia="Times New Roman" w:cs="Times New Roman"/>
          <w:sz w:val="26"/>
          <w:szCs w:val="26"/>
          <w:lang/>
        </w:rPr>
        <w:fldChar w:fldCharType="begin"/>
      </w:r>
      <w:r>
        <w:rPr>
          <w:rFonts w:ascii="Times New Roman" w:hAnsi="Times New Roman" w:eastAsia="Times New Roman" w:cs="Times New Roman"/>
          <w:sz w:val="26"/>
          <w:szCs w:val="26"/>
          <w:lang/>
        </w:rPr>
        <w:instrText xml:space="preserve"> HYPERLINK "http://www.pkulaw.net/" </w:instrText>
      </w:r>
      <w:r>
        <w:rPr>
          <w:rFonts w:ascii="Times New Roman" w:hAnsi="Times New Roman" w:eastAsia="Times New Roman" w:cs="Times New Roman"/>
          <w:sz w:val="26"/>
          <w:szCs w:val="26"/>
          <w:lang/>
        </w:rPr>
        <w:fldChar w:fldCharType="separate"/>
      </w:r>
      <w:r>
        <w:rPr>
          <w:rFonts w:ascii="Times New Roman" w:hAnsi="Times New Roman" w:eastAsia="Times New Roman" w:cs="Times New Roman"/>
          <w:color w:val="218FC4"/>
          <w:sz w:val="26"/>
          <w:szCs w:val="26"/>
          <w:u w:val="single" w:color="218FC4"/>
          <w:lang/>
        </w:rPr>
        <w:t>产品和服务</w:t>
      </w:r>
      <w:r>
        <w:rPr>
          <w:rFonts w:ascii="Times New Roman" w:hAnsi="Times New Roman" w:eastAsia="Times New Roman" w:cs="Times New Roman"/>
          <w:color w:val="218FC4"/>
          <w:sz w:val="26"/>
          <w:szCs w:val="26"/>
          <w:u w:val="single" w:color="218FC4"/>
          <w:lang/>
        </w:rPr>
        <w:fldChar w:fldCharType="end"/>
      </w:r>
      <w:r>
        <w:rPr>
          <w:rFonts w:ascii="Times New Roman" w:hAnsi="Times New Roman" w:eastAsia="Times New Roman" w:cs="Times New Roman"/>
          <w:sz w:val="26"/>
          <w:szCs w:val="26"/>
          <w:lang/>
        </w:rPr>
        <w:t>。</w:t>
      </w:r>
      <w:r>
        <w:rPr>
          <w:rFonts w:ascii="Times New Roman" w:hAnsi="Times New Roman" w:eastAsia="Times New Roman" w:cs="Times New Roman"/>
          <w:sz w:val="26"/>
          <w:szCs w:val="26"/>
          <w:lang/>
        </w:rPr>
        <w:br w:type="textWrapping"/>
      </w:r>
      <w:r>
        <w:rPr>
          <w:rFonts w:ascii="Times New Roman" w:hAnsi="Times New Roman" w:eastAsia="Times New Roman" w:cs="Times New Roman"/>
          <w:sz w:val="26"/>
          <w:szCs w:val="26"/>
          <w:lang/>
        </w:rPr>
        <w:fldChar w:fldCharType="begin"/>
      </w:r>
      <w:r>
        <w:rPr>
          <w:rFonts w:ascii="Times New Roman" w:hAnsi="Times New Roman" w:eastAsia="Times New Roman" w:cs="Times New Roman"/>
          <w:sz w:val="26"/>
          <w:szCs w:val="26"/>
          <w:lang/>
        </w:rPr>
        <w:instrText xml:space="preserve"> HYPERLINK "http://www.pkulaw.com/helps/69.html" </w:instrText>
      </w:r>
      <w:r>
        <w:rPr>
          <w:rFonts w:ascii="Times New Roman" w:hAnsi="Times New Roman" w:eastAsia="Times New Roman" w:cs="Times New Roman"/>
          <w:sz w:val="26"/>
          <w:szCs w:val="26"/>
          <w:lang/>
        </w:rPr>
        <w:fldChar w:fldCharType="separate"/>
      </w:r>
      <w:r>
        <w:rPr>
          <w:rFonts w:ascii="Times New Roman" w:hAnsi="Times New Roman" w:eastAsia="Times New Roman" w:cs="Times New Roman"/>
          <w:color w:val="218FC4"/>
          <w:sz w:val="26"/>
          <w:szCs w:val="26"/>
          <w:u w:val="single" w:color="218FC4"/>
          <w:lang/>
        </w:rPr>
        <w:t>法宝快讯： 如何快速找到您需要的检索结果？ 法宝 V6 有何新特色？</w:t>
      </w:r>
      <w:r>
        <w:rPr>
          <w:rFonts w:ascii="Times New Roman" w:hAnsi="Times New Roman" w:eastAsia="Times New Roman" w:cs="Times New Roman"/>
          <w:color w:val="218FC4"/>
          <w:sz w:val="26"/>
          <w:szCs w:val="26"/>
          <w:u w:val="single" w:color="218FC4"/>
          <w:lang/>
        </w:rPr>
        <w:fldChar w:fldCharType="end"/>
      </w:r>
    </w:p>
    <w:p w14:paraId="738A08CA">
      <w:pPr>
        <w:spacing w:before="900"/>
        <w:ind w:left="900" w:right="900"/>
        <w:jc w:val="center"/>
        <w:rPr>
          <w:rFonts w:ascii="Times New Roman" w:hAnsi="Times New Roman" w:eastAsia="Times New Roman" w:cs="Times New Roman"/>
          <w:lang/>
        </w:rPr>
      </w:pPr>
      <w:r>
        <w:rPr>
          <w:rFonts w:ascii="Times New Roman" w:hAnsi="Times New Roman" w:eastAsia="Times New Roman" w:cs="Times New Roman"/>
          <w:strike w:val="0"/>
          <w:u w:val="none"/>
          <w:lang/>
        </w:rPr>
        <w:drawing>
          <wp:inline distT="0" distB="0" distL="114300" distR="114300">
            <wp:extent cx="2438400" cy="2438400"/>
            <wp:effectExtent l="0" t="0" r="0"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8"/>
                    <a:stretch>
                      <a:fillRect/>
                    </a:stretch>
                  </pic:blipFill>
                  <pic:spPr>
                    <a:xfrm>
                      <a:off x="0" y="0"/>
                      <a:ext cx="2438400" cy="2438400"/>
                    </a:xfrm>
                    <a:prstGeom prst="rect">
                      <a:avLst/>
                    </a:prstGeom>
                    <a:noFill/>
                    <a:ln>
                      <a:noFill/>
                    </a:ln>
                  </pic:spPr>
                </pic:pic>
              </a:graphicData>
            </a:graphic>
          </wp:inline>
        </w:drawing>
      </w:r>
    </w:p>
    <w:p w14:paraId="6041D64A">
      <w:pPr>
        <w:spacing w:after="900" w:line="630" w:lineRule="atLeast"/>
        <w:ind w:left="900" w:right="900"/>
        <w:jc w:val="center"/>
        <w:rPr>
          <w:rFonts w:ascii="Times New Roman" w:hAnsi="Times New Roman" w:eastAsia="Times New Roman" w:cs="Times New Roman"/>
          <w:sz w:val="26"/>
          <w:szCs w:val="26"/>
          <w:lang/>
        </w:rPr>
      </w:pPr>
      <w:r>
        <w:rPr>
          <w:rFonts w:ascii="Times New Roman" w:hAnsi="Times New Roman" w:eastAsia="Times New Roman" w:cs="Times New Roman"/>
          <w:sz w:val="26"/>
          <w:szCs w:val="26"/>
          <w:lang/>
        </w:rPr>
        <w:t xml:space="preserve">扫描二维码阅读原文 </w:t>
      </w:r>
    </w:p>
    <w:p w14:paraId="58B4D3EB">
      <w:pPr>
        <w:spacing w:line="630" w:lineRule="atLeast"/>
        <w:jc w:val="center"/>
        <w:rPr>
          <w:rFonts w:ascii="Times New Roman" w:hAnsi="Times New Roman" w:eastAsia="Times New Roman" w:cs="Times New Roman"/>
          <w:sz w:val="26"/>
          <w:szCs w:val="26"/>
          <w:lang/>
        </w:rPr>
      </w:pPr>
      <w:r>
        <w:rPr>
          <w:rFonts w:ascii="Times New Roman" w:hAnsi="Times New Roman" w:eastAsia="Times New Roman" w:cs="Times New Roman"/>
          <w:sz w:val="26"/>
          <w:szCs w:val="26"/>
          <w:lang/>
        </w:rPr>
        <w:t>原文链接：</w:t>
      </w:r>
      <w:r>
        <w:rPr>
          <w:rFonts w:ascii="Times New Roman" w:hAnsi="Times New Roman" w:eastAsia="Times New Roman" w:cs="Times New Roman"/>
          <w:sz w:val="26"/>
          <w:szCs w:val="26"/>
          <w:lang/>
        </w:rPr>
        <w:fldChar w:fldCharType="begin"/>
      </w:r>
      <w:r>
        <w:rPr>
          <w:rFonts w:ascii="Times New Roman" w:hAnsi="Times New Roman" w:eastAsia="Times New Roman" w:cs="Times New Roman"/>
          <w:sz w:val="26"/>
          <w:szCs w:val="26"/>
          <w:lang/>
        </w:rPr>
        <w:instrText xml:space="preserve"> HYPERLINK "https://www.pkulaw.com/qikan/411e6eca2177f1c5f7950f46e4ba41e4bdfb.html" </w:instrText>
      </w:r>
      <w:r>
        <w:rPr>
          <w:rFonts w:ascii="Times New Roman" w:hAnsi="Times New Roman" w:eastAsia="Times New Roman" w:cs="Times New Roman"/>
          <w:sz w:val="26"/>
          <w:szCs w:val="26"/>
          <w:lang/>
        </w:rPr>
        <w:fldChar w:fldCharType="separate"/>
      </w:r>
      <w:r>
        <w:rPr>
          <w:rFonts w:ascii="Times New Roman" w:hAnsi="Times New Roman" w:eastAsia="Times New Roman" w:cs="Times New Roman"/>
          <w:color w:val="000000"/>
          <w:sz w:val="26"/>
          <w:szCs w:val="26"/>
          <w:u w:val="single" w:color="000000"/>
          <w:lang/>
        </w:rPr>
        <w:t xml:space="preserve">https://www.pkulaw.com/qikan/411e6eca2177f1c5f7950f46e4ba41e4bdfb.html </w:t>
      </w:r>
      <w:r>
        <w:rPr>
          <w:rFonts w:ascii="Times New Roman" w:hAnsi="Times New Roman" w:eastAsia="Times New Roman" w:cs="Times New Roman"/>
          <w:color w:val="000000"/>
          <w:sz w:val="26"/>
          <w:szCs w:val="26"/>
          <w:u w:val="single" w:color="000000"/>
          <w:lang/>
        </w:rPr>
        <w:fldChar w:fldCharType="end"/>
      </w:r>
    </w:p>
    <w:p w14:paraId="00C01E6D"/>
    <w:sectPr>
      <w:headerReference r:id="rId3" w:type="default"/>
      <w:footerReference r:id="rId5" w:type="default"/>
      <w:headerReference r:id="rId4" w:type="even"/>
      <w:footerReference r:id="rId6" w:type="even"/>
      <w:pgSz w:w="11906" w:h="16838"/>
      <w:pgMar w:top="1440" w:right="720" w:bottom="1440" w:left="72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CC"/>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
      <w:tblW w:w="5000" w:type="pct"/>
      <w:tblCellSpacing w:w="15" w:type="dxa"/>
      <w:tblInd w:w="15" w:type="dxa"/>
      <w:tblLayout w:type="autofit"/>
      <w:tblCellMar>
        <w:top w:w="15" w:type="dxa"/>
        <w:left w:w="15" w:type="dxa"/>
        <w:bottom w:w="15" w:type="dxa"/>
        <w:right w:w="15" w:type="dxa"/>
      </w:tblCellMar>
    </w:tblPr>
    <w:tblGrid>
      <w:gridCol w:w="689"/>
      <w:gridCol w:w="9867"/>
    </w:tblGrid>
    <w:tr w14:paraId="0F2D4170">
      <w:tblPrEx>
        <w:tblCellMar>
          <w:top w:w="15" w:type="dxa"/>
          <w:left w:w="15" w:type="dxa"/>
          <w:bottom w:w="15" w:type="dxa"/>
          <w:right w:w="15" w:type="dxa"/>
        </w:tblCellMar>
      </w:tblPrEx>
      <w:trPr>
        <w:wBefore w:w="0" w:type="dxa"/>
        <w:tblCellSpacing w:w="15" w:type="dxa"/>
      </w:trPr>
      <w:tc>
        <w:tcPr>
          <w:tcW w:w="0" w:type="auto"/>
          <w:noWrap w:val="0"/>
          <w:tcMar>
            <w:top w:w="15" w:type="dxa"/>
            <w:left w:w="15" w:type="dxa"/>
            <w:bottom w:w="15" w:type="dxa"/>
            <w:right w:w="15" w:type="dxa"/>
          </w:tcMar>
          <w:vAlign w:val="center"/>
        </w:tcPr>
        <w:p w14:paraId="66E12F7B">
          <w:pPr>
            <w:jc w:val="left"/>
            <w:rPr>
              <w:rFonts w:ascii="宋体" w:hAnsi="宋体" w:eastAsia="宋体" w:cs="宋体"/>
              <w:b w:val="0"/>
              <w:bCs w:val="0"/>
              <w:i w:val="0"/>
              <w:iCs w:val="0"/>
              <w:smallCaps w:val="0"/>
              <w:color w:val="000000"/>
              <w:sz w:val="18"/>
              <w:szCs w:val="18"/>
              <w:lang/>
            </w:rPr>
          </w:pPr>
          <w:r>
            <w:rPr>
              <w:rFonts w:ascii="宋体" w:hAnsi="宋体" w:eastAsia="宋体" w:cs="宋体"/>
              <w:b w:val="0"/>
              <w:bCs w:val="0"/>
              <w:i w:val="0"/>
              <w:iCs w:val="0"/>
              <w:smallCaps w:val="0"/>
              <w:color w:val="000000"/>
              <w:sz w:val="18"/>
              <w:szCs w:val="18"/>
              <w:lang/>
            </w:rPr>
            <w:fldChar w:fldCharType="begin"/>
          </w:r>
          <w:r>
            <w:rPr>
              <w:rFonts w:ascii="宋体" w:hAnsi="宋体" w:eastAsia="宋体" w:cs="宋体"/>
              <w:b w:val="0"/>
              <w:bCs w:val="0"/>
              <w:i w:val="0"/>
              <w:iCs w:val="0"/>
              <w:smallCaps w:val="0"/>
              <w:color w:val="000000"/>
              <w:sz w:val="18"/>
              <w:szCs w:val="18"/>
              <w:lang/>
            </w:rPr>
            <w:instrText xml:space="preserve"> PAGE  </w:instrText>
          </w:r>
          <w:r>
            <w:rPr>
              <w:rFonts w:ascii="宋体" w:hAnsi="宋体" w:eastAsia="宋体" w:cs="宋体"/>
              <w:b w:val="0"/>
              <w:bCs w:val="0"/>
              <w:i w:val="0"/>
              <w:iCs w:val="0"/>
              <w:smallCaps w:val="0"/>
              <w:color w:val="000000"/>
              <w:sz w:val="18"/>
              <w:szCs w:val="18"/>
              <w:lang/>
            </w:rPr>
            <w:fldChar w:fldCharType="separate"/>
          </w:r>
          <w:r>
            <w:rPr>
              <w:rFonts w:ascii="宋体" w:hAnsi="宋体" w:eastAsia="宋体" w:cs="宋体"/>
              <w:b w:val="0"/>
              <w:bCs w:val="0"/>
              <w:i w:val="0"/>
              <w:iCs w:val="0"/>
              <w:smallCaps w:val="0"/>
              <w:color w:val="000000"/>
              <w:sz w:val="18"/>
              <w:szCs w:val="18"/>
              <w:lang/>
            </w:rPr>
            <w:fldChar w:fldCharType="end"/>
          </w:r>
          <w:r>
            <w:rPr>
              <w:rFonts w:ascii="宋体" w:hAnsi="宋体" w:eastAsia="宋体" w:cs="宋体"/>
              <w:b w:val="0"/>
              <w:bCs w:val="0"/>
              <w:i w:val="0"/>
              <w:iCs w:val="0"/>
              <w:smallCaps w:val="0"/>
              <w:color w:val="000000"/>
              <w:sz w:val="18"/>
              <w:szCs w:val="18"/>
              <w:lang/>
            </w:rPr>
            <w:t>/</w:t>
          </w:r>
          <w:r>
            <w:rPr>
              <w:rFonts w:ascii="宋体" w:hAnsi="宋体" w:eastAsia="宋体" w:cs="宋体"/>
              <w:b w:val="0"/>
              <w:bCs w:val="0"/>
              <w:i w:val="0"/>
              <w:iCs w:val="0"/>
              <w:smallCaps w:val="0"/>
              <w:color w:val="000000"/>
              <w:sz w:val="18"/>
              <w:szCs w:val="18"/>
              <w:lang/>
            </w:rPr>
            <w:fldChar w:fldCharType="begin"/>
          </w:r>
          <w:r>
            <w:rPr>
              <w:rFonts w:ascii="宋体" w:hAnsi="宋体" w:eastAsia="宋体" w:cs="宋体"/>
              <w:b w:val="0"/>
              <w:bCs w:val="0"/>
              <w:i w:val="0"/>
              <w:iCs w:val="0"/>
              <w:smallCaps w:val="0"/>
              <w:color w:val="000000"/>
              <w:sz w:val="18"/>
              <w:szCs w:val="18"/>
              <w:lang/>
            </w:rPr>
            <w:instrText xml:space="preserve"> NUMPAGES  </w:instrText>
          </w:r>
          <w:r>
            <w:rPr>
              <w:rFonts w:ascii="宋体" w:hAnsi="宋体" w:eastAsia="宋体" w:cs="宋体"/>
              <w:b w:val="0"/>
              <w:bCs w:val="0"/>
              <w:i w:val="0"/>
              <w:iCs w:val="0"/>
              <w:smallCaps w:val="0"/>
              <w:color w:val="000000"/>
              <w:sz w:val="18"/>
              <w:szCs w:val="18"/>
              <w:lang/>
            </w:rPr>
            <w:fldChar w:fldCharType="separate"/>
          </w:r>
          <w:r>
            <w:rPr>
              <w:rFonts w:ascii="宋体" w:hAnsi="宋体" w:eastAsia="宋体" w:cs="宋体"/>
              <w:b w:val="0"/>
              <w:bCs w:val="0"/>
              <w:i w:val="0"/>
              <w:iCs w:val="0"/>
              <w:smallCaps w:val="0"/>
              <w:color w:val="000000"/>
              <w:sz w:val="18"/>
              <w:szCs w:val="18"/>
              <w:lang/>
            </w:rPr>
            <w:fldChar w:fldCharType="end"/>
          </w:r>
        </w:p>
      </w:tc>
      <w:tc>
        <w:tcPr>
          <w:tcW w:w="0" w:type="auto"/>
          <w:noWrap w:val="0"/>
          <w:tcMar>
            <w:top w:w="15" w:type="dxa"/>
            <w:left w:w="15" w:type="dxa"/>
            <w:bottom w:w="15" w:type="dxa"/>
            <w:right w:w="15" w:type="dxa"/>
          </w:tcMar>
          <w:vAlign w:val="center"/>
        </w:tcPr>
        <w:p w14:paraId="14047965">
          <w:pPr>
            <w:jc w:val="right"/>
            <w:rPr>
              <w:rFonts w:ascii="宋体" w:hAnsi="宋体" w:eastAsia="宋体" w:cs="宋体"/>
              <w:b w:val="0"/>
              <w:bCs w:val="0"/>
              <w:i w:val="0"/>
              <w:iCs w:val="0"/>
              <w:smallCaps w:val="0"/>
              <w:color w:val="000000"/>
              <w:sz w:val="18"/>
              <w:szCs w:val="18"/>
              <w:lang/>
            </w:rPr>
          </w:pPr>
          <w:r>
            <w:rPr>
              <w:rFonts w:ascii="宋体" w:hAnsi="宋体" w:eastAsia="宋体" w:cs="宋体"/>
              <w:b w:val="0"/>
              <w:bCs w:val="0"/>
              <w:i w:val="0"/>
              <w:iCs w:val="0"/>
              <w:smallCaps w:val="0"/>
              <w:color w:val="000000"/>
              <w:sz w:val="18"/>
              <w:szCs w:val="18"/>
              <w:lang/>
            </w:rPr>
            <w:t>下载日期：2026-08-17</w:t>
          </w:r>
        </w:p>
      </w:tc>
    </w:tr>
  </w:tbl>
  <w:p w14:paraId="419D2CDC"/>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CE4EFD"/>
</w:ftr>
</file>

<file path=word/footnotes.xml><?xml version="1.0" encoding="utf-8"?>
<w:footnotes xmlns:w="http://schemas.openxmlformats.org/wordprocessingml/2006/main">
  <w:footnote w:id="-1">
    <w:p>
      <w:r>
        <w:separator/>
      </w:r>
    </w:p>
  </w:footnote>
  <w:footnote w:id="0">
    <w:p>
      <w:r>
        <w:continuationSeparator/>
      </w:r>
    </w:p>
  </w:footnote>
  <w:footnote w:id="1">
    <w:p>
      <w:r>
        <w:t xml:space="preserve">[</w:t>
      </w:r>
      <w:r>
        <w:footnoteRef/>
      </w:r>
      <w:r>
        <w:t xml:space="preserve">]参见最高人民检察院工作报告（2024年、2025年）。</w:t>
      </w:r>
    </w:p>
  </w:footnote>
  <w:footnote w:id="2">
    <w:p>
      <w:r>
        <w:t xml:space="preserve">[</w:t>
      </w:r>
      <w:r>
        <w:footnoteRef/>
      </w:r>
      <w:r>
        <w:t xml:space="preserve">]最高人民法院刑事审判第一庭编著：《认罪认罚从宽制度的理解与适用》，人民法院出版社2018年版，第78页。</w:t>
      </w:r>
    </w:p>
  </w:footnote>
  <w:footnote w:id="3">
    <w:p>
      <w:r>
        <w:t xml:space="preserve">[</w:t>
      </w:r>
      <w:r>
        <w:footnoteRef/>
      </w:r>
      <w:r>
        <w:t xml:space="preserve">]参见刘少军：《性质、内容及效力：完善认罪认罚从宽具结书的三个维度》，载《政法论坛》2020年第5期，第110页。</w:t>
      </w:r>
    </w:p>
  </w:footnote>
  <w:footnote w:id="4">
    <w:p>
      <w:r>
        <w:t xml:space="preserve">[</w:t>
      </w:r>
      <w:r>
        <w:footnoteRef/>
      </w:r>
      <w:r>
        <w:t xml:space="preserve">]参见万毅：《认罪认罚从宽程序解释和适用中的若干问题》，载《中国刑事法杂志》2019年第3期，第104页。</w:t>
      </w:r>
    </w:p>
  </w:footnote>
  <w:footnote w:id="5">
    <w:p>
      <w:r>
        <w:t xml:space="preserve">[</w:t>
      </w:r>
      <w:r>
        <w:footnoteRef/>
      </w:r>
      <w:r>
        <w:t xml:space="preserve">]例如，陈瑞华教授认为，认罪认罚具结书既具有“量刑协议书”的性质，也是检察机关确定量刑建议书的根据。参见陈瑞华：《论量刑协商的性质和效力》，载《中外法学》2020年第5期，第1136页。类似的观点还可参见秦宗文：《认罪认罚案件被追诉人反悔问题研究》，载《内蒙古社会科学（汉文版）》2019年第3期，第125页。</w:t>
      </w:r>
    </w:p>
  </w:footnote>
  <w:footnote w:id="6">
    <w:p>
      <w:r>
        <w:t xml:space="preserve">[</w:t>
      </w:r>
      <w:r>
        <w:footnoteRef/>
      </w:r>
      <w:r>
        <w:t xml:space="preserve">]《辞海》（第6版），上海辞书出版社2009年版，第1181页。</w:t>
      </w:r>
    </w:p>
  </w:footnote>
  <w:footnote w:id="7">
    <w:p>
      <w:r>
        <w:t xml:space="preserve">[</w:t>
      </w:r>
      <w:r>
        <w:footnoteRef/>
      </w:r>
      <w:r>
        <w:t xml:space="preserve">]例如，《美国联邦证据规则》第410条第（a）款和《美国联邦刑事诉讼规则》第11条第（f）款都规定，“在民事或刑事案件中，下列证据不能采纳为不利于作出答辩或参与答辩讨论的被告人不利的证据：（a）后来撤回的认罪答辩；（b）不争辩答辩；（c）根据联邦刑事诉讼规则第11条或者类似州程序，在进行上述答辩的程序中作出任何陈述；（d）在与控方律师的答辩讨论中作出的陈述，如果这些讨论未能产生认罪答辩，或者产生了后来被撤销的认罪答辩。”</w:t>
      </w:r>
    </w:p>
  </w:footnote>
  <w:footnote w:id="8">
    <w:p>
      <w:r>
        <w:t xml:space="preserve">[</w:t>
      </w:r>
      <w:r>
        <w:footnoteRef/>
      </w:r>
      <w:r>
        <w:t xml:space="preserve">]参见[美]理察德·伦伯特编：《证据故事》，魏晓娜译，中国人民大学出版社2012年版，第73页。</w:t>
      </w:r>
    </w:p>
  </w:footnote>
  <w:footnote w:id="9">
    <w:p>
      <w:r>
        <w:t xml:space="preserve">[</w:t>
      </w:r>
      <w:r>
        <w:footnoteRef/>
      </w:r>
      <w:r>
        <w:t xml:space="preserve">]《解释》第96条规定：“审查被告人供述和辩解，应当结合控辩双方提供的所有证据以及被告人的全部供述和辩解进行。被告人庭审中翻供，但不能合理说明翻供原因或者其辩解与全案证据矛盾，而其庭前供述与其他证据相互印证的，可以采信其庭前供述。被告人庭前供述和辩解存在反复，但庭审中供认，且与其他证据相互印证的，可以采信其庭审供述；被告人庭前供述和辩解存在反复，庭审中不供认，且无其他证据与庭前供述印证的，不得采信其庭前供述。”</w:t>
      </w:r>
    </w:p>
  </w:footnote>
  <w:footnote w:id="10">
    <w:p>
      <w:r>
        <w:t xml:space="preserve">[</w:t>
      </w:r>
      <w:r>
        <w:footnoteRef/>
      </w:r>
      <w:r>
        <w:t xml:space="preserve">]对抗制审判开展的前提是控辩双方必须存在实质性的分歧。为此，在正式起诉后、开庭审判之前设置具有分流作用的传讯程序（arraignment）。传讯程序的一个重要内容就是让被告人对指控作出答辩，被告人通常作出两种答辩：无罪答辩和认罪答辩。如果答辩无罪，则进入对抗式审判；如果答辩认罪，意味着控辩之间不存在实质性分歧，则对抗制审判从根本上不再举行，直接进入量刑程序。还有一种答辩是“不争辩答辩”（Nolo Contendere），这种答辩在刑事诉讼中的效力相当于认罪答辩，但在相关的民事诉讼中不具有认罪答辩的效力。被告人作“不争辩答辩”要经过法庭同意。</w:t>
      </w:r>
    </w:p>
  </w:footnote>
  <w:footnote w:id="11">
    <w:p>
      <w:r>
        <w:t xml:space="preserve">[</w:t>
      </w:r>
      <w:r>
        <w:footnoteRef/>
      </w:r>
      <w:r>
        <w:t xml:space="preserve">]参见《美国联邦刑事诉讼规则》第11条第（b）款第（3）项。</w:t>
      </w:r>
    </w:p>
  </w:footnote>
  <w:footnote w:id="12">
    <w:p>
      <w:r>
        <w:t xml:space="preserve">[</w:t>
      </w:r>
      <w:r>
        <w:footnoteRef/>
      </w:r>
      <w:r>
        <w:t xml:space="preserve">]参见[美]约书亚·德雷斯勒、艾伦·C.迈克尔斯：《美国刑事诉讼法精解》（第4版第2卷·刑事审判），魏晓娜译，北京大学出版社2009年版，第179页。</w:t>
      </w:r>
    </w:p>
  </w:footnote>
  <w:footnote w:id="13">
    <w:p>
      <w:r>
        <w:t xml:space="preserve">[</w:t>
      </w:r>
      <w:r>
        <w:footnoteRef/>
      </w:r>
      <w:r>
        <w:t xml:space="preserve">]所谓的“阿尔弗德答辩”，是指被告人在答辩程序中十分肯定地告诉法官自己没有实施答辩有罪的罪行，认罪答辩只是出于其他考虑，例如为了避免死刑。See North Carolina v. Alford 400 U. S. 25 (1970).</w:t>
      </w:r>
    </w:p>
  </w:footnote>
  <w:footnote w:id="14">
    <w:p>
      <w:r>
        <w:t xml:space="preserve">[</w:t>
      </w:r>
      <w:r>
        <w:footnoteRef/>
      </w:r>
      <w:r>
        <w:t xml:space="preserve">]同前注[12]，第177页。</w:t>
      </w:r>
    </w:p>
  </w:footnote>
  <w:footnote w:id="15">
    <w:p>
      <w:r>
        <w:t xml:space="preserve">[</w:t>
      </w:r>
      <w:r>
        <w:footnoteRef/>
      </w:r>
      <w:r>
        <w:t xml:space="preserve">]See In re Davis, 557 U. S. 952, 952 (2009). 传统上，人身保护令审查主要聚焦于法律和宪法层面的错误，这种审查不涉及无罪与否或事实方面的错误。但从1993年开始，为了限制人身保护令的申请，美国最高法院要求人身保护令申请人，除了要证明宪法权利被侵犯之外，还要承担相当高的证明自己事实上无辜的责任。这种无辜的主张，结合宪法权利被侵犯主张，成为申请人身保护令的门槛要求。独立的无辜主张，是与作为门槛的无辜主张相对而言，即仅以“无辜”作为理由申请人身保护令。</w:t>
      </w:r>
    </w:p>
  </w:footnote>
  <w:footnote w:id="16">
    <w:p>
      <w:r>
        <w:t xml:space="preserve">[</w:t>
      </w:r>
      <w:r>
        <w:footnoteRef/>
      </w:r>
      <w:r>
        <w:t xml:space="preserve">]See Kent Roach, Exceptional Procedures to Correct Miscarriages of Justice in Common Law Systems., Darryl K. Brown, Jenia Iontcheva Turner, and Bettina Weisser (eds.), The Oxford Handbook of Criminal Process, New York: Oxford University Press. 2019, p. 1080.</w:t>
      </w:r>
    </w:p>
  </w:footnote>
  <w:footnote w:id="17">
    <w:p>
      <w:r>
        <w:t xml:space="preserve">[</w:t>
      </w:r>
      <w:r>
        <w:footnoteRef/>
      </w:r>
      <w:r>
        <w:t xml:space="preserve">]See Bruton v. United States, 391 U. S. 123, 134 (1968).</w:t>
      </w:r>
    </w:p>
  </w:footnote>
  <w:footnote w:id="18">
    <w:p>
      <w:r>
        <w:t xml:space="preserve">[</w:t>
      </w:r>
      <w:r>
        <w:footnoteRef/>
      </w:r>
      <w:r>
        <w:t xml:space="preserve">]See Richardson v. Marsh, 481 U. S. 200, 210 (1987).</w:t>
      </w:r>
    </w:p>
  </w:footnote>
  <w:footnote w:id="19">
    <w:p>
      <w:r>
        <w:t xml:space="preserve">[</w:t>
      </w:r>
      <w:r>
        <w:footnoteRef/>
      </w:r>
      <w:r>
        <w:t xml:space="preserve">]参见龙宗智：《有组织犯罪案件分案审理问题研究》，载《法学研究》2021年第3期，第152页。</w:t>
      </w:r>
    </w:p>
  </w:footnote>
  <w:footnote w:id="20">
    <w:p>
      <w:r>
        <w:t xml:space="preserve">[</w:t>
      </w:r>
      <w:r>
        <w:footnoteRef/>
      </w:r>
      <w:r>
        <w:t xml:space="preserve">]参见江伟、常廷彬：《论已确认事实的预决力》，载《中国法学》2008年第3期，第102页。</w:t>
      </w:r>
    </w:p>
  </w:footnote>
  <w:footnote w:id="21">
    <w:p>
      <w:r>
        <w:t xml:space="preserve">[</w:t>
      </w:r>
      <w:r>
        <w:footnoteRef/>
      </w:r>
      <w:r>
        <w:t xml:space="preserve">]参见翁晓斌：《论已决事实的预决效力》，载《中国法学》2006年第4期；李浩：《民事证据的若干问题——兼评最高人民法院〈关于民事诉讼证据的司法解释〉》，载《法学研究》2002年第3期。</w:t>
      </w:r>
    </w:p>
  </w:footnote>
  <w:footnote w:id="22">
    <w:p>
      <w:r>
        <w:t xml:space="preserve">[</w:t>
      </w:r>
      <w:r>
        <w:footnoteRef/>
      </w:r>
      <w:r>
        <w:t xml:space="preserve">]参见[法]贝尔纳·布洛克：《法国刑事诉讼法》，罗结珍译，中国政法大学出版社2009年版，第562页。</w:t>
      </w:r>
    </w:p>
  </w:footnote>
  <w:footnote w:id="23">
    <w:p>
      <w:r>
        <w:t xml:space="preserve">[</w:t>
      </w:r>
      <w:r>
        <w:footnoteRef/>
      </w:r>
      <w:r>
        <w:t xml:space="preserve">]既判力的消极效力指的是既判力的阻却效力，即对于生效裁判中确认的同一人，不得再因生效裁判中确认的同一事，再行追诉；既判力的积极效力指的是裁判理由对其他诉讼的约束力。参见赵常成：《刑事案件的既判力理论研究》，中国人民大学2024年博士学位论文，第9-12页。</w:t>
      </w:r>
    </w:p>
  </w:footnote>
  <w:footnote w:id="24">
    <w:p>
      <w:r>
        <w:t xml:space="preserve">[</w:t>
      </w:r>
      <w:r>
        <w:footnoteRef/>
      </w:r>
      <w:r>
        <w:t xml:space="preserve">]同前注[22]，第564页。</w:t>
      </w:r>
    </w:p>
  </w:footnote>
  <w:footnote w:id="25">
    <w:p>
      <w:r>
        <w:t xml:space="preserve">[</w:t>
      </w:r>
      <w:r>
        <w:footnoteRef/>
      </w:r>
      <w:r>
        <w:t xml:space="preserve">]同前注[20]，第103页。</w:t>
      </w:r>
    </w:p>
  </w:footnote>
  <w:footnote w:id="26">
    <w:p>
      <w:r>
        <w:t xml:space="preserve">[</w:t>
      </w:r>
      <w:r>
        <w:footnoteRef/>
      </w:r>
      <w:r>
        <w:t xml:space="preserve">]同前注[22]，第564页。</w:t>
      </w:r>
    </w:p>
  </w:footnote>
  <w:footnote w:id="27">
    <w:p>
      <w:r>
        <w:t xml:space="preserve">[</w:t>
      </w:r>
      <w:r>
        <w:footnoteRef/>
      </w:r>
      <w:r>
        <w:t xml:space="preserve">]当然，何为事实“同一”，可能出现不同的标准。例如，《法国刑事诉讼法典》第368条规定：“任何人经依法宣告无罪，不因相同事实再次受到拘捕或起诉，即使是以不同罪名施行拘捕或起诉，亦同。”这里所持的是“自然事实同一”的标准，即“同一事实”是指生活上相同的事实，与这些事实在法律上被认定为何种罪名没有关系。但是，法国最高司法法院1983年5月19日又判决，即使此前对某一事实上的行为以过失致人死亡罪作出了有罪判决，又对此事实以“故意杀人罪”提起追诉仍然是符合规定的。这一判决似乎又认可“法律事实同一”的意见。</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
      <w:tblW w:w="5000" w:type="pct"/>
      <w:tblCellSpacing w:w="15" w:type="dxa"/>
      <w:tblInd w:w="15" w:type="dxa"/>
      <w:tblLayout w:type="autofit"/>
      <w:tblCellMar>
        <w:top w:w="15" w:type="dxa"/>
        <w:left w:w="15" w:type="dxa"/>
        <w:bottom w:w="15" w:type="dxa"/>
        <w:right w:w="15" w:type="dxa"/>
      </w:tblCellMar>
    </w:tblPr>
    <w:tblGrid>
      <w:gridCol w:w="4955"/>
      <w:gridCol w:w="5601"/>
    </w:tblGrid>
    <w:tr w14:paraId="0B6958B9">
      <w:tblPrEx>
        <w:tblCellMar>
          <w:top w:w="15" w:type="dxa"/>
          <w:left w:w="15" w:type="dxa"/>
          <w:bottom w:w="15" w:type="dxa"/>
          <w:right w:w="15" w:type="dxa"/>
        </w:tblCellMar>
      </w:tblPrEx>
      <w:trPr>
        <w:wBefore w:w="0" w:type="dxa"/>
        <w:tblCellSpacing w:w="15" w:type="dxa"/>
      </w:trPr>
      <w:tc>
        <w:tcPr>
          <w:tcW w:w="0" w:type="auto"/>
          <w:noWrap w:val="0"/>
          <w:tcMar>
            <w:top w:w="15" w:type="dxa"/>
            <w:left w:w="15" w:type="dxa"/>
            <w:bottom w:w="15" w:type="dxa"/>
            <w:right w:w="15" w:type="dxa"/>
          </w:tcMar>
          <w:vAlign w:val="center"/>
        </w:tcPr>
        <w:p w14:paraId="1A70CD43">
          <w:pPr>
            <w:rPr>
              <w:rFonts w:ascii="Times New Roman" w:hAnsi="Times New Roman" w:eastAsia="Times New Roman" w:cs="Times New Roman"/>
              <w:b w:val="0"/>
              <w:bCs w:val="0"/>
              <w:i w:val="0"/>
              <w:iCs w:val="0"/>
              <w:smallCaps w:val="0"/>
              <w:color w:val="000000"/>
              <w:sz w:val="24"/>
              <w:szCs w:val="24"/>
              <w:lang/>
            </w:rPr>
          </w:pPr>
          <w:r>
            <w:rPr>
              <w:rFonts w:ascii="Times New Roman" w:hAnsi="Times New Roman" w:eastAsia="Times New Roman" w:cs="Times New Roman"/>
              <w:b w:val="0"/>
              <w:bCs w:val="0"/>
              <w:i w:val="0"/>
              <w:iCs w:val="0"/>
              <w:smallCaps w:val="0"/>
              <w:strike w:val="0"/>
              <w:color w:val="000000"/>
              <w:u w:val="none"/>
              <w:lang/>
            </w:rPr>
            <w:drawing>
              <wp:inline distT="0" distB="0" distL="114300" distR="114300">
                <wp:extent cx="1733550" cy="304800"/>
                <wp:effectExtent l="0" t="0" r="635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
                        <a:stretch>
                          <a:fillRect/>
                        </a:stretch>
                      </pic:blipFill>
                      <pic:spPr>
                        <a:xfrm>
                          <a:off x="0" y="0"/>
                          <a:ext cx="1733550" cy="304800"/>
                        </a:xfrm>
                        <a:prstGeom prst="rect">
                          <a:avLst/>
                        </a:prstGeom>
                        <a:noFill/>
                        <a:ln>
                          <a:noFill/>
                        </a:ln>
                      </pic:spPr>
                    </pic:pic>
                  </a:graphicData>
                </a:graphic>
              </wp:inline>
            </w:drawing>
          </w:r>
        </w:p>
      </w:tc>
      <w:tc>
        <w:tcPr>
          <w:tcW w:w="0" w:type="auto"/>
          <w:noWrap w:val="0"/>
          <w:tcMar>
            <w:top w:w="15" w:type="dxa"/>
            <w:left w:w="15" w:type="dxa"/>
            <w:bottom w:w="15" w:type="dxa"/>
            <w:right w:w="15" w:type="dxa"/>
          </w:tcMar>
          <w:vAlign w:val="center"/>
        </w:tcPr>
        <w:p w14:paraId="12910A8E">
          <w:pPr>
            <w:jc w:val="right"/>
            <w:rPr>
              <w:rFonts w:ascii="宋体" w:hAnsi="宋体" w:eastAsia="宋体" w:cs="宋体"/>
              <w:b w:val="0"/>
              <w:bCs w:val="0"/>
              <w:i w:val="0"/>
              <w:iCs w:val="0"/>
              <w:smallCaps w:val="0"/>
              <w:color w:val="000000"/>
              <w:sz w:val="23"/>
              <w:szCs w:val="23"/>
              <w:lang/>
            </w:rPr>
          </w:pPr>
          <w:r>
            <w:rPr>
              <w:rFonts w:ascii="宋体" w:hAnsi="宋体" w:eastAsia="宋体" w:cs="宋体"/>
              <w:b w:val="0"/>
              <w:bCs w:val="0"/>
              <w:i w:val="0"/>
              <w:iCs w:val="0"/>
              <w:smallCaps w:val="0"/>
              <w:color w:val="000000"/>
              <w:sz w:val="23"/>
              <w:szCs w:val="23"/>
              <w:lang/>
            </w:rPr>
            <w:t>【法宝引证码】CLI.A.1393635</w:t>
          </w:r>
        </w:p>
      </w:tc>
    </w:tr>
  </w:tbl>
  <w:p w14:paraId="3EC5E8C9"/>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6DEDCC"/>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isplayHorizontalDrawingGridEvery w:val="1"/>
  <w:displayVerticalDrawingGridEvery w:val="1"/>
  <w:noPunctuationKerning w:val="1"/>
  <w:characterSpacingControl w:val="doNotCompress"/>
  <w:noLineBreaksAfter w:lang="zh-CN" w:val="([{·‘“〈《「『【〔〖（．［｛￡￥"/>
  <w:noLineBreaksBefore w:lang="zh-CN" w:val="!),.:;?]}¨·ˇˉ―‖’”…∶、。〃々〉》」』】〕〗！＂＇），．：；？］｀｜｝～￠"/>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7B3E"/>
    <w:rsid w:val="00A77B3E"/>
    <w:rsid w:val="00CA2A55"/>
    <w:rsid w:val="5D5C241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4"/>
      <w:szCs w:val="24"/>
    </w:rPr>
  </w:style>
  <w:style w:type="paragraph" w:styleId="2">
    <w:name w:val="heading 1"/>
    <w:basedOn w:val="1"/>
    <w:next w:val="1"/>
    <w:qFormat/>
    <w:uiPriority w:val="0"/>
    <w:pPr>
      <w:keepNext/>
      <w:spacing w:before="240" w:after="60"/>
      <w:outlineLvl w:val="0"/>
    </w:pPr>
    <w:rPr>
      <w:rFonts w:ascii="Arial" w:hAnsi="Arial" w:cs="Arial"/>
      <w:b/>
      <w:bCs/>
      <w:kern w:val="32"/>
      <w:sz w:val="32"/>
      <w:szCs w:val="32"/>
    </w:rPr>
  </w:style>
  <w:style w:type="character" w:default="1" w:styleId="4">
    <w:name w:val="Default Paragraph Font"/>
    <w:semiHidden/>
    <w:uiPriority w:val="0"/>
  </w:style>
  <w:style w:type="table" w:default="1" w:styleId="3">
    <w:name w:val="Normal Table"/>
    <w:semiHidden/>
    <w:uiPriority w:val="0"/>
    <w:tblPr>
      <w:tblStyle w:val="3"/>
      <w:tblCellMar>
        <w:top w:w="0" w:type="dxa"/>
        <w:left w:w="108" w:type="dxa"/>
        <w:bottom w:w="0" w:type="dxa"/>
        <w:right w:w="108" w:type="dxa"/>
      </w:tblCellMar>
    </w:tblPr>
    <w:trPr>
      <w:wBefore w:w="0" w:type="dxa"/>
    </w:trPr>
  </w:style>
  <w:style w:type="paragraph" w:customStyle="1" w:styleId="5">
    <w:name w:val="fulltext-wrap"/>
    <w:basedOn w:val="1"/>
    <w:uiPriority w:val="0"/>
    <w:pPr>
      <w:pBdr>
        <w:top w:val="none" w:color="auto" w:sz="0" w:space="18"/>
        <w:left w:val="none" w:color="auto" w:sz="0" w:space="18"/>
        <w:bottom w:val="none" w:color="auto" w:sz="0" w:space="18"/>
        <w:right w:val="none" w:color="auto" w:sz="0" w:space="18"/>
      </w:pBdr>
    </w:pPr>
  </w:style>
  <w:style w:type="paragraph" w:customStyle="1" w:styleId="6">
    <w:name w:val="fulltext-wrap_title"/>
    <w:basedOn w:val="1"/>
    <w:uiPriority w:val="0"/>
    <w:pPr>
      <w:jc w:val="center"/>
    </w:pPr>
    <w:rPr>
      <w:sz w:val="30"/>
      <w:szCs w:val="30"/>
    </w:rPr>
  </w:style>
  <w:style w:type="paragraph" w:customStyle="1" w:styleId="7">
    <w:name w:val="div"/>
    <w:basedOn w:val="1"/>
    <w:uiPriority w:val="0"/>
    <w:pPr>
      <w:pBdr>
        <w:top w:val="none" w:color="auto" w:sz="0" w:space="0"/>
        <w:left w:val="none" w:color="auto" w:sz="0" w:space="0"/>
        <w:bottom w:val="none" w:color="auto" w:sz="0" w:space="0"/>
        <w:right w:val="none" w:color="auto" w:sz="0" w:space="0"/>
      </w:pBdr>
      <w:textAlignment w:val="baseline"/>
    </w:pPr>
    <w:rPr>
      <w:sz w:val="24"/>
      <w:szCs w:val="24"/>
      <w:vertAlign w:val="baseline"/>
    </w:rPr>
  </w:style>
  <w:style w:type="paragraph" w:customStyle="1" w:styleId="8">
    <w:name w:val="divFullText"/>
    <w:basedOn w:val="1"/>
    <w:uiPriority w:val="0"/>
    <w:pPr>
      <w:spacing w:line="600" w:lineRule="atLeast"/>
    </w:pPr>
    <w:rPr>
      <w:rFonts w:ascii="宋体" w:hAnsi="宋体" w:eastAsia="宋体" w:cs="宋体"/>
      <w:color w:val="000000"/>
      <w:sz w:val="27"/>
      <w:szCs w:val="27"/>
    </w:rPr>
  </w:style>
  <w:style w:type="paragraph" w:customStyle="1" w:styleId="9">
    <w:name w:val="p"/>
    <w:basedOn w:val="1"/>
    <w:uiPriority w:val="0"/>
    <w:pPr>
      <w:pBdr>
        <w:top w:val="none" w:color="auto" w:sz="0" w:space="0"/>
        <w:left w:val="none" w:color="auto" w:sz="0" w:space="0"/>
        <w:bottom w:val="none" w:color="auto" w:sz="0" w:space="0"/>
        <w:right w:val="none" w:color="auto" w:sz="0" w:space="0"/>
      </w:pBdr>
      <w:textAlignment w:val="baseline"/>
    </w:pPr>
    <w:rPr>
      <w:sz w:val="24"/>
      <w:szCs w:val="24"/>
      <w:vertAlign w:val="baseline"/>
    </w:rPr>
  </w:style>
  <w:style w:type="character" w:customStyle="1" w:styleId="10">
    <w:name w:val="fulltext-wrap_fulltext_a"/>
    <w:basedOn w:val="4"/>
    <w:uiPriority w:val="0"/>
    <w:rPr>
      <w:color w:val="218FC4"/>
    </w:rPr>
  </w:style>
  <w:style w:type="character" w:customStyle="1" w:styleId="11">
    <w:name w:val="fulltext-wrap_navtiao"/>
    <w:basedOn w:val="4"/>
    <w:uiPriority w:val="0"/>
    <w:rPr>
      <w:b/>
      <w:bCs/>
    </w:rPr>
  </w:style>
  <w:style w:type="paragraph" w:customStyle="1" w:styleId="12">
    <w:name w:val="fulltext-wrap_fulltext_note-wrap"/>
    <w:basedOn w:val="1"/>
    <w:uiPriority w:val="0"/>
    <w:pPr>
      <w:pBdr>
        <w:top w:val="none" w:color="auto" w:sz="0" w:space="7"/>
        <w:left w:val="none" w:color="auto" w:sz="0" w:space="7"/>
        <w:bottom w:val="none" w:color="auto" w:sz="0" w:space="7"/>
        <w:right w:val="none" w:color="auto" w:sz="0" w:space="7"/>
      </w:pBdr>
      <w:shd w:val="clear" w:color="auto" w:fill="F6FAFF"/>
    </w:pPr>
    <w:rPr>
      <w:sz w:val="21"/>
      <w:szCs w:val="21"/>
      <w:shd w:val="clear" w:color="auto" w:fill="F6FAFF"/>
    </w:rPr>
  </w:style>
  <w:style w:type="character" w:customStyle="1" w:styleId="13">
    <w:name w:val="fulltext-wrap_fulltext_note-wrap_strong"/>
    <w:basedOn w:val="4"/>
    <w:uiPriority w:val="0"/>
    <w:rPr>
      <w:color w:val="8E1D1D"/>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Footnotes"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Pages>21</Pages>
  <Words>14037</Words>
  <Characters>14832</Characters>
  <Lines>1</Lines>
  <Paragraphs>1</Paragraphs>
  <TotalTime>0</TotalTime>
  <ScaleCrop>false</ScaleCrop>
  <LinksUpToDate>false</LinksUpToDate>
  <CharactersWithSpaces>14922</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2026-08-17T02:09:50Z</dcterms:created>
  <dc:creator>我的请求权基础呢</dc:creator>
  <cp:lastModifiedBy>chinese-paper-format-skill</cp:lastModifiedBy>
  <dcterms:modified xsi:type="dcterms:W3CDTF">2026-08-17T02:10:09Z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AA6C058078C241C8875C8CB742DB3103_13</vt:lpwstr>
  </property>
</Properties>
</file>