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17513B">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适用规则之争</w:t>
      </w:r>
    </w:p>
    <w:p w14:paraId="2D160A73">
      <w:pPr>
        <w:pStyle w:val="2"/>
        <w:bidi w:val="0"/>
        <w:jc w:val="center"/>
        <w:rPr>
          <w:rFonts w:hint="default"/>
          <w:b/>
          <w:bCs/>
          <w:lang w:val="en-US" w:eastAsia="zh-CN"/>
        </w:rPr>
        <w:spacing w:line="240" w:lineRule="auto" w:before="0" w:after="0" w:beforeLines="0" w:afterLines="0"/>
      </w:pPr>
      <w:r>
        <w:rPr>
          <w:rFonts w:hint="eastAsia" w:eastAsia="黑体" w:ascii="宋体" w:hAnsi="宋体" w:cs="宋体"/>
          <w:b w:val="0"/>
          <w:bCs/>
          <w:i w:val="0"/>
          <w:sz w:val="28"/>
          <w:lang w:val="en-US" w:eastAsia="zh-CN"/>
        </w:rPr>
        <w:t>调整规则中65条123款之间是何关系</w:t>
      </w:r>
    </w:p>
    <w:p w14:paraId="77842F2F">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65中损失的界定，跟584中损失的可预见性是否一样</w:t>
      </w:r>
    </w:p>
    <w:p w14:paraId="05BD47F9">
      <w:pPr>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用不用区分补偿性违约金与惩罚性违约金，补偿违约金是损害赔偿额预定，惩罚性的不是？违约金的损害赔偿额预定是不是等于584中的损害赔偿额</w:t>
      </w:r>
    </w:p>
    <w:p w14:paraId="7C2240FA">
      <w:pPr>
        <w:jc w:val="left"/>
        <w:rPr>
          <w:rFonts w:hint="default"/>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65条三款与违约方解除权的关系</w:t>
      </w:r>
      <w:bookmarkStart w:id="0" w:name="_GoBack"/>
      <w:bookmarkEnd w:id="0"/>
    </w:p>
    <w:p w14:paraId="41B855DF">
      <w:pPr>
        <w:pStyle w:val="2"/>
        <w:bidi w:val="0"/>
        <w:jc w:val="center"/>
        <w:rPr>
          <w:rFonts w:hint="eastAsia"/>
          <w:b/>
          <w:bCs/>
          <w:lang w:val="en-US" w:eastAsia="zh-CN"/>
        </w:rPr>
      </w:pPr>
    </w:p>
    <w:p w14:paraId="1E1E4E8C">
      <w:pPr>
        <w:pStyle w:val="2"/>
        <w:bidi w:val="0"/>
        <w:jc w:val="left"/>
        <w:rPr>
          <w:rFonts w:hint="eastAsia"/>
          <w:b/>
          <w:bCs/>
          <w:lang w:val="en-US" w:eastAsia="zh-CN"/>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竞业限制合同的违约金调整规则研究</w:t>
      </w:r>
    </w:p>
    <w:p w14:paraId="70FDD123">
      <w:pPr>
        <w:bidi w:val="0"/>
        <w:ind w:leftChars="0" w:firstLineChars="200" w:hangingChars="0"/>
        <w:jc w:val="left"/>
        <w:rPr>
          <w:rFonts w:hint="default" w:ascii="楷体" w:hAnsi="楷体" w:eastAsia="楷体" w:cs="楷体"/>
          <w:b w:val="0"/>
          <w:bCs w:val="0"/>
          <w:lang w:val="en-US" w:eastAsia="zh-CN"/>
        </w:rPr>
        <w:spacing w:line="240" w:lineRule="auto" w:before="0" w:after="0" w:beforeLines="0" w:afterLines="0"/>
      </w:pPr>
      <w:r>
        <w:rPr>
          <w:rFonts w:hint="eastAsia" w:ascii="宋体" w:hAnsi="宋体" w:eastAsia="宋体" w:cs="宋体"/>
          <w:b w:val="0"/>
          <w:i w:val="0"/>
          <w:sz w:val="21"/>
        </w:rPr>
        <w:t>[摘要]</w:t>
      </w:r>
      <w:r>
        <w:rPr>
          <w:rFonts w:hint="default" w:ascii="宋体" w:hAnsi="宋体" w:eastAsia="宋体" w:cs="宋体"/>
          <w:b w:val="0"/>
          <w:bCs w:val="0"/>
          <w:i w:val="0"/>
          <w:sz w:val="21"/>
          <w:lang w:val="en-US" w:eastAsia="zh-CN"/>
        </w:rPr>
        <w:t>竞业限制制度以保护用人单位商业秘密与知识产权相关保密事项为规范目的。《劳动合同法》第23条第2款虽明定劳动者违反竞业限制约定时“应当按照约定向用人单位支付违约金”，然对违约金的调整标准、调整限度及考量因素均未设明文，由此将违约金调整问题引向《民法典》第585条第2款之一般规则，而各地法院在适用该款时呈现出调整标准的多元并存与调整幅度的显著悬殊</w:t>
      </w:r>
      <w:r>
        <w:rPr>
          <w:rFonts w:hint="eastAsia" w:ascii="宋体" w:hAnsi="宋体" w:eastAsia="宋体" w:cs="宋体"/>
          <w:b w:val="0"/>
          <w:bCs w:val="0"/>
          <w:i w:val="0"/>
          <w:sz w:val="21"/>
          <w:lang w:val="en-US" w:eastAsia="zh-CN"/>
        </w:rPr>
        <w:t>。分歧在于</w:t>
      </w:r>
      <w:r>
        <w:rPr>
          <w:rFonts w:hint="default" w:ascii="宋体" w:hAnsi="宋体" w:eastAsia="宋体" w:cs="宋体"/>
          <w:b w:val="0"/>
          <w:bCs w:val="0"/>
          <w:i w:val="0"/>
          <w:sz w:val="21"/>
          <w:lang w:val="en-US" w:eastAsia="zh-CN"/>
        </w:rPr>
        <w:t>“过分高于造成的损失”在以不作为义务为标的的合同类型中缺乏统一的解释框架与具体化标准。竞业限制违约金在规范类型中属于“压力性违约金”，其核心功能在于担保不作为义务之履行而非填补实际损害；在此功能定性下，《民法典》第585条第2款“过分高于造成的损失”在竞业限制领域的适用，应对“损失”作目的解释，将用人单位竞争利益的“非典型损害”纳入其规范含义；司法调整之规范逻辑应以约定数额为基准展开动态比例权衡，通过正向因素与负向因素的系统互动，在用人单位竞争利益与劳动者职业自由之间寻求个案的具体均衡，并以结构性说理义务确保权衡过程的可检验性与可上诉性。</w:t>
      </w:r>
    </w:p>
    <w:p w14:paraId="61CF2242">
      <w:pPr>
        <w:bidi w:val="0"/>
        <w:ind w:leftChars="0" w:firstLineChars="200" w:hangingChars="0"/>
        <w:jc w:val="left"/>
        <w:rPr>
          <w:rFonts w:hint="eastAsia" w:ascii="楷体" w:hAnsi="楷体" w:eastAsia="宋体" w:cs="楷体"/>
          <w:b w:val="0"/>
          <w:bCs w:val="0"/>
          <w:lang w:val="en-US" w:eastAsia="zh-CN"/>
        </w:rPr>
        <w:spacing w:line="240" w:lineRule="auto" w:before="0" w:after="0" w:beforeLines="0" w:afterLines="0"/>
      </w:pPr>
      <w:r>
        <w:rPr>
          <w:rFonts w:hint="eastAsia" w:ascii="宋体" w:hAnsi="宋体" w:eastAsia="宋体" w:cs="宋体"/>
          <w:b w:val="0"/>
          <w:i w:val="0"/>
          <w:sz w:val="21"/>
        </w:rPr>
        <w:t>【关键词】</w:t>
      </w:r>
      <w:r>
        <w:rPr>
          <w:rFonts w:hint="eastAsia" w:ascii="宋体" w:hAnsi="宋体" w:eastAsia="宋体" w:cs="宋体"/>
          <w:b w:val="0"/>
          <w:bCs w:val="0"/>
          <w:i w:val="0"/>
          <w:sz w:val="21"/>
          <w:lang w:val="en-US" w:eastAsia="zh-CN"/>
        </w:rPr>
        <w:t>竞业限制违约金；压力功能；非典型损害；动态比例</w:t>
      </w:r>
    </w:p>
    <w:p w14:paraId="6F3B73CD">
      <w:pPr>
        <w:pStyle w:val="2"/>
        <w:bidi w:val="0"/>
        <w:jc w:val="center"/>
        <w:rPr>
          <w:rFonts w:hint="eastAsia"/>
          <w:b/>
          <w:bCs/>
          <w:lang w:val="en-US" w:eastAsia="zh-CN"/>
        </w:rPr>
        <w:spacing w:line="240" w:lineRule="auto" w:before="0" w:after="0" w:beforeLines="0" w:afterLines="0"/>
      </w:pPr>
      <w:r>
        <w:rPr>
          <w:rFonts w:hint="eastAsia" w:eastAsia="宋体" w:ascii="宋体" w:hAnsi="宋体" w:cs="宋体"/>
          <w:b/>
          <w:bCs/>
          <w:i w:val="0"/>
          <w:sz w:val="24"/>
          <w:lang w:val="en-US" w:eastAsia="zh-CN"/>
        </w:rPr>
        <w:t>引言</w:t>
      </w:r>
    </w:p>
    <w:p w14:paraId="5F955CA0">
      <w:pPr>
        <w:pStyle w:val="2"/>
        <w:bidi w:val="0"/>
        <w:jc w:val="left"/>
        <w:rPr>
          <w:rFonts w:hint="eastAsia"/>
          <w:lang w:val="en-US" w:eastAsia="zh-CN"/>
        </w:rPr>
        <w:spacing w:line="240" w:lineRule="auto" w:before="0" w:after="0" w:beforeLines="0" w:afterLines="0"/>
        <w:ind w:firstLineChars="200" w:leftChars="0" w:hangingChars="0"/>
      </w:pPr>
      <w:r>
        <w:rPr>
          <w:rFonts w:hint="eastAsia" w:cs="宋体" w:eastAsia="楷体" w:ascii="宋体" w:hAnsi="宋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竞业限制违约金调整的裁判分歧</w:t>
      </w:r>
    </w:p>
    <w:p w14:paraId="752C81A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《劳动合同法》第23条第2款仅规定劳动者违反竞业限制约定时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应当按照约定向用人单位支付违约金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对违约金的性质、调整标准及调整限度未设明文，由此将违约金调整问题引向《民法典》第585条第2款的一般规则，然而该款在竞业限制领域的适用中，呈现出调整标准的多元并存与调整幅度的显著悬殊。实务中部分法院以实际损失为基准进行比较，部分法院以竞业限制补偿金的倍数作为违约金上限，另有法院采用综合权衡模式，一并考量多项因素后裁量确定数额，三种路径并存于同一条文之下却彼此缺乏统一的解释框架。</w:t>
      </w:r>
      <w:r>
        <w:rPr>
          <w:rFonts w:hint="eastAsia" w:cs="宋体" w:eastAsia="宋体" w:ascii="宋体" w:hAnsi="宋体"/>
          <w:b w:val="0"/>
          <w:bCs w:val="0"/>
          <w:i w:val="0"/>
          <w:sz w:val="21"/>
          <w:szCs w:val="24"/>
          <w:lang w:val="en-US" w:eastAsia="zh-CN"/>
        </w:rPr>
        <w:t>例如在实践中，有的</w:t>
      </w:r>
      <w:r>
        <w:rPr>
          <w:rFonts w:ascii="宋体" w:hAnsi="宋体" w:eastAsia="宋体" w:cs="宋体"/>
          <w:b w:val="0"/>
          <w:bCs w:val="0"/>
          <w:i w:val="0"/>
          <w:sz w:val="21"/>
          <w:szCs w:val="24"/>
        </w:rPr>
        <w:t>法院以年补偿金标准的二倍为基准将违约金调整为6,960元，调减幅度高达92.3%</w:t>
      </w:r>
      <w:r>
        <w:rPr>
          <w:rStyle w:val="10"/>
          <w:rFonts w:ascii="宋体" w:hAnsi="宋体" w:eastAsia="宋体" w:cs="宋体"/>
          <w:b w:val="0"/>
          <w:bCs w:val="0"/>
          <w:i w:val="0"/>
          <w:sz w:val="21"/>
          <w:szCs w:val="24"/>
        </w:rPr>
        <w:footnoteReference w:id="0"/>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有的</w:t>
      </w:r>
      <w:r>
        <w:rPr>
          <w:rFonts w:ascii="宋体" w:hAnsi="宋体" w:eastAsia="宋体" w:cs="宋体"/>
          <w:b w:val="0"/>
          <w:bCs w:val="0"/>
          <w:i w:val="0"/>
          <w:sz w:val="21"/>
          <w:szCs w:val="24"/>
        </w:rPr>
        <w:t>法院将违约金</w:t>
      </w:r>
      <w:r>
        <w:rPr>
          <w:rFonts w:hint="eastAsia" w:cs="宋体" w:eastAsia="宋体" w:ascii="宋体" w:hAnsi="宋体"/>
          <w:b w:val="0"/>
          <w:bCs w:val="0"/>
          <w:i w:val="0"/>
          <w:sz w:val="21"/>
          <w:szCs w:val="24"/>
          <w:lang w:val="en-US" w:eastAsia="zh-CN"/>
        </w:rPr>
        <w:t>从150万元</w:t>
      </w:r>
      <w:r>
        <w:rPr>
          <w:rFonts w:ascii="宋体" w:hAnsi="宋体" w:eastAsia="宋体" w:cs="宋体"/>
          <w:b w:val="0"/>
          <w:bCs w:val="0"/>
          <w:i w:val="0"/>
          <w:sz w:val="21"/>
          <w:szCs w:val="24"/>
        </w:rPr>
        <w:t>调减至100万元，调减幅度约33%</w:t>
      </w:r>
      <w:r>
        <w:rPr>
          <w:rStyle w:val="10"/>
          <w:rFonts w:ascii="宋体" w:hAnsi="宋体" w:eastAsia="宋体" w:cs="宋体"/>
          <w:b w:val="0"/>
          <w:bCs w:val="0"/>
          <w:i w:val="0"/>
          <w:sz w:val="21"/>
          <w:szCs w:val="24"/>
        </w:rPr>
        <w:footnoteReference w:id="1"/>
      </w:r>
      <w:r>
        <w:rPr>
          <w:rFonts w:ascii="宋体" w:hAnsi="宋体" w:eastAsia="宋体" w:cs="宋体"/>
          <w:b w:val="0"/>
          <w:bCs w:val="0"/>
          <w:i w:val="0"/>
          <w:sz w:val="21"/>
          <w:szCs w:val="24"/>
        </w:rPr>
        <w:t>。两案均涉及不作为义务之违反，调整幅度却从不足三成到近乎全额调减，悬殊之巨折射出裁判标准的结构性分歧。</w:t>
      </w:r>
      <w:r>
        <w:rPr>
          <w:rFonts w:eastAsia="宋体" w:ascii="宋体" w:hAnsi="宋体" w:cs="宋体"/>
          <w:rStyle w:val="10"/>
          <w:b w:val="0"/>
          <w:i w:val="0"/>
          <w:sz w:val="21"/>
        </w:rPr>
        <w:footnoteReference w:id="2"/>
      </w:r>
    </w:p>
    <w:p w14:paraId="1D9B86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黄冠基于607份竞业限制违约金裁判文书的实证分析则进一步揭示竞业限制违约金案件中的酌减支持率显著高于一般合同纠纷，在超过70%的劳动竞业限制案件中，法院以补偿金总额的1-3倍为调整基准，呈现出对补偿金倍数的强烈路径依赖。此种</w:t>
      </w:r>
      <w:r>
        <w:rPr>
          <w:rFonts w:hint="eastAsia" w:cs="宋体" w:eastAsia="宋体" w:ascii="宋体" w:hAnsi="宋体"/>
          <w:b w:val="0"/>
          <w:bCs w:val="0"/>
          <w:i w:val="0"/>
          <w:sz w:val="21"/>
          <w:szCs w:val="24"/>
          <w:lang w:val="en-US" w:eastAsia="zh-CN"/>
        </w:rPr>
        <w:t>锚定</w:t>
      </w:r>
      <w:r>
        <w:rPr>
          <w:rFonts w:ascii="宋体" w:hAnsi="宋体" w:eastAsia="宋体" w:cs="宋体"/>
          <w:b w:val="0"/>
          <w:bCs w:val="0"/>
          <w:i w:val="0"/>
          <w:sz w:val="21"/>
          <w:szCs w:val="24"/>
        </w:rPr>
        <w:t>在规范层面缺乏充分依据——《民法典》第585条第2款以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为调整基准而非以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合同对价</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为基准——裁判实践却以一种缺乏规范论证的习惯性做法，将补偿金这一合同对价作为损失的代理变量。</w:t>
      </w:r>
      <w:r>
        <w:rPr>
          <w:rFonts w:eastAsia="宋体" w:ascii="宋体" w:hAnsi="宋体" w:cs="宋体"/>
          <w:rStyle w:val="10"/>
          <w:b w:val="0"/>
          <w:i w:val="0"/>
          <w:sz w:val="21"/>
        </w:rPr>
        <w:footnoteReference w:id="3"/>
      </w:r>
    </w:p>
    <w:p w14:paraId="2224D62A">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劳动竞业限制与商事竞业禁止在调整逻辑上存在系统性差异。在劳动竞业限制案件中，补偿金标准过低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部分案件月补偿金不足300元</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竞业范围泛化共同构成法院大幅调减的主要推动因素；而在商事竞业禁止案件中，股权转让对价、双方的商业谈判能力及交易的整体公平性成为法院考量的核心。然而这一区分目前停留于裁判直觉层面，尚未上升为自觉的类型化方法，法院在适用法律时往往凭经验感知两种类型之差异，却未能在规范论证层面明确区分标准与调整强度的对应关系。</w:t>
      </w:r>
    </w:p>
    <w:p w14:paraId="0F3B9916">
      <w:pPr>
        <w:spacing w:line="240" w:lineRule="auto" w:before="0" w:after="0" w:beforeLines="0" w:afterLines="0"/>
        <w:ind w:firstLineChars="200" w:leftChars="0" w:hangingChars="0"/>
        <w:jc w:val="left"/>
        <w:rPr>
          <w:rFonts w:hint="eastAsia" w:eastAsia="宋体"/>
          <w:lang w:eastAsia="zh-CN"/>
        </w:rPr>
      </w:pPr>
      <w:r>
        <w:rPr>
          <w:rFonts w:ascii="宋体" w:hAnsi="宋体" w:eastAsia="宋体" w:cs="宋体"/>
          <w:b w:val="0"/>
          <w:bCs w:val="0"/>
          <w:i w:val="0"/>
          <w:sz w:val="21"/>
          <w:szCs w:val="24"/>
        </w:rPr>
        <w:t>上述分歧的根源在于两项规范问题未获共识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《劳动合同法》第23条第2款的沉默与《民法典》第585条第2款之间究竟构成何种规范联系——前者是对后者的特别法修正，抑或仅是引致性条款；</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过分高于造成的损失</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在以不作为义务为标的的合同类型中应如何具体化</w:t>
      </w:r>
      <w:r>
        <w:rPr>
          <w:rFonts w:hint="eastAsia" w:cs="宋体" w:eastAsia="宋体" w:ascii="宋体" w:hAnsi="宋体"/>
          <w:b w:val="0"/>
          <w:bCs w:val="0"/>
          <w:i w:val="0"/>
          <w:sz w:val="21"/>
          <w:szCs w:val="24"/>
          <w:lang w:eastAsia="zh-CN"/>
        </w:rPr>
        <w:t>。</w:t>
      </w:r>
    </w:p>
    <w:p w14:paraId="2B099ED3">
      <w:pPr>
        <w:pStyle w:val="2"/>
        <w:bidi w:val="0"/>
        <w:jc w:val="left"/>
        <w:rPr>
          <w:rFonts w:hint="eastAsia"/>
          <w:lang w:val="en-US" w:eastAsia="zh-CN"/>
        </w:rPr>
        <w:spacing w:line="240" w:lineRule="auto" w:before="0" w:after="0" w:beforeLines="0" w:afterLines="0"/>
        <w:ind w:firstLineChars="200" w:leftChars="0" w:hangingChars="0"/>
      </w:pPr>
      <w:r>
        <w:rPr>
          <w:rFonts w:hint="eastAsia" w:eastAsia="楷体" w:ascii="宋体" w:hAnsi="宋体" w:cs="宋体"/>
          <w:b/>
          <w:bCs/>
          <w:i w:val="0"/>
          <w:sz w:val="24"/>
          <w:lang w:val="en-US" w:eastAsia="zh-CN"/>
        </w:rPr>
        <w:t>（二）</w:t>
      </w:r>
      <w:r>
        <w:rPr>
          <w:rFonts w:hint="eastAsia" w:cs="宋体" w:eastAsia="楷体" w:ascii="宋体" w:hAnsi="宋体"/>
          <w:b/>
          <w:bCs w:val="0"/>
          <w:i w:val="0"/>
          <w:kern w:val="2"/>
          <w:sz w:val="24"/>
          <w:szCs w:val="24"/>
          <w:lang w:val="en-US" w:eastAsia="zh-CN" w:bidi="ar-SA"/>
        </w:rPr>
        <w:t>文献综述</w:t>
      </w:r>
    </w:p>
    <w:p w14:paraId="1C0FC4E2">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违约金制度是合同法违约责任体系的核心。《民法典》第585条延续了原《合同法》第114条的基本框架，但违约金的功能定位与司法调整规则始终存在理论争议。</w:t>
      </w:r>
    </w:p>
    <w:p w14:paraId="1E957016">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姚明斌在《〈合同法〉第114条（约定违约金）评注》及专著《违约金论》中系统建构了违约金的“双重功能论”，认为违约金兼具补偿功能与</w:t>
      </w:r>
      <w:r>
        <w:rPr>
          <w:rFonts w:hint="eastAsia" w:eastAsia="宋体" w:ascii="宋体" w:hAnsi="宋体" w:cs="宋体"/>
          <w:b w:val="0"/>
          <w:i w:val="0"/>
          <w:sz w:val="21"/>
          <w:lang w:val="en-US" w:eastAsia="zh-CN"/>
        </w:rPr>
        <w:t>压力</w:t>
      </w:r>
      <w:r>
        <w:rPr>
          <w:rFonts w:ascii="宋体" w:hAnsi="宋体" w:eastAsia="宋体" w:cs="宋体"/>
          <w:b w:val="0"/>
          <w:i w:val="0"/>
          <w:sz w:val="21"/>
        </w:rPr>
        <w:t>功能，其功能配置取决于当事人约定意图而非事后与实际损害的比较，为后续研究奠定了教义学基础。</w:t>
      </w:r>
      <w:r>
        <w:rPr>
          <w:rStyle w:val="10"/>
          <w:rFonts w:ascii="宋体" w:hAnsi="宋体" w:eastAsia="宋体" w:cs="宋体"/>
          <w:b w:val="0"/>
          <w:i w:val="0"/>
          <w:sz w:val="21"/>
        </w:rPr>
        <w:footnoteReference w:id="4"/>
      </w:r>
      <w:r>
        <w:rPr>
          <w:rFonts w:ascii="宋体" w:hAnsi="宋体" w:eastAsia="宋体" w:cs="宋体"/>
          <w:b w:val="0"/>
          <w:i w:val="0"/>
          <w:sz w:val="21"/>
        </w:rPr>
        <w:t>邓辉、王浩然通过162个案例的实证分析，揭示司法实践普遍采用“补偿为主、惩罚为辅”的模式导致担保功能弱化，主张构建“担保为主、赔偿为辅”的价值体系</w:t>
      </w:r>
      <w:r>
        <w:rPr>
          <w:rStyle w:val="10"/>
          <w:rFonts w:ascii="宋体" w:hAnsi="宋体" w:eastAsia="宋体" w:cs="宋体"/>
          <w:b w:val="0"/>
          <w:i w:val="0"/>
          <w:sz w:val="21"/>
        </w:rPr>
        <w:footnoteReference w:id="5"/>
      </w:r>
      <w:r>
        <w:rPr>
          <w:rFonts w:ascii="宋体" w:hAnsi="宋体" w:eastAsia="宋体" w:cs="宋体"/>
          <w:b w:val="0"/>
          <w:i w:val="0"/>
          <w:sz w:val="21"/>
        </w:rPr>
        <w:t>。覃榆翔进一步提出功能主义路径，以“压力功能”与“补偿功能”替代传统二分，借助附条件法律行为理论，通过观察违约金生效条件的内部构造识别功能类型，为酌减规则的差异化适用提供了方案。</w:t>
      </w:r>
      <w:r>
        <w:rPr>
          <w:rStyle w:val="10"/>
          <w:rFonts w:ascii="宋体" w:hAnsi="宋体" w:eastAsia="宋体" w:cs="宋体"/>
          <w:b w:val="0"/>
          <w:i w:val="0"/>
          <w:sz w:val="21"/>
        </w:rPr>
        <w:footnoteReference w:id="6"/>
      </w:r>
      <w:r>
        <w:rPr>
          <w:rFonts w:ascii="宋体" w:hAnsi="宋体" w:eastAsia="宋体" w:cs="宋体"/>
          <w:b w:val="0"/>
          <w:i w:val="0"/>
          <w:sz w:val="21"/>
        </w:rPr>
        <w:t>许德风从本给付义务与次给付义务的区分入手，论证司法酌减应以公序良俗与诚实信用为最终目的，强调私法不当然排斥惩罚，裁判者应重视违约金预防和惩罚违约行为的社会功能。</w:t>
      </w:r>
      <w:r>
        <w:rPr>
          <w:rStyle w:val="10"/>
          <w:rFonts w:ascii="宋体" w:hAnsi="宋体" w:eastAsia="宋体" w:cs="宋体"/>
          <w:b w:val="0"/>
          <w:i w:val="0"/>
          <w:sz w:val="21"/>
        </w:rPr>
        <w:footnoteReference w:id="7"/>
      </w:r>
      <w:r>
        <w:rPr>
          <w:rFonts w:ascii="宋体" w:hAnsi="宋体" w:eastAsia="宋体" w:cs="宋体"/>
          <w:b w:val="0"/>
          <w:i w:val="0"/>
          <w:sz w:val="21"/>
        </w:rPr>
        <w:t>覃榆翔</w:t>
      </w:r>
      <w:r>
        <w:rPr>
          <w:rFonts w:hint="eastAsia" w:eastAsia="宋体" w:ascii="宋体" w:hAnsi="宋体" w:cs="宋体"/>
          <w:b w:val="0"/>
          <w:i w:val="0"/>
          <w:sz w:val="21"/>
          <w:lang w:val="en-US" w:eastAsia="zh-CN"/>
        </w:rPr>
        <w:t>还认为</w:t>
      </w:r>
      <w:r>
        <w:rPr>
          <w:rFonts w:ascii="宋体" w:hAnsi="宋体" w:eastAsia="宋体" w:cs="宋体"/>
          <w:b w:val="0"/>
          <w:i w:val="0"/>
          <w:sz w:val="21"/>
        </w:rPr>
        <w:t>司法酌减规则因混合继受德法模式已异化为以损失≤130%为核心的数字型酌减，主张回归至以“合意度”与“均衡度”为分析工具的合同效力控制框架。</w:t>
      </w:r>
      <w:r>
        <w:rPr>
          <w:rStyle w:val="10"/>
          <w:rFonts w:ascii="宋体" w:hAnsi="宋体" w:eastAsia="宋体" w:cs="宋体"/>
          <w:b w:val="0"/>
          <w:i w:val="0"/>
          <w:sz w:val="21"/>
        </w:rPr>
        <w:footnoteReference w:id="8"/>
      </w:r>
    </w:p>
    <w:p w14:paraId="22ED926D">
      <w:pPr>
        <w:ind w:firstLineChars="200" w:leftChars="0" w:hangingChars="0"/>
        <w:jc w:val="left"/>
        <w:rPr>
          <w:rFonts w:ascii="宋体" w:hAnsi="宋体" w:eastAsia="宋体"/>
          <w:sz w:val="24"/>
        </w:rPr>
        <w:spacing w:line="240" w:lineRule="auto" w:before="0" w:after="0" w:beforeLines="0" w:afterLines="0"/>
      </w:pPr>
      <w:r>
        <w:rPr>
          <w:rFonts w:ascii="宋体" w:hAnsi="宋体" w:eastAsia="宋体" w:cs="宋体"/>
          <w:b w:val="0"/>
          <w:i w:val="0"/>
          <w:sz w:val="21"/>
        </w:rPr>
        <w:t>刘承韪肯定了司法解释在明确恶意违约不得酌减、扩充考量因素等方面的进步，同时指出民商事合同区分对待的立法缺位。</w:t>
      </w:r>
      <w:r>
        <w:rPr>
          <w:rStyle w:val="10"/>
          <w:rFonts w:ascii="宋体" w:hAnsi="宋体" w:eastAsia="宋体" w:cs="宋体"/>
          <w:b w:val="0"/>
          <w:i w:val="0"/>
          <w:sz w:val="21"/>
        </w:rPr>
        <w:footnoteReference w:id="9"/>
      </w:r>
      <w:r>
        <w:rPr>
          <w:rFonts w:ascii="宋体" w:hAnsi="宋体" w:eastAsia="宋体" w:cs="宋体"/>
          <w:b w:val="0"/>
          <w:i w:val="0"/>
          <w:sz w:val="21"/>
        </w:rPr>
        <w:t>黄冠、邹爱华基于607份裁判文书的实证分析</w:t>
      </w:r>
      <w:r>
        <w:rPr>
          <w:rFonts w:hint="eastAsia" w:eastAsia="宋体" w:ascii="宋体" w:hAnsi="宋体" w:cs="宋体"/>
          <w:b w:val="0"/>
          <w:i w:val="0"/>
          <w:sz w:val="21"/>
          <w:lang w:val="en-US" w:eastAsia="zh-CN"/>
        </w:rPr>
        <w:t>指出了</w:t>
      </w:r>
      <w:r>
        <w:rPr>
          <w:rFonts w:ascii="宋体" w:hAnsi="宋体" w:eastAsia="宋体" w:cs="宋体"/>
          <w:b w:val="0"/>
          <w:i w:val="0"/>
          <w:sz w:val="21"/>
        </w:rPr>
        <w:t>65.9%的地方人民法院在认定违约金明显高于实际损失后仍予支持，80.6%的法院支持违约金与继续履行并用，83.6%的法院支持与返还经济补偿并用。该文据此论证竞业限制违约金惩罚性定位的规范正当性，建议设定数额上限、提高经济补偿最低标准。</w:t>
      </w:r>
      <w:r>
        <w:rPr>
          <w:rStyle w:val="10"/>
          <w:rFonts w:ascii="宋体" w:hAnsi="宋体" w:eastAsia="宋体" w:cs="宋体"/>
          <w:b w:val="0"/>
          <w:i w:val="0"/>
          <w:sz w:val="21"/>
        </w:rPr>
        <w:footnoteReference w:id="10"/>
      </w:r>
    </w:p>
    <w:p w14:paraId="6E72F5C6">
      <w:pPr>
        <w:ind w:firstLineChars="200" w:leftChars="0" w:hangingChars="0"/>
        <w:jc w:val="left"/>
        <w:spacing w:line="240" w:lineRule="auto" w:before="0" w:after="0" w:beforeLines="0" w:afterLines="0"/>
      </w:pPr>
      <w:r>
        <w:rPr>
          <w:rFonts w:ascii="宋体" w:hAnsi="宋体" w:eastAsia="宋体" w:cs="宋体"/>
          <w:b w:val="0"/>
          <w:bCs w:val="0"/>
          <w:i w:val="0"/>
          <w:sz w:val="21"/>
          <w:szCs w:val="24"/>
        </w:rPr>
        <w:t>本文在方法论上共享上述学者对</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以损失为酌减唯一基准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的批判立场，但在核心结论上持不同看法</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压力功能不排除司法调整之可能，因为第585条第2款以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约定的违约金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为调整对象，文义上未区分违约金的功能类型，以功能类型决定规则适用的解释路径缺乏文义基础；压力功能违约金同样可能导致不公平结果，尤其在劳动契约中缔约地位不对等的情形下，排除调整反而使结构性不对等固化于约定数额之中。</w:t>
      </w:r>
    </w:p>
    <w:p w14:paraId="1FDAB9F3">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二、竞业限制违约金的定位（585.1）</w:t>
      </w:r>
    </w:p>
    <w:p w14:paraId="36967985">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（一）违约金的双重功能</w:t>
      </w:r>
    </w:p>
    <w:p w14:paraId="45A81B54">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《民法典》第585条第1款将</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损失赔偿额的计算方法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并列，表明违约金是独立于损害赔偿计算方法的约定给付。从结构</w:t>
      </w:r>
      <w:r>
        <w:rPr>
          <w:rFonts w:hint="eastAsia" w:cs="宋体" w:eastAsia="宋体" w:ascii="宋体" w:hAnsi="宋体"/>
          <w:b w:val="0"/>
          <w:bCs w:val="0"/>
          <w:i w:val="0"/>
          <w:sz w:val="21"/>
          <w:szCs w:val="24"/>
          <w:lang w:val="en-US" w:eastAsia="zh-CN"/>
        </w:rPr>
        <w:t>上看</w:t>
      </w:r>
      <w:r>
        <w:rPr>
          <w:rFonts w:ascii="宋体" w:hAnsi="宋体" w:eastAsia="宋体" w:cs="宋体"/>
          <w:b w:val="0"/>
          <w:bCs w:val="0"/>
          <w:i w:val="0"/>
          <w:sz w:val="21"/>
          <w:szCs w:val="24"/>
        </w:rPr>
        <w:t>，第585条位于</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违约责任</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章，但结构位置所反映的仅是规范所规制的法律效果类型而非功能定性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第585条第3款规定迟延履行违约金可与继续履行并用，正是担保功能在违约责任架构内部的规范表达。</w:t>
      </w:r>
    </w:p>
    <w:p w14:paraId="676197EE">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违约金作为一种意定违约责任，当事人可以根据其双重功能而创设多种类型，</w:t>
      </w:r>
      <w:r>
        <w:rPr>
          <w:rFonts w:ascii="宋体" w:hAnsi="宋体" w:eastAsia="宋体" w:cs="宋体"/>
          <w:b w:val="0"/>
          <w:bCs w:val="0"/>
          <w:i w:val="0"/>
          <w:sz w:val="21"/>
          <w:szCs w:val="24"/>
        </w:rPr>
        <w:t>个案中</w:t>
      </w:r>
      <w:r>
        <w:rPr>
          <w:rFonts w:hint="eastAsia" w:cs="宋体" w:eastAsia="宋体" w:ascii="宋体" w:hAnsi="宋体"/>
          <w:b w:val="0"/>
          <w:bCs w:val="0"/>
          <w:i w:val="0"/>
          <w:sz w:val="21"/>
          <w:szCs w:val="24"/>
          <w:lang w:val="en-US" w:eastAsia="zh-CN"/>
        </w:rPr>
        <w:t>类型</w:t>
      </w:r>
      <w:r>
        <w:rPr>
          <w:rFonts w:ascii="宋体" w:hAnsi="宋体" w:eastAsia="宋体" w:cs="宋体"/>
          <w:b w:val="0"/>
          <w:bCs w:val="0"/>
          <w:i w:val="0"/>
          <w:sz w:val="21"/>
          <w:szCs w:val="24"/>
        </w:rPr>
        <w:t>的确定取决于合同类型特征与当事人的约定意图。在以不作为义务为标的的竞业限制合同中，担保功能必然居于主导地位，因为不作为义务违反所造成的损害在事后几乎无从证明与量化，这一特征使补偿功能在竞业限制领域的适用空间受到客观限制。邓辉、王浩然基于162个有效案例的统计表明，57.41%的案件中法院支持了当事人关于违约金具有惩罚性的主张，但同时在调整幅度上又普遍以“实际损失”为基准，这种“定性上承认惩罚性、定量上回归补偿性”的矛盾，恰恰说明功能定位的模糊直接导致了调整逻辑的混乱——法院在两个不可通约的判断框架间来回摇摆，未意识到定性判断与定量方法的错配。</w:t>
      </w:r>
      <w:r>
        <w:rPr>
          <w:rFonts w:eastAsia="宋体" w:ascii="宋体" w:hAnsi="宋体" w:cs="宋体"/>
          <w:rStyle w:val="10"/>
          <w:b w:val="0"/>
          <w:i w:val="0"/>
          <w:sz w:val="21"/>
        </w:rPr>
        <w:footnoteReference w:id="11"/>
      </w:r>
    </w:p>
    <w:p w14:paraId="43A94992">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ascii="宋体" w:hAnsi="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（二）传统二分法在竞业限制中的解释困境</w:t>
      </w:r>
    </w:p>
    <w:p w14:paraId="625A841D">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我国学界主流观点认为违约金可以分为补偿性违约金和惩罚性违约金，根据二者分类标准的不同进一步产生了“损害比较说”和“责任关系说”。“损失比较说”,是将违约金的惩罚性与补偿性之区别立基于违约金与实际损失的比较上。若违约金过分高于损失的，那么构成惩罚性违约金；若违约金没有过分高于实际损失的，则属于补偿性违约金。“责任关系说”建立在违约金责任能否与其他违约责任同时存在的关系上，即当违约方承担违约金责任后，非违约方能否要求违约方承担继续履行、损害赔偿的责任。倘若违约金可以与其他法定违约责任并存，那么就构成惩罚性违约金，若不能并存则是则是补偿性违约金。补偿性违约金和惩罚性违约金所侧重实现的利益不同，导致违约金司法酌减规则究竟应以何者作为适用对象渐生分歧。</w:t>
      </w:r>
    </w:p>
    <w:p w14:paraId="28DE1896">
      <w:pPr>
        <w:spacing w:line="240" w:lineRule="auto" w:before="0" w:after="0" w:beforeLines="0" w:afterLines="0"/>
        <w:ind w:firstLineChars="200" w:leftChars="0" w:hangingChars="0"/>
        <w:jc w:val="left"/>
        <w:rPr>
          <w:rFonts w:hint="eastAsia" w:cs="宋体"/>
          <w:b w:val="0"/>
          <w:bCs w:val="0"/>
          <w:sz w:val="24"/>
          <w:szCs w:val="24"/>
          <w:lang w:val="en-US" w:eastAsia="zh-CN"/>
        </w:rPr>
      </w:pPr>
      <w:r>
        <w:rPr>
          <w:rFonts w:hint="eastAsia" w:cs="宋体" w:eastAsia="宋体" w:ascii="宋体" w:hAnsi="宋体"/>
          <w:b w:val="0"/>
          <w:bCs w:val="0"/>
          <w:i w:val="0"/>
          <w:sz w:val="21"/>
          <w:szCs w:val="24"/>
          <w:lang w:val="en-US" w:eastAsia="zh-CN"/>
        </w:rPr>
        <w:t>若采取补偿性违约金与惩罚性违约金的二分法，并且在违约金调整阶段对不同类型的违约金是否调整以及调整幅度存在差异异化适用。二分法下的规则适用中，有观点认为我国实证法上的违约金从本质上看是补偿性违约金，因此需要通过违约金司法酌减规则将过高的违约金调整至债权人的实际损失相当，也即惩罚性违约金并不适用于违约金司法酌减规则。</w:t>
      </w:r>
      <w:r>
        <w:rPr>
          <w:rStyle w:val="10"/>
          <w:rFonts w:hint="eastAsia" w:cs="宋体" w:eastAsia="宋体" w:ascii="宋体" w:hAnsi="宋体"/>
          <w:b w:val="0"/>
          <w:bCs w:val="0"/>
          <w:i w:val="0"/>
          <w:sz w:val="21"/>
          <w:szCs w:val="24"/>
          <w:lang w:val="en-US" w:eastAsia="zh-CN"/>
        </w:rPr>
        <w:footnoteReference w:id="12"/>
      </w:r>
      <w:r>
        <w:rPr>
          <w:rFonts w:hint="eastAsia" w:cs="宋体" w:eastAsia="宋体" w:ascii="宋体" w:hAnsi="宋体"/>
          <w:b w:val="0"/>
          <w:bCs w:val="0"/>
          <w:i w:val="0"/>
          <w:sz w:val="21"/>
          <w:szCs w:val="24"/>
          <w:lang w:val="en-US" w:eastAsia="zh-CN"/>
        </w:rPr>
        <w:t>而有的学者却提出截然相反的观点，认为补偿性违约金作为当事人对损害赔偿额的预定，不适用违约金的司法酌减规则，而惩罚性违约金通过司法调整规则来达到其所担保的利益与实际遭受损失相当的结果。</w:t>
      </w:r>
      <w:r>
        <w:rPr>
          <w:rStyle w:val="10"/>
          <w:rFonts w:hint="eastAsia" w:cs="宋体" w:eastAsia="宋体" w:ascii="宋体" w:hAnsi="宋体"/>
          <w:b w:val="0"/>
          <w:bCs w:val="0"/>
          <w:i w:val="0"/>
          <w:sz w:val="21"/>
          <w:szCs w:val="24"/>
          <w:lang w:val="en-US" w:eastAsia="zh-CN"/>
        </w:rPr>
        <w:footnoteReference w:id="13"/>
      </w:r>
      <w:r>
        <w:rPr>
          <w:rFonts w:hint="eastAsia" w:cs="宋体" w:eastAsia="宋体" w:ascii="宋体" w:hAnsi="宋体"/>
          <w:b w:val="0"/>
          <w:bCs w:val="0"/>
          <w:i w:val="0"/>
          <w:sz w:val="21"/>
          <w:szCs w:val="24"/>
          <w:lang w:val="en-US" w:eastAsia="zh-CN"/>
        </w:rPr>
        <w:t>此外，“惩罚性违约金”概念本身就存在疑问，有学者主张违约金不属于民法上的惩罚，根本就不具有惩罚性的正当基础。</w:t>
      </w:r>
      <w:r>
        <w:rPr>
          <w:rStyle w:val="10"/>
          <w:rFonts w:hint="eastAsia" w:cs="宋体" w:eastAsia="宋体" w:ascii="宋体" w:hAnsi="宋体"/>
          <w:b w:val="0"/>
          <w:bCs w:val="0"/>
          <w:i w:val="0"/>
          <w:sz w:val="21"/>
          <w:szCs w:val="24"/>
          <w:lang w:val="en-US" w:eastAsia="zh-CN"/>
        </w:rPr>
        <w:footnoteReference w:id="14"/>
      </w:r>
      <w:r>
        <w:rPr>
          <w:rFonts w:hint="eastAsia" w:cs="宋体" w:eastAsia="宋体" w:ascii="宋体" w:hAnsi="宋体"/>
          <w:b w:val="0"/>
          <w:bCs w:val="0"/>
          <w:i w:val="0"/>
          <w:sz w:val="21"/>
          <w:szCs w:val="24"/>
          <w:lang w:val="en-US" w:eastAsia="zh-CN"/>
        </w:rPr>
        <w:t>在学理上适用对象尚不统一的情况下，实践中面对当事人基于意思自治设定的类型各异的违约金时，法官就需要先对当事人约定的违约金进行分类，决定哪种类型的违约金应适用调整规则，哪种违约金不适用调整规则。因此，将违约金的调整规则与违约金的类型识别挂钩，并不能为违约金司法调整规则提供明晰的适用路径。</w:t>
      </w:r>
    </w:p>
    <w:p w14:paraId="78FAC152">
      <w:pPr>
        <w:spacing w:line="240" w:lineRule="auto" w:before="0" w:after="0" w:beforeLines="0" w:afterLines="0"/>
        <w:ind w:firstLineChars="200" w:leftChars="0" w:hangingChars="0"/>
        <w:jc w:val="left"/>
        <w:rPr>
          <w:rFonts w:hint="default" w:cs="宋体"/>
          <w:b w:val="0"/>
          <w:bCs w:val="0"/>
          <w:sz w:val="24"/>
          <w:szCs w:val="24"/>
          <w:lang w:val="en-US" w:eastAsia="zh-CN"/>
        </w:rPr>
      </w:pPr>
      <w:r>
        <w:rPr>
          <w:rFonts w:hint="eastAsia" w:cs="宋体" w:eastAsia="宋体" w:ascii="宋体" w:hAnsi="宋体"/>
          <w:b w:val="0"/>
          <w:bCs w:val="0"/>
          <w:i w:val="0"/>
          <w:sz w:val="21"/>
          <w:szCs w:val="24"/>
          <w:lang w:val="en-US" w:eastAsia="zh-CN"/>
        </w:rPr>
        <w:t>此外，</w:t>
      </w:r>
      <w:r>
        <w:rPr>
          <w:rFonts w:ascii="宋体" w:hAnsi="宋体" w:eastAsia="宋体" w:cs="宋体"/>
          <w:b w:val="0"/>
          <w:bCs w:val="0"/>
          <w:i w:val="0"/>
          <w:sz w:val="21"/>
          <w:szCs w:val="24"/>
        </w:rPr>
        <w:t>“惩罚性违约金”与“补偿性违约金”的传统二分在竞业限制领域均面临解释障碍</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损失比较说”预设损害可量化之前提，而竞业限制违约所造成的商业秘密使用程度、客户流失数量和竞争优势减损均难以精确定量，作为比较基准的损害本身就缺乏可靠的计算方法；“责任并存说”以违约金是否可与法定违约责任并存为区分标准，但法定损害赔偿在竞业限制中本就几乎无从实现。两种标准的共同缺陷在于均采用“事后视角”，试图从违约发生后的状态反推违约金的功能属性而非从违约金约定本身的目的和结构进行事前判断</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而违约金的特点就在于其“预定性”</w:t>
      </w:r>
      <w:r>
        <w:rPr>
          <w:rFonts w:ascii="宋体" w:hAnsi="宋体" w:eastAsia="宋体" w:cs="宋体"/>
          <w:b w:val="0"/>
          <w:bCs w:val="0"/>
          <w:i w:val="0"/>
          <w:sz w:val="21"/>
          <w:szCs w:val="24"/>
        </w:rPr>
        <w:t>。</w:t>
      </w:r>
    </w:p>
    <w:p w14:paraId="39704F0C">
      <w:pPr>
        <w:spacing w:line="240" w:lineRule="auto" w:before="0" w:after="0" w:beforeLines="0" w:afterLines="0"/>
        <w:ind w:firstLineChars="200" w:leftChars="0" w:hangingChars="0"/>
        <w:jc w:val="left"/>
        <w:rPr>
          <w:rFonts w:hint="default" w:eastAsia="宋体"/>
          <w:lang w:val="en-US" w:eastAsia="zh-CN"/>
        </w:rPr>
      </w:pPr>
      <w:r>
        <w:rPr>
          <w:rFonts w:hint="eastAsia" w:cs="宋体" w:eastAsia="宋体" w:ascii="宋体" w:hAnsi="宋体"/>
          <w:b w:val="0"/>
          <w:bCs w:val="0"/>
          <w:i w:val="0"/>
          <w:sz w:val="21"/>
          <w:szCs w:val="24"/>
          <w:lang w:val="en-US" w:eastAsia="zh-CN"/>
        </w:rPr>
        <w:t>本文也认为纠结违约金的类型并无意义，应</w:t>
      </w:r>
      <w:r>
        <w:rPr>
          <w:rFonts w:ascii="宋体" w:hAnsi="宋体" w:eastAsia="宋体" w:cs="宋体"/>
          <w:b w:val="0"/>
          <w:bCs w:val="0"/>
          <w:i w:val="0"/>
          <w:sz w:val="21"/>
          <w:szCs w:val="24"/>
        </w:rPr>
        <w:t>将视角从“类型归类”转向“功能解释”</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法院在适用第585条第2款时不必先对违约金进行非此即彼的类型标签化，</w:t>
      </w:r>
      <w:r>
        <w:rPr>
          <w:rFonts w:hint="eastAsia" w:cs="宋体" w:eastAsia="宋体" w:ascii="宋体" w:hAnsi="宋体"/>
          <w:b w:val="0"/>
          <w:bCs w:val="0"/>
          <w:i w:val="0"/>
          <w:sz w:val="21"/>
          <w:szCs w:val="24"/>
          <w:lang w:val="en-US" w:eastAsia="zh-CN"/>
        </w:rPr>
        <w:t>违约金作为当事人之间合意的产物，不应局限于约定金额与实际损失之间的多少，而是着眼于当事人希望通过违约金约定来实现相应的合同利益的安排，</w:t>
      </w:r>
      <w:r>
        <w:rPr>
          <w:rFonts w:ascii="宋体" w:hAnsi="宋体" w:eastAsia="宋体" w:cs="宋体"/>
          <w:b w:val="0"/>
          <w:bCs w:val="0"/>
          <w:i w:val="0"/>
          <w:sz w:val="21"/>
          <w:szCs w:val="24"/>
        </w:rPr>
        <w:t>通过</w:t>
      </w:r>
      <w:r>
        <w:rPr>
          <w:rFonts w:hint="eastAsia" w:cs="宋体" w:eastAsia="宋体" w:ascii="宋体" w:hAnsi="宋体"/>
          <w:b w:val="0"/>
          <w:bCs w:val="0"/>
          <w:i w:val="0"/>
          <w:sz w:val="21"/>
          <w:szCs w:val="24"/>
          <w:lang w:val="en-US" w:eastAsia="zh-CN"/>
        </w:rPr>
        <w:t>当事人之间的约定以及</w:t>
      </w:r>
      <w:r>
        <w:rPr>
          <w:rFonts w:ascii="宋体" w:hAnsi="宋体" w:eastAsia="宋体" w:cs="宋体"/>
          <w:b w:val="0"/>
          <w:bCs w:val="0"/>
          <w:i w:val="0"/>
          <w:sz w:val="21"/>
          <w:szCs w:val="24"/>
        </w:rPr>
        <w:t>权衡双方利益决定是否调整及如何调整。</w:t>
      </w:r>
    </w:p>
    <w:p w14:paraId="0F6F9A6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default" w:ascii="宋体" w:hAnsi="宋体" w:eastAsia="宋体" w:cs="宋体"/>
          <w:b/>
          <w:bCs w:val="0"/>
          <w:kern w:val="2"/>
          <w:sz w:val="24"/>
          <w:szCs w:val="24"/>
          <w:lang w:val="en-US" w:eastAsia="zh-CN" w:bidi="ar-SA"/>
        </w:rPr>
      </w:pP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三</w:t>
      </w:r>
      <w:r>
        <w:rPr>
          <w:rFonts w:hint="eastAsia" w:ascii="宋体" w:hAnsi="宋体" w:cs="宋体" w:eastAsia="楷体"/>
          <w:b/>
          <w:bCs w:val="0"/>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竞业限制违约金的</w:t>
      </w:r>
      <w:r>
        <w:rPr>
          <w:rFonts w:hint="eastAsia" w:ascii="宋体" w:hAnsi="宋体" w:cs="宋体" w:eastAsia="楷体"/>
          <w:b/>
          <w:bCs w:val="0"/>
          <w:i w:val="0"/>
          <w:kern w:val="2"/>
          <w:sz w:val="24"/>
          <w:szCs w:val="24"/>
          <w:lang w:val="en-US" w:eastAsia="zh-CN" w:bidi="ar-SA"/>
        </w:rPr>
        <w:t>压力属性</w:t>
      </w:r>
    </w:p>
    <w:p w14:paraId="4F57DA73">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hint="eastAsia" w:cs="宋体" w:eastAsia="宋体" w:ascii="宋体" w:hAnsi="宋体"/>
          <w:b w:val="0"/>
          <w:bCs w:val="0"/>
          <w:i w:val="0"/>
          <w:sz w:val="21"/>
          <w:szCs w:val="24"/>
          <w:lang w:val="en-US" w:eastAsia="zh-CN"/>
        </w:rPr>
        <w:t>违约金的压力功能</w:t>
      </w:r>
      <w:r>
        <w:rPr>
          <w:rFonts w:ascii="宋体" w:hAnsi="宋体" w:eastAsia="宋体" w:cs="宋体"/>
          <w:b w:val="0"/>
          <w:bCs w:val="0"/>
          <w:i w:val="0"/>
          <w:sz w:val="21"/>
          <w:szCs w:val="24"/>
        </w:rPr>
        <w:t>是指合同当事人预先约定，通过在违约前设定高额给付义务，对债务人施加心理与经济双重履约压力，以担保合同义务履行的违约金类型。</w:t>
      </w:r>
      <w:r>
        <w:rPr>
          <w:rFonts w:hint="eastAsia" w:cs="宋体" w:eastAsia="宋体" w:ascii="宋体" w:hAnsi="宋体"/>
          <w:b w:val="0"/>
          <w:bCs w:val="0"/>
          <w:i w:val="0"/>
          <w:sz w:val="21"/>
          <w:szCs w:val="24"/>
          <w:lang w:val="en-US" w:eastAsia="zh-CN"/>
        </w:rPr>
        <w:t>如果说惩罚性违约金是从事后债权人可以获得的金额上来看，那么压力性违约金则是从违约事项发生前债务人的角度来进行描述，二者互为一体但侧重面有所不同。这种</w:t>
      </w:r>
      <w:r>
        <w:rPr>
          <w:rFonts w:ascii="宋体" w:hAnsi="宋体" w:eastAsia="宋体" w:cs="宋体"/>
          <w:b w:val="0"/>
          <w:bCs w:val="0"/>
          <w:i w:val="0"/>
          <w:sz w:val="21"/>
          <w:szCs w:val="24"/>
        </w:rPr>
        <w:t>“压力”描述的是违约金在违约前对债务人产生的行为激励效果。竞业限制合同的基本结构</w:t>
      </w:r>
      <w:r>
        <w:rPr>
          <w:rFonts w:hint="eastAsia" w:ascii="宋体" w:hAnsi="宋体" w:eastAsia="宋体" w:cs="宋体"/>
          <w:b w:val="0"/>
          <w:bCs w:val="0"/>
          <w:i w:val="0"/>
          <w:sz w:val="21"/>
          <w:szCs w:val="24"/>
          <w:lang w:val="en-US" w:eastAsia="zh-CN"/>
        </w:rPr>
        <w:t>为</w:t>
      </w:r>
      <w:r>
        <w:rPr>
          <w:rFonts w:ascii="宋体" w:hAnsi="宋体" w:eastAsia="宋体" w:cs="宋体"/>
          <w:b w:val="0"/>
          <w:bCs w:val="0"/>
          <w:i w:val="0"/>
          <w:sz w:val="21"/>
          <w:szCs w:val="24"/>
        </w:rPr>
        <w:t>用人单位负担积极给付义务（</w:t>
      </w:r>
      <w:r>
        <w:rPr>
          <w:rFonts w:hint="eastAsia" w:ascii="宋体" w:hAnsi="宋体" w:eastAsia="宋体" w:cs="宋体"/>
          <w:b w:val="0"/>
          <w:bCs w:val="0"/>
          <w:i w:val="0"/>
          <w:sz w:val="21"/>
          <w:szCs w:val="24"/>
          <w:lang w:val="en-US" w:eastAsia="zh-CN"/>
        </w:rPr>
        <w:t>支付</w:t>
      </w:r>
      <w:r>
        <w:rPr>
          <w:rFonts w:ascii="宋体" w:hAnsi="宋体" w:eastAsia="宋体" w:cs="宋体"/>
          <w:b w:val="0"/>
          <w:bCs w:val="0"/>
          <w:i w:val="0"/>
          <w:sz w:val="21"/>
          <w:szCs w:val="24"/>
        </w:rPr>
        <w:t>补偿金），劳动者负担消极不作为义务（不从事竞业活动</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这一类型</w:t>
      </w:r>
      <w:r>
        <w:rPr>
          <w:rFonts w:ascii="宋体" w:hAnsi="宋体" w:eastAsia="宋体" w:cs="宋体"/>
          <w:b w:val="0"/>
          <w:bCs w:val="0"/>
          <w:i w:val="0"/>
          <w:sz w:val="21"/>
          <w:szCs w:val="24"/>
        </w:rPr>
        <w:t>决定了违约行为的发生无法通过恢复原状</w:t>
      </w:r>
      <w:r>
        <w:rPr>
          <w:rFonts w:hint="eastAsia" w:cs="宋体" w:eastAsia="宋体" w:ascii="宋体" w:hAnsi="宋体"/>
          <w:b w:val="0"/>
          <w:bCs w:val="0"/>
          <w:i w:val="0"/>
          <w:sz w:val="21"/>
          <w:szCs w:val="24"/>
          <w:lang w:val="en-US" w:eastAsia="zh-CN"/>
        </w:rPr>
        <w:t>和继续履行</w:t>
      </w:r>
      <w:r>
        <w:rPr>
          <w:rFonts w:ascii="宋体" w:hAnsi="宋体" w:eastAsia="宋体" w:cs="宋体"/>
          <w:b w:val="0"/>
          <w:bCs w:val="0"/>
          <w:i w:val="0"/>
          <w:sz w:val="21"/>
          <w:szCs w:val="24"/>
        </w:rPr>
        <w:t>来补救，</w:t>
      </w:r>
      <w:r>
        <w:rPr>
          <w:rFonts w:hint="eastAsia" w:cs="宋体" w:eastAsia="宋体" w:ascii="宋体" w:hAnsi="宋体"/>
          <w:b w:val="0"/>
          <w:bCs w:val="0"/>
          <w:i w:val="0"/>
          <w:sz w:val="21"/>
          <w:szCs w:val="24"/>
          <w:lang w:val="en-US" w:eastAsia="zh-CN"/>
        </w:rPr>
        <w:t>同样也无法求助于作为继续履行替代的赔偿损失。</w:t>
      </w:r>
      <w:r>
        <w:rPr>
          <w:rFonts w:ascii="宋体" w:hAnsi="宋体" w:eastAsia="宋体" w:cs="宋体"/>
          <w:b w:val="0"/>
          <w:bCs w:val="0"/>
          <w:i w:val="0"/>
          <w:sz w:val="21"/>
          <w:szCs w:val="24"/>
        </w:rPr>
        <w:t>法定损害赔偿在此领域几乎无从提供有效救济，</w:t>
      </w:r>
      <w:r>
        <w:rPr>
          <w:rFonts w:hint="eastAsia" w:cs="宋体" w:eastAsia="宋体" w:ascii="宋体" w:hAnsi="宋体"/>
          <w:b w:val="0"/>
          <w:bCs w:val="0"/>
          <w:i w:val="0"/>
          <w:sz w:val="21"/>
          <w:szCs w:val="24"/>
          <w:lang w:val="en-US" w:eastAsia="zh-CN"/>
        </w:rPr>
        <w:t>竞业限制合同中</w:t>
      </w:r>
      <w:r>
        <w:rPr>
          <w:rFonts w:ascii="宋体" w:hAnsi="宋体" w:eastAsia="宋体" w:cs="宋体"/>
          <w:b w:val="0"/>
          <w:bCs w:val="0"/>
          <w:i w:val="0"/>
          <w:sz w:val="21"/>
          <w:szCs w:val="24"/>
        </w:rPr>
        <w:t>违约金制度的功能在于弥补</w:t>
      </w:r>
      <w:r>
        <w:rPr>
          <w:rFonts w:hint="eastAsia" w:cs="宋体" w:eastAsia="宋体" w:ascii="宋体" w:hAnsi="宋体"/>
          <w:b w:val="0"/>
          <w:bCs w:val="0"/>
          <w:i w:val="0"/>
          <w:sz w:val="21"/>
          <w:szCs w:val="24"/>
          <w:lang w:val="en-US" w:eastAsia="zh-CN"/>
        </w:rPr>
        <w:t>法定违约责任的</w:t>
      </w:r>
      <w:r>
        <w:rPr>
          <w:rFonts w:ascii="宋体" w:hAnsi="宋体" w:eastAsia="宋体" w:cs="宋体"/>
          <w:b w:val="0"/>
          <w:bCs w:val="0"/>
          <w:i w:val="0"/>
          <w:sz w:val="21"/>
          <w:szCs w:val="24"/>
        </w:rPr>
        <w:t>不足。从目的解释角度，竞业限制违约金约定的合理目的</w:t>
      </w:r>
      <w:r>
        <w:rPr>
          <w:rFonts w:hint="eastAsia" w:cs="宋体" w:eastAsia="宋体" w:ascii="宋体" w:hAnsi="宋体"/>
          <w:b w:val="0"/>
          <w:bCs w:val="0"/>
          <w:i w:val="0"/>
          <w:sz w:val="21"/>
          <w:szCs w:val="24"/>
          <w:lang w:val="en-US" w:eastAsia="zh-CN"/>
        </w:rPr>
        <w:t>是</w:t>
      </w:r>
      <w:r>
        <w:rPr>
          <w:rFonts w:ascii="宋体" w:hAnsi="宋体" w:eastAsia="宋体" w:cs="宋体"/>
          <w:b w:val="0"/>
          <w:bCs w:val="0"/>
          <w:i w:val="0"/>
          <w:sz w:val="21"/>
          <w:szCs w:val="24"/>
        </w:rPr>
        <w:t>在法定损害赔偿难以计算的情形下以约定的经济不利益威慑</w:t>
      </w:r>
      <w:r>
        <w:rPr>
          <w:rFonts w:hint="eastAsia" w:cs="宋体" w:eastAsia="宋体" w:ascii="宋体" w:hAnsi="宋体"/>
          <w:b w:val="0"/>
          <w:bCs w:val="0"/>
          <w:i w:val="0"/>
          <w:sz w:val="21"/>
          <w:szCs w:val="24"/>
          <w:lang w:val="en-US" w:eastAsia="zh-CN"/>
        </w:rPr>
        <w:t>债务人</w:t>
      </w:r>
      <w:r>
        <w:rPr>
          <w:rFonts w:ascii="宋体" w:hAnsi="宋体" w:eastAsia="宋体" w:cs="宋体"/>
          <w:b w:val="0"/>
          <w:bCs w:val="0"/>
          <w:i w:val="0"/>
          <w:sz w:val="21"/>
          <w:szCs w:val="24"/>
        </w:rPr>
        <w:t>遵守不作为义务</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使得债务人能够更加明确、清楚地感知其违约可能引发的不利后果</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15"/>
      </w:r>
    </w:p>
    <w:p w14:paraId="5DA2E298">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违约金事前施压</w:t>
      </w:r>
      <w:r>
        <w:rPr>
          <w:rFonts w:hint="eastAsia" w:cs="宋体" w:eastAsia="宋体" w:ascii="宋体" w:hAnsi="宋体"/>
          <w:b w:val="0"/>
          <w:bCs w:val="0"/>
          <w:i w:val="0"/>
          <w:sz w:val="21"/>
          <w:szCs w:val="24"/>
          <w:lang w:val="en-US" w:eastAsia="zh-CN"/>
        </w:rPr>
        <w:t>的压力功能</w:t>
      </w:r>
      <w:r>
        <w:rPr>
          <w:rFonts w:ascii="宋体" w:hAnsi="宋体" w:eastAsia="宋体" w:cs="宋体"/>
          <w:b w:val="0"/>
          <w:bCs w:val="0"/>
          <w:i w:val="0"/>
          <w:sz w:val="21"/>
          <w:szCs w:val="24"/>
        </w:rPr>
        <w:t>与事后调整</w:t>
      </w:r>
      <w:r>
        <w:rPr>
          <w:rFonts w:hint="eastAsia" w:cs="宋体" w:eastAsia="宋体" w:ascii="宋体" w:hAnsi="宋体"/>
          <w:b w:val="0"/>
          <w:bCs w:val="0"/>
          <w:i w:val="0"/>
          <w:sz w:val="21"/>
          <w:szCs w:val="24"/>
          <w:lang w:val="en-US" w:eastAsia="zh-CN"/>
        </w:rPr>
        <w:t>的补偿功能</w:t>
      </w:r>
      <w:r>
        <w:rPr>
          <w:rFonts w:ascii="宋体" w:hAnsi="宋体" w:eastAsia="宋体" w:cs="宋体"/>
          <w:b w:val="0"/>
          <w:bCs w:val="0"/>
          <w:i w:val="0"/>
          <w:sz w:val="21"/>
          <w:szCs w:val="24"/>
        </w:rPr>
        <w:t>应予以分离。</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民法典》</w:t>
      </w:r>
      <w:r>
        <w:rPr>
          <w:rFonts w:ascii="宋体" w:hAnsi="宋体" w:eastAsia="宋体" w:cs="宋体"/>
          <w:b w:val="0"/>
          <w:bCs w:val="0"/>
          <w:i w:val="0"/>
          <w:sz w:val="21"/>
          <w:szCs w:val="24"/>
        </w:rPr>
        <w:t>第585条第1款解决违约金是否产生的问题，第2款解决违约金应否调整的问题。在司法调整阶段，法院应首先确认违约金在竞业限制合同中属于压力性违约金，其次承认这一功能定位对调整逻辑的影响</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压力功能违约金适用利益权衡而非</w:t>
      </w:r>
      <w:r>
        <w:rPr>
          <w:rFonts w:hint="eastAsia" w:cs="宋体" w:eastAsia="宋体" w:ascii="宋体" w:hAnsi="宋体"/>
          <w:b w:val="0"/>
          <w:bCs w:val="0"/>
          <w:i w:val="0"/>
          <w:sz w:val="21"/>
          <w:szCs w:val="24"/>
          <w:lang w:val="en-US" w:eastAsia="zh-CN"/>
        </w:rPr>
        <w:t>只是根据损害数额进行调整的</w:t>
      </w:r>
      <w:r>
        <w:rPr>
          <w:rFonts w:ascii="宋体" w:hAnsi="宋体" w:eastAsia="宋体" w:cs="宋体"/>
          <w:b w:val="0"/>
          <w:bCs w:val="0"/>
          <w:i w:val="0"/>
          <w:sz w:val="21"/>
          <w:szCs w:val="24"/>
        </w:rPr>
        <w:t>逻辑，最后在第585条第2款统一框架内完成调整。功能与数额的分离不意味着功能不影响数额，功能是决定调整逻辑选择的关键变量</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强调</w:t>
      </w:r>
      <w:r>
        <w:rPr>
          <w:rFonts w:ascii="宋体" w:hAnsi="宋体" w:eastAsia="宋体" w:cs="宋体"/>
          <w:b w:val="0"/>
          <w:bCs w:val="0"/>
          <w:i w:val="0"/>
          <w:sz w:val="21"/>
          <w:szCs w:val="24"/>
        </w:rPr>
        <w:t>压力功能</w:t>
      </w:r>
      <w:r>
        <w:rPr>
          <w:rFonts w:hint="eastAsia" w:cs="宋体" w:eastAsia="宋体" w:ascii="宋体" w:hAnsi="宋体"/>
          <w:b w:val="0"/>
          <w:bCs w:val="0"/>
          <w:i w:val="0"/>
          <w:sz w:val="21"/>
          <w:szCs w:val="24"/>
          <w:lang w:val="en-US" w:eastAsia="zh-CN"/>
        </w:rPr>
        <w:t>的</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通过在违约前</w:t>
      </w:r>
      <w:r>
        <w:rPr>
          <w:rFonts w:ascii="宋体" w:hAnsi="宋体" w:eastAsia="宋体" w:cs="宋体"/>
          <w:b w:val="0"/>
          <w:bCs w:val="0"/>
          <w:i w:val="0"/>
          <w:sz w:val="21"/>
          <w:szCs w:val="24"/>
        </w:rPr>
        <w:t>以保持合理压力为目标，</w:t>
      </w:r>
      <w:r>
        <w:rPr>
          <w:rFonts w:hint="eastAsia" w:cs="宋体" w:eastAsia="宋体" w:ascii="宋体" w:hAnsi="宋体"/>
          <w:b w:val="0"/>
          <w:bCs w:val="0"/>
          <w:i w:val="0"/>
          <w:sz w:val="21"/>
          <w:szCs w:val="24"/>
          <w:lang w:val="en-US" w:eastAsia="zh-CN"/>
        </w:rPr>
        <w:t>为债权人提供履行担保的功能，</w:t>
      </w:r>
      <w:r>
        <w:rPr>
          <w:rFonts w:ascii="宋体" w:hAnsi="宋体" w:eastAsia="宋体" w:cs="宋体"/>
          <w:b w:val="0"/>
          <w:bCs w:val="0"/>
          <w:i w:val="0"/>
          <w:sz w:val="21"/>
          <w:szCs w:val="24"/>
        </w:rPr>
        <w:t>补偿功能违约金</w:t>
      </w:r>
      <w:r>
        <w:rPr>
          <w:rFonts w:hint="eastAsia" w:cs="宋体" w:eastAsia="宋体" w:ascii="宋体" w:hAnsi="宋体"/>
          <w:b w:val="0"/>
          <w:bCs w:val="0"/>
          <w:i w:val="0"/>
          <w:sz w:val="21"/>
          <w:szCs w:val="24"/>
          <w:lang w:val="en-US" w:eastAsia="zh-CN"/>
        </w:rPr>
        <w:t>更强调违约行为发生后</w:t>
      </w:r>
      <w:r>
        <w:rPr>
          <w:rFonts w:ascii="宋体" w:hAnsi="宋体" w:eastAsia="宋体" w:cs="宋体"/>
          <w:b w:val="0"/>
          <w:bCs w:val="0"/>
          <w:i w:val="0"/>
          <w:sz w:val="21"/>
          <w:szCs w:val="24"/>
        </w:rPr>
        <w:t>以填平损失为目标。</w:t>
      </w:r>
    </w:p>
    <w:p w14:paraId="509BFEA5">
      <w:pPr>
        <w:pStyle w:val="2"/>
        <w:bidi w:val="0"/>
        <w:jc w:val="left"/>
        <w:rPr>
          <w:rFonts w:hint="default" w:ascii="宋体" w:hAnsi="宋体" w:cs="宋体"/>
          <w:b/>
          <w:kern w:val="2"/>
          <w:sz w:val="24"/>
          <w:szCs w:val="24"/>
          <w:lang w:val="en-US" w:eastAsia="zh-CN" w:bidi="ar-SA"/>
        </w:rPr>
        <w:spacing w:line="240" w:lineRule="auto" w:before="0" w:after="0" w:beforeLines="0" w:afterLines="0"/>
        <w:ind w:firstLineChars="200" w:leftChars="0" w:hangingChars="0"/>
      </w:pPr>
      <w:r>
        <w:rPr>
          <w:rFonts w:hint="eastAsia" w:eastAsia="宋体" w:ascii="宋体" w:hAnsi="宋体" w:cs="宋体"/>
          <w:b w:val="0"/>
          <w:bCs/>
          <w:i w:val="0"/>
          <w:sz w:val="21"/>
          <w:lang w:val="en-US" w:eastAsia="zh-CN"/>
        </w:rPr>
        <w:t>三、司法调整的规范基础（585.2）价值基础，适用对象，启动模式，判断方式（65.123）关系</w:t>
      </w:r>
    </w:p>
    <w:p w14:paraId="12059BBB">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w:t>
      </w:r>
      <w:r>
        <w:rPr>
          <w:rFonts w:hint="eastAsia" w:ascii="宋体" w:hAnsi="宋体" w:eastAsia="楷体" w:cs="宋体"/>
          <w:b/>
          <w:i w:val="0"/>
          <w:kern w:val="2"/>
          <w:sz w:val="24"/>
          <w:szCs w:val="24"/>
          <w:lang w:val="en-US" w:eastAsia="zh-CN" w:bidi="ar-SA"/>
        </w:rPr>
        <w:t>一</w:t>
      </w:r>
      <w:r>
        <w:rPr>
          <w:rFonts w:hint="eastAsia" w:ascii="宋体" w:hAnsi="宋体" w:cs="宋体" w:eastAsia="楷体"/>
          <w:b/>
          <w:i w:val="0"/>
          <w:kern w:val="2"/>
          <w:sz w:val="24"/>
          <w:szCs w:val="24"/>
          <w:lang w:val="en-US" w:eastAsia="zh-CN" w:bidi="ar-SA"/>
        </w:rPr>
        <w:t>）《</w:t>
      </w:r>
      <w:r>
        <w:rPr>
          <w:rFonts w:hint="eastAsia" w:ascii="宋体" w:hAnsi="宋体" w:eastAsia="楷体" w:cs="宋体"/>
          <w:b/>
          <w:bCs w:val="0"/>
          <w:i w:val="0"/>
          <w:kern w:val="2"/>
          <w:sz w:val="24"/>
          <w:szCs w:val="24"/>
          <w:lang w:val="en-US" w:eastAsia="zh-CN" w:bidi="ar-SA"/>
        </w:rPr>
        <w:t>民法典》第585条第2款中“损失”的目的解释</w:t>
      </w:r>
    </w:p>
    <w:p w14:paraId="6CBA7851">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竞业限制中“损失”的特殊性在一般财产合同中，损失可以在经济上量化</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货物的转售差价、工程延误的额外费用、利润的减少</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这些</w:t>
      </w:r>
      <w:r>
        <w:rPr>
          <w:rFonts w:ascii="宋体" w:hAnsi="宋体" w:eastAsia="宋体" w:cs="宋体"/>
          <w:b w:val="0"/>
          <w:bCs w:val="0"/>
          <w:i w:val="0"/>
          <w:sz w:val="21"/>
          <w:szCs w:val="24"/>
        </w:rPr>
        <w:t>均有客观的计算基准可供参照。然而竞业限制以不作为义务为给付标的，其违约所造成的损害呈现出与一般财产合同截然不同的特殊性。</w:t>
      </w:r>
    </w:p>
    <w:p w14:paraId="39E28C5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者入职竞争企业后，其在原用人单位所获取的商业秘密和技术信息可能被使用，但这种使用是在竞争企业内部、以隐蔽方式进行的，原用人单位几乎不可能获取直接证据。哪怕劳动者本人无意泄露，其在竞争企业的工作本身就会产生</w:t>
      </w:r>
      <w:r>
        <w:rPr>
          <w:rFonts w:hint="eastAsia" w:cs="宋体" w:eastAsia="宋体" w:ascii="宋体" w:hAnsi="宋体"/>
          <w:b w:val="0"/>
          <w:bCs w:val="0"/>
          <w:i w:val="0"/>
          <w:sz w:val="21"/>
          <w:szCs w:val="24"/>
          <w:lang w:val="en-US" w:eastAsia="zh-CN"/>
        </w:rPr>
        <w:t>知</w:t>
      </w:r>
      <w:r>
        <w:rPr>
          <w:rFonts w:ascii="宋体" w:hAnsi="宋体" w:eastAsia="宋体" w:cs="宋体"/>
          <w:b w:val="0"/>
          <w:bCs w:val="0"/>
          <w:i w:val="0"/>
          <w:sz w:val="21"/>
          <w:szCs w:val="24"/>
        </w:rPr>
        <w:t>识溢出效应</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劳动者不可避免地将原用人单位的商业思维、技术判断和行业洞察带入新的工作环境，这些无形的知识转移同样构成竞争损害，但</w:t>
      </w:r>
      <w:r>
        <w:rPr>
          <w:rFonts w:hint="eastAsia" w:cs="宋体" w:eastAsia="宋体" w:ascii="宋体" w:hAnsi="宋体"/>
          <w:b w:val="0"/>
          <w:bCs w:val="0"/>
          <w:i w:val="0"/>
          <w:sz w:val="21"/>
          <w:szCs w:val="24"/>
          <w:lang w:val="en-US" w:eastAsia="zh-CN"/>
        </w:rPr>
        <w:t>这些无形损害</w:t>
      </w:r>
      <w:r>
        <w:rPr>
          <w:rFonts w:ascii="宋体" w:hAnsi="宋体" w:eastAsia="宋体" w:cs="宋体"/>
          <w:b w:val="0"/>
          <w:bCs w:val="0"/>
          <w:i w:val="0"/>
          <w:sz w:val="21"/>
          <w:szCs w:val="24"/>
        </w:rPr>
        <w:t>在经济学意义上几乎无法被分离和计量。正如美国第七巡回上诉法院在Redmond案中所指出的，“除非被告具有完美地分隔其知识的超凡能力，否则他必然会依靠在原告处获得的商业秘密来做出决定”</w:t>
      </w:r>
      <w:r>
        <w:rPr>
          <w:rStyle w:val="10"/>
          <w:rFonts w:ascii="宋体" w:hAnsi="宋体" w:eastAsia="宋体" w:cs="宋体"/>
          <w:b w:val="0"/>
          <w:bCs w:val="0"/>
          <w:i w:val="0"/>
          <w:sz w:val="21"/>
          <w:szCs w:val="24"/>
        </w:rPr>
        <w:footnoteReference w:id="16"/>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有学者通过分析</w:t>
      </w:r>
      <w:r>
        <w:rPr>
          <w:rFonts w:ascii="宋体" w:hAnsi="宋体" w:eastAsia="宋体" w:cs="宋体"/>
          <w:b w:val="0"/>
          <w:bCs w:val="0"/>
          <w:i w:val="0"/>
          <w:sz w:val="21"/>
          <w:szCs w:val="24"/>
        </w:rPr>
        <w:t>607份竞业限制违约金裁判文书，</w:t>
      </w:r>
      <w:r>
        <w:rPr>
          <w:rFonts w:hint="eastAsia" w:cs="宋体" w:eastAsia="宋体" w:ascii="宋体" w:hAnsi="宋体"/>
          <w:b w:val="0"/>
          <w:bCs w:val="0"/>
          <w:i w:val="0"/>
          <w:sz w:val="21"/>
          <w:szCs w:val="24"/>
          <w:lang w:val="en-US" w:eastAsia="zh-CN"/>
        </w:rPr>
        <w:t>发现</w:t>
      </w:r>
      <w:r>
        <w:rPr>
          <w:rFonts w:ascii="宋体" w:hAnsi="宋体" w:eastAsia="宋体" w:cs="宋体"/>
          <w:b w:val="0"/>
          <w:bCs w:val="0"/>
          <w:i w:val="0"/>
          <w:sz w:val="21"/>
          <w:szCs w:val="24"/>
        </w:rPr>
        <w:t>超过80%的用人单位未能就具体损失数额举出充分证据，但这并不妨碍法院在大多数案件中认定违约行为“必然造成一定损害”。法院在实际操作中已经默示承认了损害的存在独立于损害的量化证明。</w:t>
      </w:r>
      <w:r>
        <w:rPr>
          <w:rFonts w:eastAsia="宋体" w:ascii="宋体" w:hAnsi="宋体" w:cs="宋体"/>
          <w:rStyle w:val="10"/>
          <w:b w:val="0"/>
          <w:i w:val="0"/>
          <w:sz w:val="21"/>
        </w:rPr>
        <w:footnoteReference w:id="17"/>
      </w:r>
    </w:p>
    <w:p w14:paraId="5720BD5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争利益的减损不是一次性事件，而是在劳动者离职后的相当长时间内持续发生的。一个核心技术人员离职后，原用人单位的研发进度可能延迟，产品的市场窗口可能错过，客户可能逐渐转向竞争对手，这些损害在短期内难以察觉，在长期内难以归因到具体的违约行为。在技术迭代极快的行业中，六个月的市场窗口错失可能导致一个产品线的彻底失败；在以客户资源为核心的行业中，一个关键销售人员离职带走的客户资源可能在离职后持续产生订单流失，而这些流失往往无法与正常的客户流动区分开来。正是这种累积性与远期性，使得法院在事后以实际已发生的损失为基准来进行违约金调整时，系低估了违约的真实损害，裁判时能够被看到的损害只是全部损害的一小部分</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而难以准确界定预期风险</w:t>
      </w:r>
      <w:r>
        <w:rPr>
          <w:rFonts w:ascii="宋体" w:hAnsi="宋体" w:eastAsia="宋体" w:cs="宋体"/>
          <w:b w:val="0"/>
          <w:bCs w:val="0"/>
          <w:i w:val="0"/>
          <w:sz w:val="21"/>
          <w:szCs w:val="24"/>
        </w:rPr>
        <w:t>。</w:t>
      </w:r>
    </w:p>
    <w:p w14:paraId="410E5E71">
      <w:pPr>
        <w:spacing w:line="240" w:lineRule="auto" w:before="0" w:after="0" w:beforeLines="0" w:afterLines="0"/>
        <w:ind w:firstLineChars="200" w:leftChars="0" w:hangingChars="0"/>
        <w:jc w:val="left"/>
        <w:rPr>
          <w:rFonts w:hint="eastAsia" w:cs="宋体"/>
          <w:b w:val="0"/>
          <w:bCs w:val="0"/>
          <w:sz w:val="24"/>
          <w:szCs w:val="24"/>
          <w:lang w:eastAsia="zh-CN"/>
        </w:rPr>
      </w:pPr>
      <w:r>
        <w:rPr>
          <w:rFonts w:hint="eastAsia" w:cs="宋体" w:eastAsia="宋体" w:ascii="宋体" w:hAnsi="宋体"/>
          <w:b w:val="0"/>
          <w:bCs w:val="0"/>
          <w:i w:val="0"/>
          <w:sz w:val="21"/>
          <w:szCs w:val="24"/>
          <w:lang w:val="en-US" w:eastAsia="zh-CN"/>
        </w:rPr>
        <w:t>同时，</w:t>
      </w:r>
      <w:r>
        <w:rPr>
          <w:rFonts w:ascii="宋体" w:hAnsi="宋体" w:eastAsia="宋体" w:cs="宋体"/>
          <w:b w:val="0"/>
          <w:bCs w:val="0"/>
          <w:i w:val="0"/>
          <w:sz w:val="21"/>
          <w:szCs w:val="24"/>
        </w:rPr>
        <w:t>一旦商业秘密被泄露或被竞争对手知悉，“恢复原状”便永远不可</w:t>
      </w:r>
      <w:r>
        <w:rPr>
          <w:rFonts w:hint="eastAsia" w:cs="宋体" w:eastAsia="宋体" w:ascii="宋体" w:hAnsi="宋体"/>
          <w:b w:val="0"/>
          <w:bCs w:val="0"/>
          <w:i w:val="0"/>
          <w:sz w:val="21"/>
          <w:szCs w:val="24"/>
          <w:lang w:val="en-US" w:eastAsia="zh-CN"/>
        </w:rPr>
        <w:t>能。虽然</w:t>
      </w:r>
      <w:r>
        <w:rPr>
          <w:rFonts w:ascii="宋体" w:hAnsi="宋体" w:eastAsia="宋体" w:cs="宋体"/>
          <w:b w:val="0"/>
          <w:bCs w:val="0"/>
          <w:i w:val="0"/>
          <w:sz w:val="21"/>
          <w:szCs w:val="24"/>
        </w:rPr>
        <w:t>制度上存在通过替代履行恢复至损害前状态的路径，但商业秘密一旦进入竞争对手的知识结构便无法被有效收回。竞业限制违约金在功能上是禁令救济在合同层面的等价物，通过事前威慑来防止损害发生，其植根于损害一旦发生便无法有效救济这一特征。</w:t>
      </w:r>
      <w:r>
        <w:rPr>
          <w:rFonts w:hint="eastAsia" w:cs="宋体" w:eastAsia="宋体" w:ascii="宋体" w:hAnsi="宋体"/>
          <w:b w:val="0"/>
          <w:bCs w:val="0"/>
          <w:i w:val="0"/>
          <w:sz w:val="21"/>
          <w:szCs w:val="24"/>
          <w:lang w:val="en-US" w:eastAsia="zh-CN"/>
        </w:rPr>
        <w:t>因此以</w:t>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造成的损失</w:t>
      </w:r>
      <w:r>
        <w:rPr>
          <w:rFonts w:ascii="宋体" w:hAnsi="宋体" w:eastAsia="宋体" w:cs="宋体"/>
          <w:b w:val="0"/>
          <w:bCs w:val="0"/>
          <w:i w:val="0"/>
          <w:sz w:val="21"/>
          <w:szCs w:val="24"/>
        </w:rPr>
        <w:t>”为核心的违约金调整方法在竞业限制领域从逻辑起点上就已偏离了制度的功能定位</w:t>
      </w:r>
      <w:r>
        <w:rPr>
          <w:rFonts w:hint="eastAsia" w:cs="宋体" w:eastAsia="宋体" w:ascii="宋体" w:hAnsi="宋体"/>
          <w:b w:val="0"/>
          <w:bCs w:val="0"/>
          <w:i w:val="0"/>
          <w:sz w:val="21"/>
          <w:szCs w:val="24"/>
          <w:lang w:eastAsia="zh-CN"/>
        </w:rPr>
        <w:t>。</w:t>
      </w:r>
    </w:p>
    <w:p w14:paraId="1AA0C43B">
      <w:pPr>
        <w:spacing w:line="240" w:lineRule="auto" w:before="0" w:after="0" w:beforeLines="0" w:afterLines="0"/>
        <w:ind w:firstLineChars="200" w:leftChars="0" w:hangingChars="0"/>
        <w:jc w:val="left"/>
        <w:rPr>
          <w:rFonts w:hint="eastAsia" w:ascii="宋体" w:hAnsi="宋体" w:eastAsia="宋体" w:cs="宋体"/>
          <w:b w:val="0"/>
          <w:bCs w:val="0"/>
          <w:sz w:val="24"/>
          <w:szCs w:val="24"/>
          <w:lang w:val="en-US" w:eastAsia="zh-CN"/>
        </w:rPr>
      </w:pPr>
      <w:r>
        <w:rPr>
          <w:rFonts w:ascii="宋体" w:hAnsi="宋体" w:eastAsia="楷体" w:cs="宋体"/>
          <w:b/>
          <w:bCs/>
          <w:i w:val="0"/>
          <w:sz w:val="24"/>
          <w:szCs w:val="24"/>
        </w:rPr>
        <w:t>（二）</w:t>
      </w:r>
      <w:r>
        <w:rPr>
          <w:rFonts w:hint="eastAsia" w:ascii="宋体" w:hAnsi="宋体" w:eastAsia="楷体" w:cs="宋体"/>
          <w:b/>
          <w:bCs w:val="0"/>
          <w:i w:val="0"/>
          <w:sz w:val="24"/>
          <w:szCs w:val="24"/>
          <w:lang w:val="en-US" w:eastAsia="zh-CN"/>
        </w:rPr>
        <w:t>劳动竞业限制与商事竞业禁止的类型区分</w:t>
      </w:r>
    </w:p>
    <w:p w14:paraId="6BBAC593">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在进一步展开“非典型损害”概念之前，有必要对两种竞业限制进行类型化区分。这一区分在裁判实践中已经存在，但尚未被充分理论化。从现行法体系来看，竞业限制存在两种法律基础迥异的类型</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以《劳动合同法》第23-24条为基础的劳动</w:t>
      </w:r>
      <w:r>
        <w:rPr>
          <w:rFonts w:hint="eastAsia" w:cs="宋体" w:eastAsia="宋体" w:ascii="宋体" w:hAnsi="宋体"/>
          <w:b w:val="0"/>
          <w:bCs w:val="0"/>
          <w:i w:val="0"/>
          <w:sz w:val="21"/>
          <w:szCs w:val="24"/>
          <w:lang w:val="en-US" w:eastAsia="zh-CN"/>
        </w:rPr>
        <w:t>合同</w:t>
      </w:r>
      <w:r>
        <w:rPr>
          <w:rFonts w:hint="eastAsia" w:ascii="宋体" w:hAnsi="宋体" w:eastAsia="宋体" w:cs="宋体"/>
          <w:b w:val="0"/>
          <w:bCs w:val="0"/>
          <w:i w:val="0"/>
          <w:sz w:val="21"/>
          <w:szCs w:val="24"/>
          <w:lang w:val="en-US" w:eastAsia="zh-CN"/>
        </w:rPr>
        <w:t>中的竞业限制，以及以《民法典》合同编为基础的股权转让等商事交易中的竞业禁止。两种类型在缔约主体地位、义务对价结构和司法调整逻辑上均存在差异，将二者混同处理是导致裁判标准不一的重要根源</w:t>
      </w:r>
      <w:r>
        <w:rPr>
          <w:rFonts w:ascii="宋体" w:hAnsi="宋体" w:eastAsia="宋体" w:cs="宋体"/>
          <w:b w:val="0"/>
          <w:bCs w:val="0"/>
          <w:i w:val="0"/>
          <w:sz w:val="21"/>
          <w:szCs w:val="24"/>
        </w:rPr>
        <w:t>。</w:t>
      </w:r>
      <w:r>
        <w:rPr>
          <w:rFonts w:eastAsia="宋体" w:ascii="宋体" w:hAnsi="宋体" w:cs="宋体"/>
          <w:rStyle w:val="10"/>
          <w:b w:val="0"/>
          <w:i w:val="0"/>
          <w:sz w:val="21"/>
        </w:rPr>
        <w:footnoteReference w:id="18"/>
      </w:r>
    </w:p>
    <w:p w14:paraId="7891D92F">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第一类是劳动</w:t>
      </w:r>
      <w:r>
        <w:rPr>
          <w:rFonts w:hint="eastAsia" w:cs="宋体" w:eastAsia="宋体" w:ascii="宋体" w:hAnsi="宋体"/>
          <w:b w:val="0"/>
          <w:bCs w:val="0"/>
          <w:i w:val="0"/>
          <w:sz w:val="21"/>
          <w:szCs w:val="24"/>
          <w:lang w:val="en-US" w:eastAsia="zh-CN"/>
        </w:rPr>
        <w:t>合同</w:t>
      </w:r>
      <w:r>
        <w:rPr>
          <w:rFonts w:ascii="宋体" w:hAnsi="宋体" w:eastAsia="宋体" w:cs="宋体"/>
          <w:b w:val="0"/>
          <w:bCs w:val="0"/>
          <w:i w:val="0"/>
          <w:sz w:val="21"/>
          <w:szCs w:val="24"/>
        </w:rPr>
        <w:t>中的竞业限制。此类竞业限制以劳动关系为基础，缔约双方地位不对等，劳动者在签约时通常处于“要么全盘接受、要么放弃工作机会”的境地。补偿金制度是此类竞业限制的法定构成要素，用人单位必须为劳动者的不作为义务支付对价，且补偿金标准受到最低工资标准的间接约束。从案例实证来看，此类竞业限制中的违约金调整幅度最大。</w:t>
      </w:r>
      <w:r>
        <w:rPr>
          <w:rFonts w:hint="eastAsia" w:cs="宋体" w:eastAsia="宋体" w:ascii="宋体" w:hAnsi="宋体"/>
          <w:b w:val="0"/>
          <w:bCs w:val="0"/>
          <w:i w:val="0"/>
          <w:sz w:val="21"/>
          <w:szCs w:val="24"/>
          <w:lang w:val="en-US" w:eastAsia="zh-CN"/>
        </w:rPr>
        <w:t>例如在有的案例中，双方</w:t>
      </w:r>
      <w:r>
        <w:rPr>
          <w:rFonts w:ascii="宋体" w:hAnsi="宋体" w:eastAsia="宋体" w:cs="宋体"/>
          <w:b w:val="0"/>
          <w:bCs w:val="0"/>
          <w:i w:val="0"/>
          <w:sz w:val="21"/>
          <w:szCs w:val="24"/>
        </w:rPr>
        <w:t>约定了补偿金300元/月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低于最低工资标准）但是却将</w:t>
      </w:r>
      <w:r>
        <w:rPr>
          <w:rFonts w:ascii="宋体" w:hAnsi="宋体" w:eastAsia="宋体" w:cs="宋体"/>
          <w:b w:val="0"/>
          <w:bCs w:val="0"/>
          <w:i w:val="0"/>
          <w:sz w:val="21"/>
          <w:szCs w:val="24"/>
        </w:rPr>
        <w:t>违约金</w:t>
      </w:r>
      <w:r>
        <w:rPr>
          <w:rFonts w:hint="eastAsia" w:cs="宋体" w:eastAsia="宋体" w:ascii="宋体" w:hAnsi="宋体"/>
          <w:b w:val="0"/>
          <w:bCs w:val="0"/>
          <w:i w:val="0"/>
          <w:sz w:val="21"/>
          <w:szCs w:val="24"/>
          <w:lang w:val="en-US" w:eastAsia="zh-CN"/>
        </w:rPr>
        <w:t>的金额定为</w:t>
      </w:r>
      <w:r>
        <w:rPr>
          <w:rFonts w:ascii="宋体" w:hAnsi="宋体" w:eastAsia="宋体" w:cs="宋体"/>
          <w:b w:val="0"/>
          <w:bCs w:val="0"/>
          <w:i w:val="0"/>
          <w:sz w:val="21"/>
          <w:szCs w:val="24"/>
        </w:rPr>
        <w:t>30万元，</w:t>
      </w:r>
      <w:r>
        <w:rPr>
          <w:rFonts w:hint="eastAsia" w:cs="宋体" w:eastAsia="宋体" w:ascii="宋体" w:hAnsi="宋体"/>
          <w:b w:val="0"/>
          <w:bCs w:val="0"/>
          <w:i w:val="0"/>
          <w:sz w:val="21"/>
          <w:szCs w:val="24"/>
          <w:lang w:val="en-US" w:eastAsia="zh-CN"/>
        </w:rPr>
        <w:t>并且</w:t>
      </w:r>
      <w:r>
        <w:rPr>
          <w:rFonts w:ascii="宋体" w:hAnsi="宋体" w:eastAsia="宋体" w:cs="宋体"/>
          <w:b w:val="0"/>
          <w:bCs w:val="0"/>
          <w:i w:val="0"/>
          <w:sz w:val="21"/>
          <w:szCs w:val="24"/>
        </w:rPr>
        <w:t>用人单位从未实际支付补偿金，法院调减99.4%</w:t>
      </w:r>
      <w:r>
        <w:rPr>
          <w:rStyle w:val="10"/>
          <w:rFonts w:ascii="宋体" w:hAnsi="宋体" w:eastAsia="宋体" w:cs="宋体"/>
          <w:b w:val="0"/>
          <w:bCs w:val="0"/>
          <w:i w:val="0"/>
          <w:sz w:val="21"/>
          <w:szCs w:val="24"/>
        </w:rPr>
        <w:footnoteReference w:id="19"/>
      </w:r>
      <w:r>
        <w:rPr>
          <w:rFonts w:ascii="宋体" w:hAnsi="宋体" w:eastAsia="宋体" w:cs="宋体"/>
          <w:b w:val="0"/>
          <w:bCs w:val="0"/>
          <w:i w:val="0"/>
          <w:sz w:val="21"/>
          <w:szCs w:val="24"/>
        </w:rPr>
        <w:t>。</w:t>
      </w:r>
      <w:r>
        <w:rPr>
          <w:rFonts w:hint="eastAsia" w:cs="宋体" w:eastAsia="宋体" w:ascii="宋体" w:hAnsi="宋体"/>
          <w:b w:val="0"/>
          <w:bCs w:val="0"/>
          <w:i w:val="0"/>
          <w:sz w:val="21"/>
          <w:szCs w:val="24"/>
          <w:lang w:val="en-US" w:eastAsia="zh-CN"/>
        </w:rPr>
        <w:t>这种极端下调违约金的案件特点是</w:t>
      </w:r>
      <w:r>
        <w:rPr>
          <w:rFonts w:ascii="宋体" w:hAnsi="宋体" w:eastAsia="宋体" w:cs="宋体"/>
          <w:b w:val="0"/>
          <w:bCs w:val="0"/>
          <w:i w:val="0"/>
          <w:sz w:val="21"/>
          <w:szCs w:val="24"/>
        </w:rPr>
        <w:t>补偿金水平极低，违约金数额极高，两者之间的比例悬殊构成调整的主要推动力。</w:t>
      </w:r>
      <w:r>
        <w:rPr>
          <w:rFonts w:hint="eastAsia" w:cs="宋体" w:eastAsia="宋体" w:ascii="宋体" w:hAnsi="宋体"/>
          <w:b w:val="0"/>
          <w:bCs w:val="0"/>
          <w:i w:val="0"/>
          <w:sz w:val="21"/>
          <w:szCs w:val="24"/>
          <w:lang w:val="en-US" w:eastAsia="zh-CN"/>
        </w:rPr>
        <w:t>这种劳动合同中的竞业限制条款实际上是</w:t>
      </w:r>
      <w:r>
        <w:rPr>
          <w:rFonts w:ascii="宋体" w:hAnsi="宋体" w:eastAsia="宋体" w:cs="宋体"/>
          <w:b w:val="0"/>
          <w:bCs w:val="0"/>
          <w:i w:val="0"/>
          <w:sz w:val="21"/>
          <w:szCs w:val="24"/>
        </w:rPr>
        <w:t>部分用人单位将竞业限制作为格式条款适用于根本不接触商业秘密的普通员工，</w:t>
      </w:r>
      <w:r>
        <w:rPr>
          <w:rFonts w:hint="eastAsia" w:cs="宋体" w:eastAsia="宋体" w:ascii="宋体" w:hAnsi="宋体"/>
          <w:b w:val="0"/>
          <w:bCs w:val="0"/>
          <w:i w:val="0"/>
          <w:sz w:val="21"/>
          <w:szCs w:val="24"/>
          <w:lang w:val="en-US" w:eastAsia="zh-CN"/>
        </w:rPr>
        <w:t>劳</w:t>
      </w:r>
      <w:r>
        <w:rPr>
          <w:rFonts w:ascii="宋体" w:hAnsi="宋体" w:eastAsia="宋体" w:cs="宋体"/>
          <w:b w:val="0"/>
          <w:bCs w:val="0"/>
          <w:i w:val="0"/>
          <w:sz w:val="21"/>
          <w:szCs w:val="24"/>
        </w:rPr>
        <w:t>动者实际上被剥夺了在相关行业中的就业机会</w:t>
      </w:r>
      <w:r>
        <w:rPr>
          <w:rFonts w:hint="eastAsia" w:cs="宋体" w:eastAsia="宋体" w:ascii="宋体" w:hAnsi="宋体"/>
          <w:b w:val="0"/>
          <w:bCs w:val="0"/>
          <w:i w:val="0"/>
          <w:sz w:val="21"/>
          <w:szCs w:val="24"/>
          <w:lang w:eastAsia="zh-CN"/>
        </w:rPr>
        <w:t>，</w:t>
      </w:r>
      <w:r>
        <w:rPr>
          <w:rFonts w:eastAsia="宋体" w:ascii="宋体" w:hAnsi="宋体" w:cs="宋体"/>
          <w:rStyle w:val="10"/>
          <w:b w:val="0"/>
          <w:i w:val="0"/>
          <w:sz w:val="21"/>
        </w:rPr>
        <w:footnoteReference w:id="20"/>
      </w:r>
      <w:r>
        <w:rPr>
          <w:rFonts w:ascii="宋体" w:hAnsi="宋体" w:eastAsia="宋体" w:cs="宋体"/>
          <w:b w:val="0"/>
          <w:bCs w:val="0"/>
          <w:i w:val="0"/>
          <w:sz w:val="21"/>
          <w:szCs w:val="24"/>
        </w:rPr>
        <w:t>此类情形下违约金的正当性基础从根本上被削弱。</w:t>
      </w:r>
    </w:p>
    <w:p w14:paraId="44C6BAB3">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类是股权转让等商事交易中的竞业禁止。此类竞业禁止以股权转让、资产收购等商业交易为基础，缔约双方为平等商事主体，竞业禁止义务是交易对价的一部分，转让方通过承诺不竞争来换取股权转让款。此类竞业禁止的调整幅度明显低于劳动竞业限制。</w:t>
      </w:r>
      <w:r>
        <w:rPr>
          <w:rFonts w:hint="eastAsia" w:cs="宋体" w:eastAsia="宋体" w:ascii="宋体" w:hAnsi="宋体"/>
          <w:b w:val="0"/>
          <w:bCs w:val="0"/>
          <w:i w:val="0"/>
          <w:sz w:val="21"/>
          <w:szCs w:val="24"/>
          <w:lang w:val="en-US" w:eastAsia="zh-CN"/>
        </w:rPr>
        <w:t>例如</w:t>
      </w:r>
      <w:r>
        <w:rPr>
          <w:rFonts w:ascii="宋体" w:hAnsi="宋体" w:eastAsia="宋体" w:cs="宋体"/>
          <w:b w:val="0"/>
          <w:bCs w:val="0"/>
          <w:i w:val="0"/>
          <w:sz w:val="21"/>
          <w:szCs w:val="24"/>
        </w:rPr>
        <w:t>在（2016）黔01民终440号案中，转让方以18万元转让股权并承诺不竞争，违约金150万元</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最后</w:t>
      </w:r>
      <w:r>
        <w:rPr>
          <w:rFonts w:ascii="宋体" w:hAnsi="宋体" w:eastAsia="宋体" w:cs="宋体"/>
          <w:b w:val="0"/>
          <w:bCs w:val="0"/>
          <w:i w:val="0"/>
          <w:sz w:val="21"/>
          <w:szCs w:val="24"/>
        </w:rPr>
        <w:t>法院调减至100万元。</w:t>
      </w:r>
      <w:r>
        <w:rPr>
          <w:rStyle w:val="10"/>
          <w:rFonts w:ascii="宋体" w:hAnsi="宋体" w:eastAsia="宋体" w:cs="宋体"/>
          <w:b w:val="0"/>
          <w:bCs w:val="0"/>
          <w:i w:val="0"/>
          <w:sz w:val="21"/>
          <w:szCs w:val="24"/>
        </w:rPr>
        <w:footnoteReference w:id="21"/>
      </w:r>
      <w:r>
        <w:rPr>
          <w:rFonts w:ascii="宋体" w:hAnsi="宋体" w:eastAsia="宋体" w:cs="宋体"/>
          <w:b w:val="0"/>
          <w:bCs w:val="0"/>
          <w:i w:val="0"/>
          <w:sz w:val="21"/>
          <w:szCs w:val="24"/>
        </w:rPr>
        <w:t>法院</w:t>
      </w:r>
      <w:r>
        <w:rPr>
          <w:rFonts w:hint="eastAsia" w:cs="宋体" w:eastAsia="宋体" w:ascii="宋体" w:hAnsi="宋体"/>
          <w:b w:val="0"/>
          <w:bCs w:val="0"/>
          <w:i w:val="0"/>
          <w:sz w:val="21"/>
          <w:szCs w:val="24"/>
          <w:lang w:val="en-US" w:eastAsia="zh-CN"/>
        </w:rPr>
        <w:t>在论证过程中</w:t>
      </w:r>
      <w:r>
        <w:rPr>
          <w:rFonts w:ascii="宋体" w:hAnsi="宋体" w:eastAsia="宋体" w:cs="宋体"/>
          <w:b w:val="0"/>
          <w:bCs w:val="0"/>
          <w:i w:val="0"/>
          <w:sz w:val="21"/>
          <w:szCs w:val="24"/>
        </w:rPr>
        <w:t>首先明确区分了商事竞业禁止与劳动竞业限制的法律适用</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前者适用《民法典》合同编而非《劳动合同法》</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其次强调了违约金制度“避免举证困难”的功能，最后以股权转让对价18万元为参照认定150万元“显属过高”。</w:t>
      </w:r>
      <w:r>
        <w:rPr>
          <w:rFonts w:hint="eastAsia" w:cs="宋体" w:eastAsia="宋体" w:ascii="宋体" w:hAnsi="宋体"/>
          <w:b w:val="0"/>
          <w:bCs w:val="0"/>
          <w:i w:val="0"/>
          <w:sz w:val="21"/>
          <w:szCs w:val="24"/>
          <w:lang w:val="en-US" w:eastAsia="zh-CN"/>
        </w:rPr>
        <w:t>但是，</w:t>
      </w:r>
      <w:r>
        <w:rPr>
          <w:rFonts w:ascii="宋体" w:hAnsi="宋体" w:eastAsia="宋体" w:cs="宋体"/>
          <w:b w:val="0"/>
          <w:bCs w:val="0"/>
          <w:i w:val="0"/>
          <w:sz w:val="21"/>
          <w:szCs w:val="24"/>
        </w:rPr>
        <w:t>法院将股权转让对价作为调整的主要参照，而未系统考量违约造成的竞争利益损害。18万元是股权转让的市场价格而非“不竞争义务”的独立定价，将二者等同可能低估了竞业禁止义务在股权转让交易中的独立价值。</w:t>
      </w:r>
    </w:p>
    <w:p w14:paraId="591EC75D">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两种类型的区分对“损失”的解释具有直接意义。在劳动竞业限制中，缔约地位的不对等要求法院对“损失”采取更为审慎的解释，不能以当事人约定的违约金数额反推损失的大小，因为该约定可能并非平等协商的产物；补偿金</w:t>
      </w:r>
      <w:r>
        <w:rPr>
          <w:rFonts w:hint="eastAsia" w:cs="宋体" w:eastAsia="宋体" w:ascii="宋体" w:hAnsi="宋体"/>
          <w:b w:val="0"/>
          <w:bCs w:val="0"/>
          <w:i w:val="0"/>
          <w:sz w:val="21"/>
          <w:szCs w:val="24"/>
          <w:lang w:val="en-US" w:eastAsia="zh-CN"/>
        </w:rPr>
        <w:t>的数额</w:t>
      </w:r>
      <w:r>
        <w:rPr>
          <w:rFonts w:ascii="宋体" w:hAnsi="宋体" w:eastAsia="宋体" w:cs="宋体"/>
          <w:b w:val="0"/>
          <w:bCs w:val="0"/>
          <w:i w:val="0"/>
          <w:sz w:val="21"/>
          <w:szCs w:val="24"/>
        </w:rPr>
        <w:t>作为用人单位对“保护必要性”的估价，应成为调整的重要参照。在商事竞业禁止中，缔约双方的平等地位赋予约定数额更强的推定效力，在无相反证据时，约定数额本身可以被视为双方对“不竞争义务价值”的事前估价，法院调整时应更为节制。</w:t>
      </w:r>
    </w:p>
    <w:p w14:paraId="174A175D">
      <w:pPr>
        <w:spacing w:line="240" w:lineRule="auto" w:before="0" w:after="0" w:beforeLines="0" w:afterLines="0"/>
        <w:ind w:firstLineChars="200" w:leftChars="0" w:hangingChars="0"/>
        <w:jc w:val="left"/>
        <w:rPr>
          <w:rFonts w:hint="eastAsia" w:cs="宋体"/>
          <w:b/>
          <w:bCs/>
          <w:sz w:val="24"/>
          <w:szCs w:val="24"/>
          <w:lang w:val="en-US" w:eastAsia="zh-CN"/>
        </w:rPr>
      </w:pPr>
      <w:r>
        <w:rPr>
          <w:rFonts w:ascii="宋体" w:hAnsi="宋体" w:eastAsia="楷体" w:cs="宋体"/>
          <w:b/>
          <w:bCs/>
          <w:i w:val="0"/>
          <w:sz w:val="24"/>
          <w:szCs w:val="24"/>
        </w:rPr>
        <w:t>（三）</w:t>
      </w:r>
      <w:r>
        <w:rPr>
          <w:rFonts w:hint="eastAsia" w:cs="宋体" w:eastAsia="楷体" w:ascii="宋体" w:hAnsi="宋体"/>
          <w:b/>
          <w:bCs/>
          <w:i w:val="0"/>
          <w:sz w:val="24"/>
          <w:szCs w:val="24"/>
          <w:lang w:val="en-US" w:eastAsia="zh-CN"/>
        </w:rPr>
        <w:t>违约金制度中损失的范围</w:t>
      </w:r>
    </w:p>
    <w:p w14:paraId="592A72D8">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如果违约金仅能在“</w:t>
      </w:r>
      <w:r>
        <w:rPr>
          <w:rFonts w:hint="eastAsia" w:cs="宋体" w:eastAsia="宋体" w:ascii="宋体" w:hAnsi="宋体"/>
          <w:b w:val="0"/>
          <w:bCs w:val="0"/>
          <w:i w:val="0"/>
          <w:sz w:val="21"/>
          <w:szCs w:val="24"/>
          <w:lang w:val="en-US" w:eastAsia="zh-CN"/>
        </w:rPr>
        <w:t>造成的损失</w:t>
      </w:r>
      <w:r>
        <w:rPr>
          <w:rFonts w:hint="eastAsia" w:ascii="宋体" w:hAnsi="宋体" w:eastAsia="宋体" w:cs="宋体"/>
          <w:b w:val="0"/>
          <w:bCs w:val="0"/>
          <w:i w:val="0"/>
          <w:sz w:val="21"/>
          <w:szCs w:val="24"/>
          <w:lang w:val="en-US" w:eastAsia="zh-CN"/>
        </w:rPr>
        <w:t>”范围内被支持，而</w:t>
      </w:r>
      <w:r>
        <w:rPr>
          <w:rFonts w:hint="eastAsia" w:cs="宋体" w:eastAsia="宋体" w:ascii="宋体" w:hAnsi="宋体"/>
          <w:b w:val="0"/>
          <w:bCs w:val="0"/>
          <w:i w:val="0"/>
          <w:sz w:val="21"/>
          <w:szCs w:val="24"/>
          <w:lang w:val="en-US" w:eastAsia="zh-CN"/>
        </w:rPr>
        <w:t>在这种不作为义务合同中，不作为义务违反的</w:t>
      </w:r>
      <w:r>
        <w:rPr>
          <w:rFonts w:hint="eastAsia" w:ascii="宋体" w:hAnsi="宋体" w:eastAsia="宋体" w:cs="宋体"/>
          <w:b w:val="0"/>
          <w:bCs w:val="0"/>
          <w:i w:val="0"/>
          <w:sz w:val="21"/>
          <w:szCs w:val="24"/>
          <w:lang w:val="en-US" w:eastAsia="zh-CN"/>
        </w:rPr>
        <w:t>实际损失又几乎无从证明</w:t>
      </w:r>
      <w:r>
        <w:rPr>
          <w:rFonts w:hint="eastAsia" w:cs="宋体" w:eastAsia="宋体" w:ascii="宋体" w:hAnsi="宋体"/>
          <w:b w:val="0"/>
          <w:bCs w:val="0"/>
          <w:i w:val="0"/>
          <w:sz w:val="21"/>
          <w:szCs w:val="24"/>
          <w:lang w:val="en-US" w:eastAsia="zh-CN"/>
        </w:rPr>
        <w:t>。违约金作为一种意定违约责任</w:t>
      </w:r>
      <w:r>
        <w:rPr>
          <w:rFonts w:hint="eastAsia" w:ascii="宋体" w:hAnsi="宋体" w:eastAsia="宋体" w:cs="宋体"/>
          <w:b w:val="0"/>
          <w:bCs w:val="0"/>
          <w:i w:val="0"/>
          <w:sz w:val="21"/>
          <w:szCs w:val="24"/>
          <w:lang w:val="en-US" w:eastAsia="zh-CN"/>
        </w:rPr>
        <w:t>，</w:t>
      </w:r>
      <w:r>
        <w:rPr>
          <w:rFonts w:hint="eastAsia" w:cs="宋体" w:eastAsia="宋体" w:ascii="宋体" w:hAnsi="宋体"/>
          <w:b w:val="0"/>
          <w:bCs w:val="0"/>
          <w:i w:val="0"/>
          <w:sz w:val="21"/>
          <w:szCs w:val="24"/>
          <w:lang w:val="en-US" w:eastAsia="zh-CN"/>
        </w:rPr>
        <w:t>本身就有简化损害举证的功能，</w:t>
      </w:r>
      <w:r>
        <w:rPr>
          <w:rFonts w:hint="eastAsia" w:ascii="宋体" w:hAnsi="宋体" w:eastAsia="宋体" w:cs="宋体"/>
          <w:b w:val="0"/>
          <w:bCs w:val="0"/>
          <w:i w:val="0"/>
          <w:sz w:val="21"/>
          <w:szCs w:val="24"/>
          <w:lang w:val="en-US" w:eastAsia="zh-CN"/>
        </w:rPr>
        <w:t>如果违约金只能在损害被充分证明的前提下获支持，救济效率优势便荡然无存</w:t>
      </w:r>
      <w:r>
        <w:rPr>
          <w:rFonts w:ascii="宋体" w:hAnsi="宋体" w:eastAsia="宋体" w:cs="宋体"/>
          <w:b w:val="0"/>
          <w:bCs/>
          <w:i w:val="0"/>
          <w:sz w:val="21"/>
          <w:szCs w:val="24"/>
        </w:rPr>
        <w:t>。</w:t>
      </w:r>
      <w:r>
        <w:rPr>
          <w:rFonts w:eastAsia="宋体" w:ascii="宋体" w:hAnsi="宋体" w:cs="宋体"/>
          <w:rStyle w:val="10"/>
          <w:b w:val="0"/>
          <w:i w:val="0"/>
          <w:sz w:val="21"/>
        </w:rPr>
        <w:footnoteReference w:id="22"/>
      </w:r>
    </w:p>
    <w:p w14:paraId="4A495C4B">
      <w:pPr>
        <w:spacing w:line="240" w:lineRule="auto" w:before="0" w:after="0" w:beforeLines="0" w:afterLines="0"/>
        <w:ind w:firstLineChars="200" w:leftChars="0" w:hangingChars="0"/>
        <w:jc w:val="left"/>
      </w:pPr>
      <w:r>
        <w:rPr>
          <w:rFonts w:hint="eastAsia" w:ascii="宋体" w:hAnsi="宋体" w:eastAsia="宋体" w:cs="宋体"/>
          <w:b w:val="0"/>
          <w:bCs w:val="0"/>
          <w:i w:val="0"/>
          <w:sz w:val="21"/>
          <w:szCs w:val="24"/>
          <w:lang w:val="en-US" w:eastAsia="zh-CN"/>
        </w:rPr>
        <w:t>在竞业限制领域，《民法典》第585条第2款</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造成的损失</w:t>
      </w:r>
      <w:r>
        <w:rPr>
          <w:rFonts w:hint="eastAsia" w:cs="宋体" w:eastAsia="宋体" w:ascii="宋体" w:hAnsi="宋体"/>
          <w:b w:val="0"/>
          <w:bCs w:val="0"/>
          <w:i w:val="0"/>
          <w:sz w:val="21"/>
          <w:szCs w:val="24"/>
          <w:lang w:val="en-US" w:eastAsia="zh-CN"/>
        </w:rPr>
        <w:t>”</w:t>
      </w:r>
      <w:r>
        <w:rPr>
          <w:rFonts w:hint="eastAsia" w:ascii="宋体" w:hAnsi="宋体" w:eastAsia="宋体" w:cs="宋体"/>
          <w:b w:val="0"/>
          <w:bCs w:val="0"/>
          <w:i w:val="0"/>
          <w:sz w:val="21"/>
          <w:szCs w:val="24"/>
          <w:lang w:val="en-US" w:eastAsia="zh-CN"/>
        </w:rPr>
        <w:t>应作实质解释，它不仅包括可量化的财产损失，还应涵盖对用人单位竞争利益的非典型损害。非典型损害不是第585条第2款</w:t>
      </w:r>
      <w:r>
        <w:rPr>
          <w:rFonts w:hint="eastAsia" w:cs="宋体" w:eastAsia="宋体" w:ascii="宋体" w:hAnsi="宋体"/>
          <w:b w:val="0"/>
          <w:bCs w:val="0"/>
          <w:i w:val="0"/>
          <w:sz w:val="21"/>
          <w:szCs w:val="24"/>
          <w:lang w:val="en-US" w:eastAsia="zh-CN"/>
        </w:rPr>
        <w:t>“损失”</w:t>
      </w:r>
      <w:r>
        <w:rPr>
          <w:rFonts w:hint="eastAsia" w:ascii="宋体" w:hAnsi="宋体" w:eastAsia="宋体" w:cs="宋体"/>
          <w:b w:val="0"/>
          <w:bCs w:val="0"/>
          <w:i w:val="0"/>
          <w:sz w:val="21"/>
          <w:szCs w:val="24"/>
          <w:lang w:val="en-US" w:eastAsia="zh-CN"/>
        </w:rPr>
        <w:t>之外的独立范畴，而是损失在竞业限制这一特定合同类型中的具体表现形式。</w:t>
      </w:r>
      <w:r>
        <w:rPr>
          <w:rFonts w:hint="eastAsia" w:cs="宋体" w:eastAsia="宋体" w:ascii="宋体" w:hAnsi="宋体"/>
          <w:b w:val="0"/>
          <w:bCs w:val="0"/>
          <w:i w:val="0"/>
          <w:sz w:val="21"/>
          <w:szCs w:val="24"/>
          <w:lang w:val="en-US" w:eastAsia="zh-CN"/>
        </w:rPr>
        <w:t>将根据法定规则本来无法填补的非典型损害通过违约金约定来将其纳入可以避免债权因损害那里计算或者因果关系较远而无法获得救济。</w:t>
      </w:r>
      <w:r>
        <w:rPr>
          <w:rStyle w:val="10"/>
          <w:rFonts w:hint="eastAsia" w:cs="宋体" w:eastAsia="宋体" w:ascii="宋体" w:hAnsi="宋体"/>
          <w:b w:val="0"/>
          <w:bCs w:val="0"/>
          <w:i w:val="0"/>
          <w:sz w:val="21"/>
          <w:szCs w:val="24"/>
          <w:lang w:val="en-US" w:eastAsia="zh-CN"/>
        </w:rPr>
        <w:footnoteReference w:id="23"/>
      </w:r>
      <w:r>
        <w:rPr>
          <w:rFonts w:ascii="宋体" w:hAnsi="宋体" w:eastAsia="宋体" w:cs="宋体"/>
          <w:b w:val="0"/>
          <w:bCs w:val="0"/>
          <w:i w:val="0"/>
          <w:sz w:val="21"/>
          <w:szCs w:val="24"/>
        </w:rPr>
        <w:t>具体而言，</w:t>
      </w:r>
      <w:r>
        <w:rPr>
          <w:rFonts w:hint="eastAsia" w:cs="宋体" w:eastAsia="宋体" w:ascii="宋体" w:hAnsi="宋体"/>
          <w:b w:val="0"/>
          <w:bCs w:val="0"/>
          <w:i w:val="0"/>
          <w:sz w:val="21"/>
          <w:szCs w:val="24"/>
          <w:lang w:val="en-US" w:eastAsia="zh-CN"/>
        </w:rPr>
        <w:t>竞业限制合同中可能涉及的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以下几个方面</w:t>
      </w:r>
      <w:r>
        <w:rPr>
          <w:rFonts w:ascii="宋体" w:hAnsi="宋体" w:eastAsia="宋体" w:cs="宋体"/>
          <w:b w:val="0"/>
          <w:bCs w:val="0"/>
          <w:i w:val="0"/>
          <w:sz w:val="21"/>
          <w:szCs w:val="24"/>
        </w:rPr>
        <w:t>。其一，竞争优势的减损与替代成本</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核心人员流失至竞争对手不仅意味着用人单位失去了一名员工，更意味着竞争对手获得了携带原用人单位技术知识、商业策略和客户信息的载体，用人单位需要花费时间培养替代人才。其二，商业秘密泄露的潜在风险</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用人单位难以</w:t>
      </w:r>
      <w:r>
        <w:rPr>
          <w:rFonts w:ascii="宋体" w:hAnsi="宋体" w:eastAsia="宋体" w:cs="宋体"/>
          <w:b w:val="0"/>
          <w:bCs w:val="0"/>
          <w:i w:val="0"/>
          <w:sz w:val="21"/>
          <w:szCs w:val="24"/>
        </w:rPr>
        <w:t>商业秘密已经实际被泄露或使用，</w:t>
      </w:r>
      <w:r>
        <w:rPr>
          <w:rFonts w:hint="eastAsia" w:cs="宋体" w:eastAsia="宋体" w:ascii="宋体" w:hAnsi="宋体"/>
          <w:b w:val="0"/>
          <w:bCs w:val="0"/>
          <w:i w:val="0"/>
          <w:sz w:val="21"/>
          <w:szCs w:val="24"/>
          <w:lang w:val="en-US" w:eastAsia="zh-CN"/>
        </w:rPr>
        <w:t>正如上文所述</w:t>
      </w:r>
      <w:r>
        <w:rPr>
          <w:rFonts w:ascii="宋体" w:hAnsi="宋体" w:eastAsia="宋体" w:cs="宋体"/>
          <w:b w:val="0"/>
          <w:bCs w:val="0"/>
          <w:i w:val="0"/>
          <w:sz w:val="21"/>
          <w:szCs w:val="24"/>
        </w:rPr>
        <w:t>劳动者进入竞争企业任职本身就使商业秘密处于合理风险中，而原用人单位对此几乎无法进行有效的监控或防范。其三，市场机会的丧失。核心人员在关键时刻离职可能导致用人单位错失竞标机会、产品发布窗口或战略合作契机。其四，科技型企业内在价值的贬损</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以知识产权和核心技术为竞争力的企业，其价值高度依赖于“人”，核心人员的流失本身就是企业估值中的风险因素。</w:t>
      </w:r>
    </w:p>
    <w:p w14:paraId="3634B00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制度的设计目的之一正是避免守约方在损害发生后陷入举证困难，在德国法上被称为“简化证明”功能。在竞业限制领域，如果法院以“用人单位无法证明实际损失”为由将违约金调减至微薄水平，这无异于要求用人单位承担一项在法律制度设计上本应由违约金制度来化解的证明困难，在规范逻辑上是自相矛盾的。</w:t>
      </w:r>
    </w:p>
    <w:p w14:paraId="2C6092E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非典型损害”纳入“损失”的规范含义之后，《民法典》第585条第2款“过分高于造成的损失”在竞业限制领域的适用便产生了结构性变化：“造成的损失”不再是一个等待被精确计算的经验事实，而是一个需要在个案中通过利益权衡来评价的规范性概念。法院的工作重心从“计算”转向了“评价”，这一转向正是后文动态比例原则的方法论起点——它意味着裁判技术的范式转换：从寻找客观基准的认知活动转向进行规范性权衡的评价活动。</w:t>
      </w:r>
    </w:p>
    <w:p w14:paraId="4B420DE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裁判实践中，已经出现了接近这一理解方向的案例。在指导案例189号（上海熊猫互娱诉李岑案）中，法院在网络主播违反排他性合作条款的违约金调整中，并未仅仅考量平台的可量化损失，而是综合考量了平台前期投入、平台流量、主播个体商业价值等因素。这些因素在性质上都接近于“非典型损害”：它们难以精确定量，但对于理解违约给平台造成的真实影响至关重要。该案的裁判方法实际上已经采用了利益权衡的逻辑，可以被视为动态比例原则在特定合同类型中的成功运用。竞业限制领域的违约金调整应当借鉴这种思路，摆脱对可量化损失的依赖，转向对双方利益的全面权衡。</w:t>
      </w:r>
    </w:p>
    <w:p w14:paraId="2E07B1F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（四）</w:t>
      </w:r>
      <w:r>
        <w:rPr>
          <w:rFonts w:hint="eastAsia" w:ascii="宋体" w:hAnsi="宋体" w:eastAsia="楷体" w:cs="宋体"/>
          <w:b/>
          <w:bCs w:val="0"/>
          <w:i w:val="0"/>
          <w:kern w:val="2"/>
          <w:sz w:val="24"/>
          <w:szCs w:val="24"/>
          <w:lang w:val="en-US" w:eastAsia="zh-CN" w:bidi="ar-SA"/>
        </w:rPr>
        <w:t>司法调整的双重价值基础</w:t>
      </w:r>
    </w:p>
    <w:p w14:paraId="260C8B3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金是“合同履行障碍的自行安排”，与缔结主合同同属私法自治。在竞业限制语境下，这一自治面向有其特殊的正当性基础：双方在缔约时都清楚违约所造成的损害难以事后证明，因此以一个确定的违约金数额来替代不确定的损害赔偿。在理想条件下，这种安排对双方都有利，用人单位获得了无需证明损害的救济途径，劳动者在签约时就可准确评估违约的代价。竞业限制违约金约定不仅是一个威慑工具，它同时还承载了降低交易成本的功能。如果每一次竞业限制违约都需要通过漫长的诉讼来证明损害数额，制度的运行成本将高到使制度本身失去意义。</w:t>
      </w:r>
    </w:p>
    <w:p w14:paraId="626AB5A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然而，违约金约定的结构性风险为司法干预提供了正当性基础。预定性、有限理性和乐观偏差三重因素的叠加，加上劳动契约中劳动者通常处于“要么全盘接受、要么放弃工作机会”的境地，使仅凭“双方自愿约定”尚不足以完全正当化违约金约定的公平性。劳动者在签约时处于职业发展的初期阶段，很难预测几年后离职时竞业限制条款会对自己的职业道路产生多大的制约。熊晖的实证研究指出，竞业限制在实践中存在显著的泛化适用倾向，大量不接触核心商业秘密的普通劳动者也被纳入竞业限制范围，此类案件中违约金的“压力”功能已不再是为了保护正当竞争利益，而异化为限制劳动者流动的工具。吴宏乔的研究则揭示了另一个风险：实践中存在用人单位在竞业限制协议中约定排除经济补偿的情形，此种约定一旦被认定为有效，劳动者在竞业期限内将完全丧失经济来源，此时违约金不仅是履约压力，更是对劳动者生存权的直接威胁。《民法典》第585条第2款正是在当事人自治安排出现结构性偏差时介入，恢复被破坏的实质公平，其正当性基础在于公序良俗与诚实信用原则。</w:t>
      </w:r>
      <w:r>
        <w:rPr>
          <w:rFonts w:eastAsia="宋体" w:ascii="宋体" w:hAnsi="宋体" w:cs="宋体"/>
          <w:rStyle w:val="10"/>
          <w:b w:val="0"/>
          <w:i w:val="0"/>
          <w:sz w:val="21"/>
        </w:rPr>
        <w:footnoteReference w:id="24"/>
      </w:r>
    </w:p>
    <w:p w14:paraId="53FB74A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的特殊利益结构中，用人单位受保护的是竞争利益——商业秘密、与知识产权相关的保密事项、竞争优势。此类利益的不可逆损害特征使违约金的事前压力功能具有独立于损害赔偿的正当性：它不是对损害的事后填补，而是对不可逆损害的事前预防。劳动者受保护的是职业自由与生存权，竞业限制过度将构成变相的职业禁止。两种利益在规范层面不可通约，法院所从事的不是“计算”而是“权衡”，在尊重约定数额推定效力的前提下，确保违约金不过度偏离公平的基准。</w:t>
      </w:r>
    </w:p>
    <w:p w14:paraId="174194DC">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可通约（incommensurability）并不意味着两种利益间完全无法比较，而是说两种利益间不存在一个统一的度量单位或共同的数值标尺。用人单位的竞争利益不能用“多少元”来完全表达，不是因为它们没有价值，而是因为它们的价值无法通过市场价格来精确定价；劳动者的职业自由同样不能用“多少元”来完全表达，不是因为职业自由没有经济后果，而是因为它的价值包含了对人的尊严、自我实现和自主选择的保护，这些价值维度是金钱无法覆盖的。法院在权衡这两种利益时，不是在比较两个数字的大小，而是在比较两种性质不同的价值在具体案件中的重要性程度。这种比较是一种规范性判断（normative judgment），但不是任意判断，它在法律价值秩序中有其约束性的参照点。</w:t>
      </w:r>
    </w:p>
    <w:p w14:paraId="459197F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德国联邦宪法法院在“药房案”（Apothekenurteil）中发展出的“实践调和”（praktische Konkordanz）原则——当两个宪法位阶的法益发生冲突时，不能简单地用一个法益否定另一个法益，而应当通过个案中的比例性权衡使两个法益都得到最大程度的实现——对理解竞业限制违约金的调整具有方法论上的启示。用人单位竞争利益（宪法第13条和第20条）与劳动者职业自由（宪法第42条）在宪法层面具有同等的位阶，任何一方的完全否定都是违宪的。动态比例原则在方法论上的核心任务，就是在个案中实现这两种宪法法益的实践调和，不是用一个压倒另一个，而是通过精确的利益权衡使两者都获得尽可能充分的保护。这一视角将违约金调整从“数额校正”的技术操作提升为“宪法价值在私法中实现”的规范活动。</w:t>
      </w:r>
    </w:p>
    <w:p w14:paraId="362FB26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从比较法角度观察，德国联邦最高法院（BGH）在违约金调整的判例中发展出了“债务人保护”（Schuldnerschutz）原则，违约金的调整不是为了否定当事人的自治约定，而是为了防止违约金异化为对债务人的过度剥削。在德国商法上，这一原则对商人违约金做了例外处理（《德国商法典》第348条），因为商人在缔约时的判断能力和风险承受能力被假定为更强。我国虽然采取民商合一体例，但司法实践中对商事竞业禁止与劳动竞业限制的区分处理，实质上遵循了类似的逻辑。刘承韪在评析《合同编通则解释》第64-65条时特别指出，违约金不得调整约定“无效说”的立场虽符合违约金酌减规则的强制规范性质，但应通过区分民事合同与商事合同来缓和制度刚性。这一判断与本文主张的劳动竞业限制与商事竞业禁止类型化区分在方法论上高度契合。</w:t>
      </w:r>
      <w:r>
        <w:rPr>
          <w:rFonts w:eastAsia="宋体" w:ascii="宋体" w:hAnsi="宋体" w:cs="宋体"/>
          <w:rStyle w:val="10"/>
          <w:b w:val="0"/>
          <w:i w:val="0"/>
          <w:sz w:val="21"/>
        </w:rPr>
        <w:footnoteReference w:id="25"/>
      </w:r>
    </w:p>
    <w:p w14:paraId="2C4DBCA9">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值得进一步申论的是，将劳动者职业自由和生存权纳入违约金调整的考量框架，并不意味着对用人单位利益的忽视，亦非对违约行为的纵容。职业自由受到竞业限制约束的劳动者，如果遵守了竞业限制义务，其损失由补偿金制度弥补（第23条第2款）；如果违反了竞业限制义务，其应受违约金的制裁。在这一制度安排中，违约金调整的功能不在于免除劳动者的违约责任——调整后的违约金仍然构成违约的经济代价——而在于确保此种代价维持在合理的压力区间内，不至于从履约的威慑转化为毁灭性的惩罚。一个可以经由经验验证的判断是：当违约金数额超过了劳动者在竞业期限内全部可能收入的数倍时，违约金实际上已不是在威慑违约，而是在禁止改变工作，因为违约的代价已超出了劳动者可以承受的极限。在这种极端情形下，违约金已经从合同履行保障异化为人身约束，而这正是司法调整需要干预的核心场景。</w:t>
      </w:r>
    </w:p>
    <w:p w14:paraId="300B7990">
      <w:pPr>
        <w:pStyle w:val="2"/>
        <w:bidi w:val="0"/>
        <w:jc w:val="center"/>
        <w:rPr>
          <w:rFonts w:hint="default"/>
          <w:lang w:val="en-US" w:eastAsia="zh-CN"/>
        </w:rPr>
        <w:spacing w:line="240" w:lineRule="auto" w:before="0" w:after="0" w:beforeLines="0" w:afterLines="0"/>
      </w:pPr>
      <w:r>
        <w:rPr>
          <w:rFonts w:hint="eastAsia" w:eastAsia="宋体" w:ascii="宋体" w:hAnsi="宋体" w:cs="宋体"/>
          <w:b/>
          <w:bCs/>
          <w:i w:val="0"/>
          <w:sz w:val="24"/>
          <w:lang w:val="en-US" w:eastAsia="zh-CN"/>
        </w:rPr>
        <w:t>四、违约金调整中的利益衡量</w:t>
      </w:r>
    </w:p>
    <w:p w14:paraId="35C453FE">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（一）</w:t>
      </w:r>
      <w:r>
        <w:rPr>
          <w:rFonts w:hint="eastAsia" w:ascii="宋体" w:hAnsi="宋体" w:eastAsia="楷体" w:cs="宋体"/>
          <w:b/>
          <w:bCs w:val="0"/>
          <w:i w:val="0"/>
          <w:kern w:val="2"/>
          <w:sz w:val="24"/>
          <w:szCs w:val="24"/>
          <w:lang w:val="en-US" w:eastAsia="zh-CN" w:bidi="ar-SA"/>
        </w:rPr>
        <w:t>以约定数额</w:t>
      </w:r>
      <w:r>
        <w:rPr>
          <w:rFonts w:hint="eastAsia" w:ascii="宋体" w:hAnsi="宋体" w:cs="宋体" w:eastAsia="楷体"/>
          <w:b/>
          <w:bCs w:val="0"/>
          <w:i w:val="0"/>
          <w:kern w:val="2"/>
          <w:sz w:val="24"/>
          <w:szCs w:val="24"/>
          <w:lang w:val="en-US" w:eastAsia="zh-CN" w:bidi="ar-SA"/>
        </w:rPr>
        <w:t>的</w:t>
      </w:r>
      <w:r>
        <w:rPr>
          <w:rFonts w:hint="eastAsia" w:ascii="宋体" w:hAnsi="宋体" w:eastAsia="楷体" w:cs="宋体"/>
          <w:b/>
          <w:bCs w:val="0"/>
          <w:i w:val="0"/>
          <w:kern w:val="2"/>
          <w:sz w:val="24"/>
          <w:szCs w:val="24"/>
          <w:lang w:val="en-US" w:eastAsia="zh-CN" w:bidi="ar-SA"/>
        </w:rPr>
        <w:t>基准</w:t>
      </w:r>
      <w:r>
        <w:rPr>
          <w:rFonts w:hint="eastAsia" w:ascii="宋体" w:hAnsi="宋体" w:cs="宋体" w:eastAsia="楷体"/>
          <w:b/>
          <w:bCs w:val="0"/>
          <w:i w:val="0"/>
          <w:kern w:val="2"/>
          <w:sz w:val="24"/>
          <w:szCs w:val="24"/>
          <w:lang w:val="en-US" w:eastAsia="zh-CN" w:bidi="ar-SA"/>
        </w:rPr>
        <w:t>作用</w:t>
      </w:r>
    </w:p>
    <w:p w14:paraId="738C6BB2">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民法典》第585条第2款“约定的违约金……可以……予以适当减少”的规范表述暗示了约定数额在程序上享有“推定合理”的地位——在没有充分理由推翻这一推定之前，约定数额应被尊重。此种进路与以实际损失为基准的路径存在根本差异：前者以约定数额为出发点，通过权衡双方利益进行比例调整，承认损害可能难以精确量化且这一认知局限不影响调整之展开；后者预设损害可量化且已被证明，而此一前提在竞业限制领域恰恰无从成立，导致调整活动在方法论上陷入自我否定——将调整基准置于一个无法确定的事实之上。</w:t>
      </w:r>
    </w:p>
    <w:p w14:paraId="55D448FB">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类型、不同性质的违约金，对酌减结果有显著影响的考量因素各异，调整逻辑的选择应当取决于违约金的功能类型和合同类型的交互作用。约定违约金占合同总价的比例被证明是影响酌减成数的最强因素，合同</w:t>
      </w:r>
      <w:r>
        <w:rPr>
          <w:rFonts w:hint="eastAsia" w:cs="宋体" w:eastAsia="宋体" w:ascii="宋体" w:hAnsi="宋体"/>
          <w:b w:val="0"/>
          <w:bCs w:val="0"/>
          <w:i w:val="0"/>
          <w:sz w:val="21"/>
          <w:szCs w:val="24"/>
          <w:lang w:val="en-US" w:eastAsia="zh-CN"/>
        </w:rPr>
        <w:t>总价</w:t>
      </w:r>
      <w:r>
        <w:rPr>
          <w:rFonts w:ascii="宋体" w:hAnsi="宋体" w:eastAsia="宋体" w:cs="宋体"/>
          <w:b w:val="0"/>
          <w:bCs w:val="0"/>
          <w:i w:val="0"/>
          <w:sz w:val="21"/>
          <w:szCs w:val="24"/>
        </w:rPr>
        <w:t>在竞业限制语境中就体现为劳动者年收入或补偿金总额。在超过70%的劳动竞业限制案件中，法院以补偿金总额的1-3倍为调整基准，这种对补偿金的“锚定效应”在操作效果上近似于“以约定数额为基准的比例调整”</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现行司法实践中的“补偿金锚定”是一种缺乏规范论证的习惯性做法，法院并未说明为何选择“1-3倍”而非其他倍数，也未将补偿金水平与IP接触程度、技术迭代周期等其他因素进行系统关联；动态比例原则则要求法院在约定数额的基准上，逐一考量正负向因素的互动关系，并在结构化说理中公开其权衡过程。</w:t>
      </w:r>
      <w:r>
        <w:rPr>
          <w:rFonts w:eastAsia="宋体" w:ascii="宋体" w:hAnsi="宋体" w:cs="宋体"/>
          <w:rStyle w:val="10"/>
          <w:b w:val="0"/>
          <w:i w:val="0"/>
          <w:sz w:val="21"/>
        </w:rPr>
        <w:footnoteReference w:id="26"/>
      </w:r>
    </w:p>
    <w:p w14:paraId="0761EA0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劳动契约中的竞业限制双方地位不对等，约定数额的推定效力应受更多约束，补偿金标准过低、竞业范围泛化等情形的存在将直接削弱推定的正当性；股权转让中的商事竞业禁止双方协商充分，推定效力更强，约定违约金在性质上更接近于双方对“不竞争义务价值”的事前定价而非单方施压工具。从现有裁判来看，商事竞业禁止的调整幅度远低于劳动竞业限制，规范依据在于姚明斌所提的“主体性半强制规范”——司法酌减规则对商事主体的保护强度低于对民事主体和消费者的保护强度。这一区分的深层原理在于德国法上的“法律行为基础”理论：在商事竞业禁止中，股权转让对价和违约金共同构成了交易双方对“不竞争义务”的完整定价，法院如果大幅调整违约金就相当于在事后重写当事人的交易条件；而在劳动竞业限制中，补偿金与违约金之间的比例往往反映了缔约力量的失衡而非真实的定价，法院的调整因此具有更强的正当性。</w:t>
      </w:r>
      <w:r>
        <w:rPr>
          <w:rFonts w:eastAsia="宋体" w:ascii="宋体" w:hAnsi="宋体" w:cs="宋体"/>
          <w:rStyle w:val="10"/>
          <w:b w:val="0"/>
          <w:i w:val="0"/>
          <w:sz w:val="21"/>
        </w:rPr>
        <w:footnoteReference w:id="27"/>
      </w:r>
    </w:p>
    <w:p w14:paraId="66CD62D7">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（二）</w:t>
      </w:r>
      <w:r>
        <w:rPr>
          <w:rFonts w:hint="eastAsia" w:ascii="宋体" w:hAnsi="宋体" w:eastAsia="楷体" w:cs="宋体"/>
          <w:b/>
          <w:bCs w:val="0"/>
          <w:i w:val="0"/>
          <w:kern w:val="2"/>
          <w:sz w:val="24"/>
          <w:szCs w:val="24"/>
          <w:lang w:val="en-US" w:eastAsia="zh-CN" w:bidi="ar-SA"/>
        </w:rPr>
        <w:t>用人单位一侧的竞争利益</w:t>
      </w:r>
    </w:p>
    <w:p w14:paraId="6130D0E6">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《合同编通则解释》第65条第1款</w:t>
      </w:r>
      <w:r>
        <w:rPr>
          <w:rFonts w:hint="eastAsia" w:cs="宋体" w:eastAsia="宋体" w:ascii="宋体" w:hAnsi="宋体"/>
          <w:b w:val="0"/>
          <w:bCs w:val="0"/>
          <w:i w:val="0"/>
          <w:sz w:val="21"/>
          <w:szCs w:val="24"/>
          <w:lang w:val="en-US" w:eastAsia="zh-CN"/>
        </w:rPr>
        <w:t>规定在违约金调整中应</w:t>
      </w:r>
      <w:r>
        <w:rPr>
          <w:rFonts w:ascii="宋体" w:hAnsi="宋体" w:eastAsia="宋体" w:cs="宋体"/>
          <w:b w:val="0"/>
          <w:bCs w:val="0"/>
          <w:i w:val="0"/>
          <w:sz w:val="21"/>
          <w:szCs w:val="24"/>
        </w:rPr>
        <w:t>“兼顾合同主体、交易类型、合同履行情况、当事人过错程度、履约背景等因素”劳动者接触商业秘密和核心知识产权的程度《劳动合同法》第24条将竞业限制人员限于“负有保密义务的人员”，表明竞业限制的正当性与劳动者接触保密信息的程度正相关。</w:t>
      </w:r>
    </w:p>
    <w:p w14:paraId="60E9757F">
      <w:pPr>
        <w:spacing w:line="240" w:lineRule="auto" w:before="0" w:after="0" w:beforeLines="0" w:afterLines="0"/>
        <w:ind w:firstLineChars="200" w:leftChars="0" w:hangingChars="0"/>
        <w:jc w:val="left"/>
      </w:pPr>
      <w:r>
        <w:rPr>
          <w:rFonts w:ascii="宋体" w:hAnsi="宋体" w:eastAsia="宋体" w:cs="宋体"/>
          <w:b w:val="0"/>
          <w:bCs w:val="0"/>
          <w:i w:val="0"/>
          <w:sz w:val="21"/>
          <w:szCs w:val="24"/>
        </w:rPr>
        <w:t>高级</w:t>
      </w:r>
      <w:r>
        <w:rPr>
          <w:rFonts w:hint="eastAsia" w:cs="宋体" w:eastAsia="宋体" w:ascii="宋体" w:hAnsi="宋体"/>
          <w:b w:val="0"/>
          <w:bCs w:val="0"/>
          <w:i w:val="0"/>
          <w:sz w:val="21"/>
          <w:szCs w:val="24"/>
          <w:lang w:val="en-US" w:eastAsia="zh-CN"/>
        </w:rPr>
        <w:t>企业</w:t>
      </w:r>
      <w:r>
        <w:rPr>
          <w:rFonts w:ascii="宋体" w:hAnsi="宋体" w:eastAsia="宋体" w:cs="宋体"/>
          <w:b w:val="0"/>
          <w:bCs w:val="0"/>
          <w:i w:val="0"/>
          <w:sz w:val="21"/>
          <w:szCs w:val="24"/>
        </w:rPr>
        <w:t>负责人</w:t>
      </w:r>
      <w:r>
        <w:rPr>
          <w:rFonts w:hint="eastAsia" w:cs="宋体" w:eastAsia="宋体" w:ascii="宋体" w:hAnsi="宋体"/>
          <w:b w:val="0"/>
          <w:bCs w:val="0"/>
          <w:i w:val="0"/>
          <w:sz w:val="21"/>
          <w:szCs w:val="24"/>
          <w:lang w:val="en-US" w:eastAsia="zh-CN"/>
        </w:rPr>
        <w:t>核心技术人员</w:t>
      </w:r>
      <w:r>
        <w:rPr>
          <w:rFonts w:ascii="宋体" w:hAnsi="宋体" w:eastAsia="宋体" w:cs="宋体"/>
          <w:b w:val="0"/>
          <w:bCs w:val="0"/>
          <w:i w:val="0"/>
          <w:sz w:val="21"/>
          <w:szCs w:val="24"/>
        </w:rPr>
        <w:t>等，对用人单位技术核心的掌握具有结构性，一旦离职加入竞争对手，其携带的不仅是个人技能，而是对整个技术体系的深度认知，违约金调整应最为节制。在评估这一梯度的劳动者时，应重点考量其在用人单位技术体系中的不可替代性</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如果该劳动者是某项核心技术唯一或少数掌握者之一，其离职造成的竞争损害将显著高于有多个可替代人员的情形。</w:t>
      </w:r>
      <w:r>
        <w:rPr>
          <w:rFonts w:hint="eastAsia" w:cs="宋体" w:eastAsia="宋体" w:ascii="宋体" w:hAnsi="宋体"/>
          <w:b w:val="0"/>
          <w:bCs w:val="0"/>
          <w:i w:val="0"/>
          <w:sz w:val="21"/>
          <w:szCs w:val="24"/>
          <w:lang w:val="en-US" w:eastAsia="zh-CN"/>
        </w:rPr>
        <w:t>对于一般的技术人员或者掌握商业秘密的人员来说</w:t>
      </w:r>
      <w:r>
        <w:rPr>
          <w:rFonts w:ascii="宋体" w:hAnsi="宋体" w:eastAsia="宋体" w:cs="宋体"/>
          <w:b w:val="0"/>
          <w:bCs w:val="0"/>
          <w:i w:val="0"/>
          <w:sz w:val="21"/>
          <w:szCs w:val="24"/>
        </w:rPr>
        <w:t>，承担执行性技术工作离职影响相对有限</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违约金调整的空间更大</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对于</w:t>
      </w:r>
      <w:r>
        <w:rPr>
          <w:rFonts w:ascii="宋体" w:hAnsi="宋体" w:eastAsia="宋体" w:cs="宋体"/>
          <w:b w:val="0"/>
          <w:bCs w:val="0"/>
          <w:i w:val="0"/>
          <w:sz w:val="21"/>
          <w:szCs w:val="24"/>
        </w:rPr>
        <w:t>非保密信息</w:t>
      </w:r>
      <w:r>
        <w:rPr>
          <w:rFonts w:hint="eastAsia" w:cs="宋体" w:eastAsia="宋体" w:ascii="宋体" w:hAnsi="宋体"/>
          <w:b w:val="0"/>
          <w:bCs w:val="0"/>
          <w:i w:val="0"/>
          <w:sz w:val="21"/>
          <w:szCs w:val="24"/>
          <w:lang w:val="en-US" w:eastAsia="zh-CN"/>
        </w:rPr>
        <w:t>或者核心技术的一般劳动者来说，因其可替代性强，未接触用人单位的核心事项的特点，其在离职后加入到与原用人单位有竞争关系的企业所造成的</w:t>
      </w:r>
      <w:r>
        <w:rPr>
          <w:rFonts w:ascii="宋体" w:hAnsi="宋体" w:eastAsia="宋体" w:cs="宋体"/>
          <w:b w:val="0"/>
          <w:bCs w:val="0"/>
          <w:i w:val="0"/>
          <w:sz w:val="21"/>
          <w:szCs w:val="24"/>
        </w:rPr>
        <w:t>“非典型损害”</w:t>
      </w:r>
      <w:r>
        <w:rPr>
          <w:rFonts w:hint="eastAsia" w:cs="宋体" w:eastAsia="宋体" w:ascii="宋体" w:hAnsi="宋体"/>
          <w:b w:val="0"/>
          <w:bCs w:val="0"/>
          <w:i w:val="0"/>
          <w:sz w:val="21"/>
          <w:szCs w:val="24"/>
          <w:lang w:val="en-US" w:eastAsia="zh-CN"/>
        </w:rPr>
        <w:t>几乎可以忽略不计</w:t>
      </w:r>
      <w:r>
        <w:rPr>
          <w:rFonts w:ascii="宋体" w:hAnsi="宋体" w:eastAsia="宋体" w:cs="宋体"/>
          <w:b w:val="0"/>
          <w:bCs w:val="0"/>
          <w:i w:val="0"/>
          <w:sz w:val="21"/>
          <w:szCs w:val="24"/>
        </w:rPr>
        <w:t>。</w:t>
      </w:r>
    </w:p>
    <w:p w14:paraId="0635FE4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不同的接触程度决定了“造成的损失”在评估上的差异。竞业限制义务限于劳动者知悉的保密事项范围，违约金所担保的“不作为义务范围”与违约金数额间应存在比例关联</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范围越窄，合理性上限越低，调整空间越大。从规范目的角度对竞业限制制度的反思</w:t>
      </w:r>
      <w:r>
        <w:rPr>
          <w:rFonts w:hint="eastAsia" w:cs="宋体" w:eastAsia="宋体" w:ascii="宋体" w:hAnsi="宋体"/>
          <w:b w:val="0"/>
          <w:bCs w:val="0"/>
          <w:i w:val="0"/>
          <w:sz w:val="21"/>
          <w:szCs w:val="24"/>
          <w:lang w:val="en-US" w:eastAsia="zh-CN"/>
        </w:rPr>
        <w:t>的角度来看，</w:t>
      </w:r>
      <w:r>
        <w:rPr>
          <w:rFonts w:ascii="宋体" w:hAnsi="宋体" w:eastAsia="宋体" w:cs="宋体"/>
          <w:b w:val="0"/>
          <w:bCs w:val="0"/>
          <w:i w:val="0"/>
          <w:sz w:val="21"/>
          <w:szCs w:val="24"/>
        </w:rPr>
        <w:t>竞业限制制度的目的在于保护用人单位的正当竞争利益而非赋予其封锁劳动者就业市场的权力，违约金作为担保竞业限制义务的工具，其正当性以竞业限制义务本身的正当范围为其边界。</w:t>
      </w:r>
      <w:r>
        <w:rPr>
          <w:rFonts w:eastAsia="宋体" w:ascii="宋体" w:hAnsi="宋体" w:cs="宋体"/>
          <w:rStyle w:val="10"/>
          <w:b w:val="0"/>
          <w:i w:val="0"/>
          <w:sz w:val="21"/>
        </w:rPr>
        <w:footnoteReference w:id="28"/>
      </w:r>
    </w:p>
    <w:p w14:paraId="5B07217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竞业限制违约金虽然以压力功能为核心，但它仍然</w:t>
      </w:r>
      <w:r>
        <w:rPr>
          <w:rFonts w:hint="eastAsia" w:cs="宋体" w:eastAsia="宋体" w:ascii="宋体" w:hAnsi="宋体"/>
          <w:b w:val="0"/>
          <w:bCs w:val="0"/>
          <w:i w:val="0"/>
          <w:sz w:val="21"/>
          <w:szCs w:val="24"/>
          <w:lang w:val="en-US" w:eastAsia="zh-CN"/>
        </w:rPr>
        <w:t>作为</w:t>
      </w:r>
      <w:r>
        <w:rPr>
          <w:rFonts w:ascii="宋体" w:hAnsi="宋体" w:eastAsia="宋体" w:cs="宋体"/>
          <w:b w:val="0"/>
          <w:bCs w:val="0"/>
          <w:i w:val="0"/>
          <w:sz w:val="21"/>
          <w:szCs w:val="24"/>
        </w:rPr>
        <w:t>一个双务合同</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用人单位通过支付补偿金换取劳动者的不作为。补偿金水平在很大程度上反映了用人单位自身对“保护必要性”的估价。</w:t>
      </w:r>
      <w:r>
        <w:rPr>
          <w:rFonts w:hint="eastAsia" w:ascii="宋体" w:hAnsi="宋体" w:eastAsia="宋体" w:cs="宋体"/>
          <w:b w:val="0"/>
          <w:bCs w:val="0"/>
          <w:i w:val="0"/>
          <w:sz w:val="21"/>
          <w:szCs w:val="24"/>
          <w:lang w:val="en-US" w:eastAsia="zh-CN"/>
        </w:rPr>
        <w:t>竞业限制补偿金的充分性补偿金是用人单位为“购买”劳动者不作为义务所支付的对价，补偿金水平与违约金数额间的比例是判断违约金“过分高于”的最直观参照。在（2022）粤0112民初32652号案中，补偿金290元/月、三年补偿金总额仅为10,440元，而违约金为90,000元，比例接近九倍，这种悬殊本身就构成需要调整的初步证据。在（2022）鲁1392民初3364号案中，补偿金300元/月且从未实际支付，违约金却高达30万元，法院最终以三个月补偿金的二倍（1,800元）酌定违约金。</w:t>
      </w:r>
    </w:p>
    <w:p w14:paraId="4ED31FD5">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当用人单位自身都未给予这种保护以充分的估价时，它要求法院给予完整保护的正当性就被削弱了。补偿金低于当地最低工资标准的案件中，违约金调减幅度显著高于补偿金充分的案件；补偿金达到劳动者原薪酬50%以上的案件中，法院普遍更为尊重约定数额。补偿金与违约金的比例分析需要与劳动者接触</w:t>
      </w:r>
      <w:r>
        <w:rPr>
          <w:rFonts w:hint="eastAsia" w:cs="宋体" w:eastAsia="宋体" w:ascii="宋体" w:hAnsi="宋体"/>
          <w:b w:val="0"/>
          <w:bCs w:val="0"/>
          <w:i w:val="0"/>
          <w:sz w:val="21"/>
          <w:szCs w:val="24"/>
          <w:lang w:val="en-US" w:eastAsia="zh-CN"/>
        </w:rPr>
        <w:t>核心事项的程</w:t>
      </w:r>
      <w:r>
        <w:rPr>
          <w:rFonts w:ascii="宋体" w:hAnsi="宋体" w:eastAsia="宋体" w:cs="宋体"/>
          <w:b w:val="0"/>
          <w:bCs w:val="0"/>
          <w:i w:val="0"/>
          <w:sz w:val="21"/>
          <w:szCs w:val="24"/>
        </w:rPr>
        <w:t>度相配合。对于第一梯度的核心接触者，即使补偿金水平不高，其违约造成的潜在竞争损害仍然较大，违约金不宜仅因补偿金偏低而大幅调减；对于第三梯度的</w:t>
      </w:r>
      <w:r>
        <w:rPr>
          <w:rFonts w:hint="eastAsia" w:cs="宋体" w:eastAsia="宋体" w:ascii="宋体" w:hAnsi="宋体"/>
          <w:b w:val="0"/>
          <w:bCs w:val="0"/>
          <w:i w:val="0"/>
          <w:sz w:val="21"/>
          <w:szCs w:val="24"/>
          <w:lang w:val="en-US" w:eastAsia="zh-CN"/>
        </w:rPr>
        <w:t>非核心</w:t>
      </w:r>
      <w:r>
        <w:rPr>
          <w:rFonts w:ascii="宋体" w:hAnsi="宋体" w:eastAsia="宋体" w:cs="宋体"/>
          <w:b w:val="0"/>
          <w:bCs w:val="0"/>
          <w:i w:val="0"/>
          <w:sz w:val="21"/>
          <w:szCs w:val="24"/>
        </w:rPr>
        <w:t>信息接触者，如果补偿金水平极低，说明用人单位自身对保护必要性估价不高，违约金应更大幅度地调减。</w:t>
      </w:r>
    </w:p>
    <w:p w14:paraId="52DB503A">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技术迭代周期与市场替代速度不同行业的技术迭代速度</w:t>
      </w:r>
      <w:r>
        <w:rPr>
          <w:rFonts w:hint="eastAsia" w:cs="宋体" w:eastAsia="宋体" w:ascii="宋体" w:hAnsi="宋体"/>
          <w:b w:val="0"/>
          <w:bCs w:val="0"/>
          <w:i w:val="0"/>
          <w:sz w:val="21"/>
          <w:szCs w:val="24"/>
          <w:lang w:val="en-US" w:eastAsia="zh-CN"/>
        </w:rPr>
        <w:t>也会影响在竞业限制合同中违约金的调整</w:t>
      </w:r>
      <w:r>
        <w:rPr>
          <w:rFonts w:ascii="宋体" w:hAnsi="宋体" w:eastAsia="宋体" w:cs="宋体"/>
          <w:b w:val="0"/>
          <w:bCs w:val="0"/>
          <w:i w:val="0"/>
          <w:sz w:val="21"/>
          <w:szCs w:val="24"/>
        </w:rPr>
        <w:t>。</w:t>
      </w:r>
      <w:r>
        <w:rPr>
          <w:rStyle w:val="10"/>
          <w:rFonts w:ascii="宋体" w:hAnsi="宋体" w:eastAsia="宋体" w:cs="宋体"/>
          <w:b w:val="0"/>
          <w:bCs w:val="0"/>
          <w:i w:val="0"/>
          <w:sz w:val="21"/>
          <w:szCs w:val="24"/>
        </w:rPr>
        <w:footnoteReference w:id="29"/>
      </w:r>
      <w:r>
        <w:rPr>
          <w:rFonts w:ascii="宋体" w:hAnsi="宋体" w:eastAsia="宋体" w:cs="宋体"/>
          <w:b w:val="0"/>
          <w:bCs w:val="0"/>
          <w:i w:val="0"/>
          <w:sz w:val="21"/>
          <w:szCs w:val="24"/>
        </w:rPr>
        <w:t>在互联网和人工智能行业，技术代际更替可能只需要18到24个月，竞业限制法定二年上限可能已经超出实际保护诉求，劳动者离职一年多后其原掌握的技术知识可能已经因行业迭代而过时，违约金中对应超出有效保护期部分的</w:t>
      </w:r>
      <w:r>
        <w:rPr>
          <w:rFonts w:hint="eastAsia" w:cs="宋体" w:eastAsia="宋体" w:ascii="宋体" w:hAnsi="宋体"/>
          <w:b w:val="0"/>
          <w:bCs w:val="0"/>
          <w:i w:val="0"/>
          <w:sz w:val="21"/>
          <w:szCs w:val="24"/>
          <w:lang w:val="en-US" w:eastAsia="zh-CN"/>
        </w:rPr>
        <w:t>不可赔偿损害的正当性</w:t>
      </w:r>
      <w:r>
        <w:rPr>
          <w:rFonts w:ascii="宋体" w:hAnsi="宋体" w:eastAsia="宋体" w:cs="宋体"/>
          <w:b w:val="0"/>
          <w:bCs w:val="0"/>
          <w:i w:val="0"/>
          <w:sz w:val="21"/>
          <w:szCs w:val="24"/>
        </w:rPr>
        <w:t>遭到削弱。在生物医药行业，药品研发周期长达五到十年，核心技术人员对特定靶点、化合物和临床路径的认知在多年后仍具有竞争价值，违约金调整应更为节制。</w:t>
      </w:r>
      <w:r>
        <w:rPr>
          <w:rFonts w:hint="eastAsia" w:cs="宋体" w:eastAsia="宋体" w:ascii="宋体" w:hAnsi="宋体"/>
          <w:b w:val="0"/>
          <w:bCs w:val="0"/>
          <w:i w:val="0"/>
          <w:sz w:val="21"/>
          <w:szCs w:val="24"/>
          <w:lang w:val="en-US" w:eastAsia="zh-CN"/>
        </w:rPr>
        <w:t>在</w:t>
      </w:r>
      <w:r>
        <w:rPr>
          <w:rFonts w:ascii="宋体" w:hAnsi="宋体" w:eastAsia="宋体" w:cs="宋体"/>
          <w:b w:val="0"/>
          <w:bCs w:val="0"/>
          <w:i w:val="0"/>
          <w:sz w:val="21"/>
          <w:szCs w:val="24"/>
        </w:rPr>
        <w:t>2025年最高法劳动争议典型案例四在生物医药领域竞争关系的认定中，法院依当事人申请准许具有专门知识的人到庭，辅助查明相关药物的技术原理、适应症和用药方案</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以此来判断竞业限制的合理性以及违约金调整的数额</w:t>
      </w:r>
      <w:r>
        <w:rPr>
          <w:rFonts w:ascii="宋体" w:hAnsi="宋体" w:eastAsia="宋体" w:cs="宋体"/>
          <w:b w:val="0"/>
          <w:bCs w:val="0"/>
          <w:i w:val="0"/>
          <w:sz w:val="21"/>
          <w:szCs w:val="24"/>
        </w:rPr>
        <w:t>。</w:t>
      </w:r>
    </w:p>
    <w:p w14:paraId="09BCF74A">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bCs w:val="0"/>
          <w:i w:val="0"/>
          <w:kern w:val="2"/>
          <w:sz w:val="24"/>
          <w:szCs w:val="24"/>
          <w:lang w:val="en-US" w:eastAsia="zh-CN" w:bidi="ar-SA"/>
        </w:rPr>
        <w:t>劳动者一侧的权利保护</w:t>
      </w:r>
    </w:p>
    <w:p w14:paraId="30784F5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与期限的合理性竞业限制范围超出劳动者实际接触的竞争领域，意味着为担保超出部分的违约金失去了正当基础。在指导案例190号中，万得公司是金融信息服务商，哔哩哔哩是视频平台，两者的经营范围在纸面上存在重合，但实质竞争关联被否定。</w:t>
      </w:r>
      <w:r>
        <w:rPr>
          <w:rStyle w:val="10"/>
          <w:rFonts w:ascii="宋体" w:hAnsi="宋体" w:eastAsia="宋体" w:cs="宋体"/>
          <w:b w:val="0"/>
          <w:bCs w:val="0"/>
          <w:i w:val="0"/>
          <w:sz w:val="21"/>
          <w:szCs w:val="24"/>
        </w:rPr>
        <w:footnoteReference w:id="30"/>
      </w:r>
      <w:r>
        <w:rPr>
          <w:rFonts w:ascii="宋体" w:hAnsi="宋体" w:eastAsia="宋体" w:cs="宋体"/>
          <w:b w:val="0"/>
          <w:bCs w:val="0"/>
          <w:i w:val="0"/>
          <w:sz w:val="21"/>
          <w:szCs w:val="24"/>
        </w:rPr>
        <w:t>法院判断竞业范围对劳动者的影响时应穿透经营范围的形式外观，考察实质限制效果。如果竞业限制条款将“所有与甲方业务有竞争关联的企业”全部纳入竞业范围，对非技术类劳动者而言这几乎覆盖了其全部潜在就业机会，在实质上接近职业禁止，违约金调整幅度应显著增大。</w:t>
      </w:r>
    </w:p>
    <w:p w14:paraId="66F6B1B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竞业范围的合理性判断应采取“主体—地域—行业”三重限缩标准，竞业限制的范围应与劳动者的岗位性质（主体）、用人单位业务覆盖的地理区域（地域）、劳动者实际接触的业务类型（行业）保持合理关联。</w:t>
      </w:r>
      <w:r>
        <w:rPr>
          <w:rStyle w:val="10"/>
          <w:rFonts w:ascii="宋体" w:hAnsi="宋体" w:eastAsia="宋体" w:cs="宋体"/>
          <w:b w:val="0"/>
          <w:bCs w:val="0"/>
          <w:i w:val="0"/>
          <w:sz w:val="21"/>
          <w:szCs w:val="24"/>
        </w:rPr>
        <w:footnoteReference w:id="31"/>
      </w:r>
      <w:r>
        <w:rPr>
          <w:rFonts w:ascii="宋体" w:hAnsi="宋体" w:eastAsia="宋体" w:cs="宋体"/>
          <w:b w:val="0"/>
          <w:bCs w:val="0"/>
          <w:i w:val="0"/>
          <w:sz w:val="21"/>
          <w:szCs w:val="24"/>
        </w:rPr>
        <w:t>当竞业范围超出任何一个维度的合理边界时，违约金的正当性就相应被削弱。例如，一个仅在某省开展业务的用人单位将竞业范围扩展至全国，此种地理范围的泛化不应通过违约金来获得担保；一个仅从事药品销售的企业将竞业范围扩及全部医疗健康产业，竞业范围与劳动者实际接触业务的关联已极为薄弱，违约金中对应超出合理范围部分的压力功能已失去了制度正当性。</w:t>
      </w:r>
    </w:p>
    <w:p w14:paraId="5B5669FB">
      <w:pPr>
        <w:spacing w:line="240" w:lineRule="auto" w:before="0" w:after="0" w:beforeLines="0" w:afterLines="0"/>
        <w:ind w:firstLineChars="200" w:leftChars="0" w:hangingChars="0"/>
        <w:jc w:val="left"/>
      </w:pPr>
      <w:r>
        <w:rPr>
          <w:rFonts w:hint="eastAsia" w:cs="宋体" w:eastAsia="宋体" w:ascii="宋体" w:hAnsi="宋体"/>
          <w:b w:val="0"/>
          <w:bCs w:val="0"/>
          <w:i w:val="0"/>
          <w:sz w:val="21"/>
          <w:szCs w:val="24"/>
          <w:lang w:val="en-US" w:eastAsia="zh-CN"/>
        </w:rPr>
        <w:t>在竞业期限的考量中，</w:t>
      </w:r>
      <w:r>
        <w:rPr>
          <w:rFonts w:ascii="宋体" w:hAnsi="宋体" w:eastAsia="宋体" w:cs="宋体"/>
          <w:b w:val="0"/>
          <w:bCs w:val="0"/>
          <w:i w:val="0"/>
          <w:sz w:val="21"/>
          <w:szCs w:val="24"/>
        </w:rPr>
        <w:t>超过法定二年上限的部分直接无效，但在二年法定范围内，如果竞业期限与行业特性相比明显过长</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如技术迭代仅一年的行业中约定二年竞业限制</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也应作为降低违约金的考量因素。期限越长，劳动者职业自由受到的实质限制越严重，违约金所对应的压力在时间维度上的正当性越弱。在互联网行业，超过一年的竞业限制期限可能已经超出了实际保护诉求；在传统制造业，二年的期限可能恰好合理。法院应当结合行业通行做法和劳动者岗位特性，对竞业期限的实质合理性作出判断，这与指导案例190号“实质性竞争关联”判断的内在逻辑是一致的</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形式上的合规不排斥实质上的合理性审查。</w:t>
      </w:r>
      <w:r>
        <w:rPr>
          <w:rFonts w:eastAsia="宋体" w:ascii="宋体" w:hAnsi="宋体" w:cs="宋体"/>
          <w:rStyle w:val="10"/>
          <w:b w:val="0"/>
          <w:i w:val="0"/>
          <w:sz w:val="21"/>
        </w:rPr>
        <w:footnoteReference w:id="32"/>
      </w:r>
    </w:p>
    <w:p w14:paraId="5C293689">
      <w:pPr>
        <w:spacing w:line="240" w:lineRule="auto" w:before="0" w:after="0" w:beforeLines="0" w:afterLines="0"/>
        <w:ind w:firstLineChars="200" w:leftChars="0" w:hangingChars="0"/>
        <w:jc w:val="left"/>
        <w:rPr>
          <w:rFonts w:ascii="宋体" w:hAnsi="宋体" w:eastAsia="宋体" w:cs="宋体"/>
          <w:b w:val="0"/>
          <w:bCs w:val="0"/>
          <w:sz w:val="24"/>
          <w:szCs w:val="24"/>
        </w:rPr>
      </w:pPr>
      <w:r>
        <w:rPr>
          <w:rFonts w:ascii="宋体" w:hAnsi="宋体" w:eastAsia="宋体" w:cs="宋体"/>
          <w:b w:val="0"/>
          <w:bCs w:val="0"/>
          <w:i w:val="0"/>
          <w:sz w:val="21"/>
          <w:szCs w:val="24"/>
        </w:rPr>
        <w:t>劳动者违约收益与职业发展阻碍压力性违约金的压力强度应在“足以威慑但不过度”的区间内。从正向判断，违约金至少应不低于劳动者的违约收益</w:t>
      </w:r>
      <w:r>
        <w:rPr>
          <w:rFonts w:hint="eastAsia" w:cs="宋体" w:eastAsia="宋体" w:ascii="宋体" w:hAnsi="宋体"/>
          <w:b w:val="0"/>
          <w:bCs w:val="0"/>
          <w:i w:val="0"/>
          <w:sz w:val="21"/>
          <w:szCs w:val="24"/>
          <w:lang w:val="en-US" w:eastAsia="zh-CN"/>
        </w:rPr>
        <w:t>与</w:t>
      </w:r>
      <w:r>
        <w:rPr>
          <w:rFonts w:ascii="宋体" w:hAnsi="宋体" w:eastAsia="宋体" w:cs="宋体"/>
          <w:b w:val="0"/>
          <w:bCs w:val="0"/>
          <w:i w:val="0"/>
          <w:sz w:val="21"/>
          <w:szCs w:val="24"/>
        </w:rPr>
        <w:t>新工作薪酬的差额加上预期的职业发展收益，否则威慑效果丧失。从反向判断，如果违约金远超违约收益，压力已不成比例地过高。违约收益可以包括新工作薪酬与原工作薪酬的差额，扣减劳动者本可获得的补偿金后的净收益。将传统的“债权人损失”比较拓展为“债务人收益”的考量，违约金调整的公平原则要求全面考量双方的利益格局。</w:t>
      </w:r>
    </w:p>
    <w:p w14:paraId="3ECE813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对劳动者职业发展的实质阻碍程度是另一个重要考量。在2025年典型案例四中，法院将竞业限制义务限定于特定两款药物，劳动者在其他药物领域的就业自由不受限制。此种限缩解释本身就说明，如果竞业限制的范围和期限导致劳动者被迫转入完全不同行业、长期无法发挥既有专业技能，违约金的压力便已超出竞业限制制度的正当目的。在权衡过程中，一个有用的思考框架是：如果执行约定违约金将使劳动者在竞业期限内实质上丧失在相关行业中谋生的能力，那么违约金就应该被调低。这不是出于对劳动者的同情，而是因为这种压力水平已经超出了担保竞业限制义务的实际需要，违约金已从履约保障异化为对劳动者流动的不当约束。</w:t>
      </w:r>
    </w:p>
    <w:p w14:paraId="6A3C4F4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违约收益分析在劳动竞业限制与商事竞业禁止中的权重应有所不同。在劳动竞业限制中，劳动者的违约收益通常以薪酬差额为主要形式，相较于用人单位的竞争利益损害，其在权衡中的权重应受一定限制。过分强调“违约收益”因素可能导致威慑不足，使违约金制度失去对劳动者的行为约束功能。在商事竞业禁止中，违约方的违约收益（如利用原公司的客户资源获取商业利润）与违约金的关系更为对称，违约收益的考量权重可以适当提升。</w:t>
      </w:r>
    </w:p>
    <w:p w14:paraId="2A9F8903">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i w:val="0"/>
          <w:kern w:val="2"/>
          <w:sz w:val="24"/>
          <w:szCs w:val="24"/>
          <w:lang w:val="en-US" w:eastAsia="zh-CN" w:bidi="ar-SA"/>
        </w:rPr>
        <w:t>（三）</w:t>
      </w:r>
      <w:r>
        <w:rPr>
          <w:rFonts w:hint="eastAsia" w:ascii="宋体" w:hAnsi="宋体" w:eastAsia="楷体" w:cs="宋体"/>
          <w:b/>
          <w:i w:val="0"/>
          <w:kern w:val="2"/>
          <w:sz w:val="24"/>
          <w:szCs w:val="24"/>
          <w:lang w:val="en-US" w:eastAsia="zh-CN" w:bidi="ar-SA"/>
        </w:rPr>
        <w:t>恶意违约的情境化处理</w:t>
      </w:r>
    </w:p>
    <w:p w14:paraId="2664FB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《合同编通则解释》第65条第3款确立恶意违约不得酌减的规则，规范基础在于诚实信用原则</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即</w:t>
      </w:r>
      <w:r>
        <w:rPr>
          <w:rFonts w:ascii="宋体" w:hAnsi="宋体" w:eastAsia="宋体" w:cs="宋体"/>
          <w:b w:val="0"/>
          <w:bCs w:val="0"/>
          <w:i w:val="0"/>
          <w:sz w:val="21"/>
          <w:szCs w:val="24"/>
        </w:rPr>
        <w:t>任何人不得从自己的背信行为中获利。竞业限制违约相较于一般合同违约，其背信性质更为显著。劳动者在劳动关系存续期间获取了用人单位的商业秘密和保密信息，离职后利用这些信息从事竞争行为，本身就构成了对劳动关系中信任基础的破坏。</w:t>
      </w:r>
    </w:p>
    <w:p w14:paraId="44334E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竞业限制领域，恶意违约的典型形态包括三种。其一，预谋型——离职前就已策划在竞争企业就职或自办竞争企业。此种形态中，劳动者在尚未离职时即已开始筹划违约，其行为在时间维度上跨越了劳动关系存续期间和竞业限制期间，背信程度最深。其二，在职违约型——劳动合同存续期间已开始实施竞业行为。2025年典型案例五即为此种形态：劳动者在职期间自行联络供货商向公司客户出售布匹，所得货款归己所有，法院认定其不仅违反竞业限制义务还违反忠实义务，判决承担违约责任。此种形态中，劳动者的忠实义务与竞业限制义务同时被违反，双重背信使排除酌减的正当性更为充分。其三，组织型——拉拢在职同事集体跳槽至竞争企业。此种形态不仅涉及单个劳动者的违约，还会对用人单位的人力资源造成系统性冲击。</w:t>
      </w:r>
    </w:p>
    <w:p w14:paraId="5495D2E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三种形态的共性是违约行为并非临时判断失误，而是有预谋、有组织的背信行为。在司法效果上应作三阶区分。第一阶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恶意违约</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应</w:t>
      </w:r>
      <w:r>
        <w:rPr>
          <w:rFonts w:ascii="宋体" w:hAnsi="宋体" w:eastAsia="宋体" w:cs="宋体"/>
          <w:b w:val="0"/>
          <w:bCs w:val="0"/>
          <w:i w:val="0"/>
          <w:sz w:val="21"/>
          <w:szCs w:val="24"/>
        </w:rPr>
        <w:t>排除调整，全额支持约定违约金。指导案例166号确立</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和解协议中自愿承诺违约金后恶意违约者不得请求调减</w:t>
      </w:r>
      <w:r>
        <w:rPr>
          <w:rFonts w:hint="eastAsia" w:cs="宋体" w:eastAsia="宋体" w:ascii="宋体" w:hAnsi="宋体"/>
          <w:b w:val="0"/>
          <w:bCs w:val="0"/>
          <w:i w:val="0"/>
          <w:sz w:val="21"/>
          <w:szCs w:val="24"/>
          <w:lang w:val="en-US" w:eastAsia="zh-CN"/>
        </w:rPr>
        <w:t>.</w:t>
      </w:r>
      <w:r>
        <w:rPr>
          <w:rFonts w:ascii="宋体" w:hAnsi="宋体" w:eastAsia="宋体" w:cs="宋体"/>
          <w:b w:val="0"/>
          <w:bCs w:val="0"/>
          <w:i w:val="0"/>
          <w:sz w:val="21"/>
          <w:szCs w:val="24"/>
        </w:rPr>
        <w:t>在竞业限制领域同样适用：预谋入职竞争对手并拉拢同事的劳动者，不得在事后以“违约金过高”为由请求减免。在（2018）京0107民初27259号案中，劳动者在职期间与竞争公司签订合作协议并领取51万元入职奖励金，同时支持妻子注册成立经营范围重合的公司。此种双重违约行为明显构成恶意，法院虽未明确援引恶意违约排除规则，但仅将违约金从10万元调减至8万元（调减20%），远低于一般劳动竞业限制案件的调减幅度，实质上体现了对恶意违约的从严处理。</w:t>
      </w:r>
    </w:p>
    <w:p w14:paraId="76B73A1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第二</w:t>
      </w:r>
      <w:r>
        <w:rPr>
          <w:rFonts w:hint="eastAsia" w:cs="宋体" w:eastAsia="宋体" w:ascii="宋体" w:hAnsi="宋体"/>
          <w:b w:val="0"/>
          <w:bCs w:val="0"/>
          <w:i w:val="0"/>
          <w:sz w:val="21"/>
          <w:szCs w:val="24"/>
          <w:lang w:val="en-US" w:eastAsia="zh-CN"/>
        </w:rPr>
        <w:t>阶段，</w:t>
      </w:r>
      <w:r>
        <w:rPr>
          <w:rFonts w:ascii="宋体" w:hAnsi="宋体" w:eastAsia="宋体" w:cs="宋体"/>
          <w:b w:val="0"/>
          <w:bCs w:val="0"/>
          <w:i w:val="0"/>
          <w:sz w:val="21"/>
          <w:szCs w:val="24"/>
        </w:rPr>
        <w:t>一般故意违约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明知竞业限制义务存在仍选择去竞争企业工作，但无预谋策划。此种情形仍在动态比例框架内调整，但故意减少酌减幅度。法院认定退股股东钟立的行为“主观过错明显”，但同时承认双方约定的违约金制度“本即是为避免举证困难”，最终在商事竞业禁止框架下将违约金从150万元调减至100万元。这一调减本身即体现了“故意减少酌减幅度”的逻辑：如果是一般过失违约，在股权转让对价仅为18万元的情况下，调减幅度可能会更大。</w:t>
      </w:r>
      <w:r>
        <w:rPr>
          <w:rStyle w:val="10"/>
          <w:rFonts w:ascii="宋体" w:hAnsi="宋体" w:eastAsia="宋体" w:cs="宋体"/>
          <w:b w:val="0"/>
          <w:bCs w:val="0"/>
          <w:i w:val="0"/>
          <w:sz w:val="21"/>
          <w:szCs w:val="24"/>
        </w:rPr>
        <w:footnoteReference w:id="33"/>
      </w:r>
    </w:p>
    <w:p w14:paraId="1D29D181">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第三阶</w:t>
      </w:r>
      <w:r>
        <w:rPr>
          <w:rFonts w:hint="eastAsia" w:cs="宋体" w:eastAsia="宋体" w:ascii="宋体" w:hAnsi="宋体"/>
          <w:b w:val="0"/>
          <w:bCs w:val="0"/>
          <w:i w:val="0"/>
          <w:sz w:val="21"/>
          <w:szCs w:val="24"/>
          <w:lang w:val="en-US" w:eastAsia="zh-CN"/>
        </w:rPr>
        <w:t>段为</w:t>
      </w:r>
      <w:r>
        <w:rPr>
          <w:rFonts w:ascii="宋体" w:hAnsi="宋体" w:eastAsia="宋体" w:cs="宋体"/>
          <w:b w:val="0"/>
          <w:bCs w:val="0"/>
          <w:i w:val="0"/>
          <w:sz w:val="21"/>
          <w:szCs w:val="24"/>
        </w:rPr>
        <w:t>过失违约</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劳动者对竞争关联存在合理误解，或用人单位未就竞业范围作出充分说明，正常适用动态比例原则。在指导案例190号中，劳动者王山从金融信息服务企业跳槽至视频平台企业，两家企业的经营范围虽在纸面上存在重合，但实质竞争关联被否定。此类情形中，劳动者对竞业范围的理解偏差具有一定合理性，不足以认定为故意违约，应在动态比例框架内进行正常调整。</w:t>
      </w:r>
    </w:p>
    <w:p w14:paraId="3BF9161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举证责任上，主张违约方存在恶意的一方（用人单位）应当就恶意的事实承担证明责任，包括预谋行为（如离职前与竞争企业的通讯记录、面试安排）、组织行为（如拉拢同事的证据）和在职违约行为（如在职期间为竞争企业提供服务）的具体证据。从黄冠的实证数据来看，用人单位能够成功证明恶意违约的案件比例极低。恶意违约排除规则在竞业限制领域还有一个特殊的意义维度：竞业限制作为以信任为基础的制度安排，恶意违约是对这种信任关联的根本性破坏。当劳动者不仅违反了不作为义务，而且是以有预谋、有组织的方式违反时，其行为已经不再是单纯的违约，而是构成了对双方合作关联的背叛。在此种情形下，法律不再给予背信者以公平保护的救济，不是出于惩罚的动机，而是因为背信者已经丧失了请求公平救济的道德资格。这符合“任何人不得从自己的背信行为中获利”这一诚信原则的基本要求。</w:t>
      </w:r>
    </w:p>
    <w:p w14:paraId="0FCC58FF">
      <w:pPr>
        <w:pStyle w:val="3"/>
        <w:keepNext/>
        <w:keepLines/>
        <w:pageBreakBefore w:val="0"/>
        <w:widowControl w:val="0"/>
        <w:kinsoku/>
        <w:wordWrap/>
        <w:overflowPunct/>
        <w:topLinePunct w:val="0"/>
        <w:autoSpaceDE/>
        <w:autoSpaceDN/>
        <w:bidi w:val="0"/>
        <w:adjustRightInd/>
        <w:snapToGrid/>
        <w:spacing w:before="0" w:beforeAutospacing="0" w:after="0" w:afterAutospacing="0" w:line="240" w:lineRule="auto" w:beforeLines="0" w:afterLines="0"/>
        <w:ind w:firstLineChars="200" w:leftChars="0" w:hangingChars="0"/>
        <w:jc w:val="left"/>
        <w:textAlignment w:val="auto"/>
        <w:rPr>
          <w:rFonts w:hint="eastAsia"/>
          <w:lang w:val="en-US" w:eastAsia="zh-CN"/>
        </w:rPr>
      </w:pPr>
      <w:r>
        <w:rPr>
          <w:rFonts w:hint="eastAsia" w:ascii="宋体" w:hAnsi="宋体" w:cs="宋体" w:eastAsia="楷体"/>
          <w:b/>
          <w:bCs w:val="0"/>
          <w:i w:val="0"/>
          <w:kern w:val="2"/>
          <w:sz w:val="24"/>
          <w:szCs w:val="24"/>
          <w:lang w:val="en-US" w:eastAsia="zh-CN" w:bidi="ar-SA"/>
        </w:rPr>
        <w:t>（六）</w:t>
      </w:r>
      <w:r>
        <w:rPr>
          <w:rFonts w:hint="eastAsia" w:ascii="宋体" w:hAnsi="宋体" w:eastAsia="楷体" w:cs="宋体"/>
          <w:b/>
          <w:bCs w:val="0"/>
          <w:i w:val="0"/>
          <w:kern w:val="2"/>
          <w:sz w:val="24"/>
          <w:szCs w:val="24"/>
          <w:lang w:val="en-US" w:eastAsia="zh-CN" w:bidi="ar-SA"/>
        </w:rPr>
        <w:t>动态比例原则的适用演示</w:t>
      </w:r>
    </w:p>
    <w:p w14:paraId="6DD2AFD4">
      <w:pPr>
        <w:spacing w:line="240" w:lineRule="auto" w:before="0" w:after="0" w:beforeLines="0" w:afterLines="0"/>
        <w:ind w:firstLineChars="200" w:leftChars="0" w:hangingChars="0"/>
        <w:jc w:val="left"/>
      </w:pPr>
      <w:r>
        <w:rPr>
          <w:rFonts w:ascii="宋体" w:hAnsi="宋体" w:eastAsia="宋体" w:cs="宋体"/>
          <w:b w:val="0"/>
          <w:bCs w:val="0"/>
          <w:i w:val="0"/>
          <w:sz w:val="21"/>
          <w:szCs w:val="24"/>
        </w:rPr>
        <w:t>为更直观地展示动态比例的操作方法，以下通过两个假设场景来演示其适用过程</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一个为劳动竞业限制场景，一个为商事竞业禁止场景</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凸显两种类型在调整逻辑上的差异。</w:t>
      </w:r>
    </w:p>
    <w:p w14:paraId="0EABAF97">
      <w:pPr>
        <w:spacing w:line="240" w:lineRule="auto" w:before="0" w:after="0" w:beforeLines="0" w:afterLines="0"/>
        <w:ind w:firstLineChars="200" w:leftChars="0" w:hangingChars="0"/>
        <w:jc w:val="left"/>
      </w:pPr>
      <w:r>
        <w:rPr>
          <w:rFonts w:ascii="宋体" w:hAnsi="宋体" w:eastAsia="楷体" w:cs="宋体"/>
          <w:b/>
          <w:bCs/>
          <w:i w:val="0"/>
          <w:sz w:val="24"/>
          <w:szCs w:val="24"/>
        </w:rPr>
        <w:t>（一）</w:t>
      </w:r>
      <w:r>
        <w:rPr>
          <w:rFonts w:hint="eastAsia" w:ascii="宋体" w:hAnsi="宋体" w:eastAsia="楷体" w:cs="宋体"/>
          <w:b/>
          <w:bCs w:val="0"/>
          <w:i w:val="0"/>
          <w:kern w:val="2"/>
          <w:sz w:val="24"/>
          <w:szCs w:val="24"/>
          <w:lang w:val="en-US" w:eastAsia="zh-CN" w:bidi="ar-SA"/>
        </w:rPr>
        <w:t>劳动竞业限制场景</w:t>
      </w:r>
    </w:p>
    <w:p w14:paraId="1333BCDA">
      <w:pPr>
        <w:spacing w:line="240" w:lineRule="auto" w:before="0" w:after="0" w:beforeLines="0" w:afterLines="0"/>
        <w:ind w:firstLineChars="200" w:leftChars="0" w:hangingChars="0"/>
        <w:jc w:val="left"/>
      </w:pPr>
      <w:r>
        <w:rPr>
          <w:rFonts w:ascii="宋体" w:hAnsi="宋体" w:eastAsia="宋体" w:cs="宋体"/>
          <w:b w:val="0"/>
          <w:bCs w:val="0"/>
          <w:i w:val="0"/>
          <w:sz w:val="21"/>
          <w:szCs w:val="24"/>
        </w:rPr>
        <w:t>某人工智能企业（甲方）与其首席算法工程师（乙方）签订了竞业限制协议，约定竞业期限二年、月补偿金为乙方离职前月薪的30%（约15,000元/月）、违约金为乙方离职前两年工资总额（约120万元）。乙方离职后三个月即入职一家直接竞争的人工智能企业，从事类似的算法研发工作。甲方诉请乙方支付违约金120万元，乙方以违约金过高为由请求调减。</w:t>
      </w:r>
    </w:p>
    <w:p w14:paraId="09D04D6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竞业限制协议合法有效，乙方属于高级技术人员，在竞业限制义务存续期间入职直接竞争企业，违约行为成立，违约金请求权产生。</w:t>
      </w:r>
    </w:p>
    <w:p w14:paraId="5EA95121">
      <w:pPr>
        <w:spacing w:line="240" w:lineRule="auto" w:before="0" w:after="0" w:beforeLines="0" w:afterLines="0"/>
        <w:ind w:leftChars="0" w:firstLineChars="200" w:hangingChars="0"/>
        <w:jc w:val="left"/>
      </w:pPr>
      <w:r>
        <w:rPr>
          <w:rFonts w:ascii="宋体" w:hAnsi="宋体" w:eastAsia="宋体" w:cs="宋体"/>
          <w:b w:val="0"/>
          <w:bCs w:val="0"/>
          <w:i w:val="0"/>
          <w:sz w:val="21"/>
          <w:szCs w:val="24"/>
        </w:rPr>
        <w:t>第二步，类型识别与推定效力判断：本场景属于劳动竞业限制而非商事竞业禁止，约定数额120万元应受约束而非当然推定合理。但补偿金达到原薪酬的30%，属于充分水平，这在一定程度上增强了约定的正当性，使推定效力从弱推定提升至中等推定。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如果甲方能证明乙方在离职前已与竞争企业接触并达成入职意向，可能构成恶意违约；如果不能证明，则进入一般故意违约的分析。第四步，以约定数额120万元为基准展开利益权衡。</w:t>
      </w:r>
    </w:p>
    <w:p w14:paraId="5B4067B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在正向因素方面：乙方作为首席算法工程师，处于IP接触程度的最高梯度，其对甲方核心算法架构的掌握具有结构性，违约造成的潜在竞争损害较大；人工智能行业的技术迭代周期约为18-24个月，二年竞业期限与行业特性相比略长但未显著超出合理范围；月补偿金15,000元达到原薪酬的30%，对价关系基本均衡。正向因素整体指向调整幅度应当较小。在负向因素方面：竞业范围如果限于“人工智能算法研发”，与乙方的专业技能高度匹配，对其职业发展的实质阻碍较强，但如果竞业范围未被不当扩张、仅限于与甲方有直接竞争关联的企业，则仍属合理范围；乙方的违约收益——竞争企业提供的薪酬减去补偿金——是可量化的因素，如果违约收益远低于120万元，则构成调减的一项理由。</w:t>
      </w:r>
    </w:p>
    <w:p w14:paraId="4A758D36">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约定数额120万元作为基准点。正向因素整体指向调整幅度应当较小。负向因素中职业发展阻碍较强但竞业范围合理，违约收益如果与120万元相差不是特别悬殊，不构成大幅调减的独立理由。最终调整数额可能在80万元上下，既保持了足够的压力（远超违约收益），又对竞业期限略长于行业有效保护期和职业发展阻碍这两个因素作出了回应。</w:t>
      </w:r>
    </w:p>
    <w:p w14:paraId="4AFE073D">
      <w:pPr>
        <w:spacing w:line="240" w:lineRule="auto" w:before="0" w:after="0" w:beforeLines="0" w:afterLines="0"/>
        <w:ind w:firstLineChars="200" w:leftChars="0" w:hangingChars="0"/>
        <w:jc w:val="left"/>
      </w:pPr>
      <w:r>
        <w:rPr>
          <w:rFonts w:ascii="宋体" w:hAnsi="宋体" w:eastAsia="楷体" w:cs="宋体"/>
          <w:b/>
          <w:bCs/>
          <w:i w:val="0"/>
          <w:sz w:val="24"/>
          <w:szCs w:val="24"/>
        </w:rPr>
        <w:t>（二）</w:t>
      </w:r>
      <w:r>
        <w:rPr>
          <w:rFonts w:hint="eastAsia" w:ascii="宋体" w:hAnsi="宋体" w:eastAsia="楷体" w:cs="宋体"/>
          <w:b/>
          <w:bCs w:val="0"/>
          <w:i w:val="0"/>
          <w:kern w:val="2"/>
          <w:sz w:val="24"/>
          <w:szCs w:val="24"/>
          <w:lang w:val="en-US" w:eastAsia="zh-CN" w:bidi="ar-SA"/>
        </w:rPr>
        <w:t>商事竞业禁止场景</w:t>
      </w:r>
    </w:p>
    <w:p w14:paraId="04F4C59D">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甲、乙为某贸易公司的两名股东，甲持股60%并任总经理，乙持股40%。甲以200万元收购乙的全部股权，《股权转让协议》约定乙退出后三年内不得从事同类业务，否则支付违约金100万元。乙退出后一年，其配偶投资设立了一家经营范围高度重合的贸易公司，乙在该公司担任顾问并领取报酬。甲诉请乙支付违约金100万元，乙以违约金过高为由请求调减。</w:t>
      </w:r>
    </w:p>
    <w:p w14:paraId="7954FA75">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第一步，给付效力审查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《股权转让协议》合法有效，系平等商事主体之间的真实意思表示，不适用《劳动合同法》关于竞业限制期限和补偿金的规定。第二步，类型识别与推定效力判断</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本场景属于商事竞业禁止，缔约双方为平等商事主体，乙以200万元股权转让款为对价承诺不竞争。100万元违约金在性质上更接近于双方对“不竞争义务价值”的事前定价，约定数额享有强推定效力，法院调整应更为节制。第三步，恶意违约审查</w:t>
      </w:r>
      <w:r>
        <w:rPr>
          <w:rFonts w:hint="eastAsia" w:cs="宋体" w:eastAsia="宋体" w:ascii="宋体" w:hAnsi="宋体"/>
          <w:b w:val="0"/>
          <w:bCs w:val="0"/>
          <w:i w:val="0"/>
          <w:sz w:val="21"/>
          <w:szCs w:val="24"/>
          <w:lang w:eastAsia="zh-CN"/>
        </w:rPr>
        <w:t>，</w:t>
      </w:r>
      <w:r>
        <w:rPr>
          <w:rFonts w:ascii="宋体" w:hAnsi="宋体" w:eastAsia="宋体" w:cs="宋体"/>
          <w:b w:val="0"/>
          <w:bCs w:val="0"/>
          <w:i w:val="0"/>
          <w:sz w:val="21"/>
          <w:szCs w:val="24"/>
        </w:rPr>
        <w:t>乙通过配偶名义设立竞争公司并担任顾问，试图以形式上并非本人经营规避竞业禁止义务，具有规避意图。但该行为是否构成预谋需要结合乙退出前后的具体行为来判断。如果乙在股权转让谈判期间已开始筹划新公司，可能构成恶意违约；如果是在退出后因市场机会而临时决定，则属于一般故意违约。第四步，利益权衡。乙原持股40%并参与公司经营管理，对公司商业秘密和客户资源具有全面掌握，接触程度相当于IP最高梯度；贸易行业客户关系具有持续性，乙退出后一年内即从事竞争业务，客户流失风险较大；200万元股权转让款中包含了对竞业禁止义务的对价，虽然该对价未在协议中单独列明。三年竞业期限虽不适用《劳动合同法》的二年上限，但对于贸易行业而言可能偏长；违约金100万元相较于200万元的股权转让款，占交易对价的50%，比例上存在讨论空间。</w:t>
      </w:r>
    </w:p>
    <w:p w14:paraId="1A3D846E">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综合权衡后，法院可能将违约金调整至60-80万元之间。此场景与劳动竞业限制场景的关键差异在于：约定数额的推定效力更强（商事主体、对价充分），调整幅度更小；法院不能简单地以补偿金倍数或年收入倍数为基准进行调减，而应从整个股权转让交易的对价结构出发来评价竞业禁止义务的价值。</w:t>
      </w:r>
    </w:p>
    <w:p w14:paraId="41DC1818">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将上述两种场景进行对比，可以更清晰地展示动态比例原则的类型化操作优势。在“以损失为基准”的统一路径下，两个场景中的法院都面临“实际损失是多少”的难题，最终可能都以一个模糊的“综合考量”来回避论证，这正是当前司法实践的普遍做法。动态比例原则的路径则将两个场景导入不同的分析轨道：在劳动竞业限制场景中，以中等推定为起点，通过正负因素的系统权衡来确定调整幅度；在商事竞业禁止场景中，以强推定为起点，调整更为节制。两种结论都是动态比例原则的正确运用，只要法院在每个案件中完成了结构化的说理。</w:t>
      </w:r>
    </w:p>
    <w:p w14:paraId="0ECEC520">
      <w:pPr>
        <w:spacing w:line="240" w:lineRule="auto" w:before="0" w:after="0" w:beforeLines="0" w:afterLines="0"/>
        <w:ind w:firstLineChars="200" w:leftChars="0" w:hangingChars="0"/>
        <w:jc w:val="left"/>
      </w:pPr>
      <w:r>
        <w:rPr>
          <w:rFonts w:ascii="宋体" w:hAnsi="宋体" w:eastAsia="宋体" w:cs="宋体"/>
          <w:b w:val="0"/>
          <w:bCs w:val="0"/>
          <w:i w:val="0"/>
          <w:sz w:val="21"/>
          <w:szCs w:val="24"/>
        </w:rPr>
        <w:t>动态比例的核心是权衡的方法和论证的结构，而不是特定的数值区间。每一个案件中的具体调整数额，取决于该案特有的正负因素配置。在甲案中核心IP接触因素的权重可能压倒其他因素而支持较小幅度的调整，在乙案中竞业范围过宽或补偿金过低可能成为调减的决定性理由。两种结论都是动态比例原则的正确运用，只要法院在每个案件中完成了结构化的说理。</w:t>
      </w:r>
    </w:p>
    <w:p w14:paraId="0393DF47">
      <w:pPr>
        <w:pStyle w:val="2"/>
        <w:bidi w:val="0"/>
        <w:jc w:val="center"/>
        <w:rPr>
          <w:rFonts w:hint="eastAsia"/>
          <w:lang w:val="en-US" w:eastAsia="zh-CN"/>
        </w:rPr>
        <w:spacing w:line="240" w:lineRule="auto" w:before="0" w:after="0" w:beforeLines="0" w:afterLines="0"/>
      </w:pPr>
      <w:r>
        <w:rPr>
          <w:rFonts w:hint="eastAsia" w:eastAsia="宋体" w:ascii="宋体" w:hAnsi="宋体" w:cs="宋体"/>
          <w:b/>
          <w:bCs/>
          <w:i w:val="0"/>
          <w:sz w:val="24"/>
          <w:lang w:val="en-US" w:eastAsia="zh-CN"/>
        </w:rPr>
        <w:t>结论</w:t>
      </w:r>
    </w:p>
    <w:p w14:paraId="61921677">
      <w:pPr>
        <w:spacing w:line="240" w:lineRule="auto" w:before="0" w:after="0" w:beforeLines="0" w:afterLines="0"/>
        <w:ind w:firstLineChars="200" w:leftChars="0" w:hangingChars="0"/>
        <w:jc w:val="left"/>
      </w:pPr>
      <w:r>
        <w:rPr>
          <w:rFonts w:ascii="宋体" w:hAnsi="宋体" w:eastAsia="宋体" w:cs="宋体"/>
          <w:b w:val="0"/>
          <w:bCs w:val="0"/>
          <w:i w:val="0"/>
          <w:sz w:val="21"/>
          <w:szCs w:val="24"/>
        </w:rPr>
        <w:t>竞业限制违约金在规范类型中</w:t>
      </w:r>
      <w:r>
        <w:rPr>
          <w:rFonts w:hint="eastAsia" w:cs="宋体" w:eastAsia="宋体" w:ascii="宋体" w:hAnsi="宋体"/>
          <w:b w:val="0"/>
          <w:bCs w:val="0"/>
          <w:i w:val="0"/>
          <w:sz w:val="21"/>
          <w:szCs w:val="24"/>
          <w:lang w:val="en-US" w:eastAsia="zh-CN"/>
        </w:rPr>
        <w:t>更凸显其压力属性</w:t>
      </w:r>
      <w:r>
        <w:rPr>
          <w:rFonts w:ascii="宋体" w:hAnsi="宋体" w:eastAsia="宋体" w:cs="宋体"/>
          <w:b w:val="0"/>
          <w:bCs w:val="0"/>
          <w:i w:val="0"/>
          <w:sz w:val="21"/>
          <w:szCs w:val="24"/>
        </w:rPr>
        <w:t>，以担保不作为义务的履行为核心功能。，竞业限制违约金以压力功能为主导、以损害为参照，在劳动竞业限制与商事竞业禁止两种类型中呈现出差异化的功能配置。前者因缔约地位不对等而需要更为审慎的司法审查，后者因平等协商而赋予约定数额更强的推定效力。</w:t>
      </w:r>
    </w:p>
    <w:p w14:paraId="5350803B">
      <w:pPr>
        <w:spacing w:line="240" w:lineRule="auto" w:before="0" w:after="0" w:beforeLines="0" w:afterLines="0"/>
        <w:ind w:firstLineChars="200" w:leftChars="0" w:hangingChars="0"/>
        <w:jc w:val="left"/>
        <w:rPr>
          <w:rFonts w:hint="default" w:eastAsia="宋体"/>
          <w:lang w:val="en-US" w:eastAsia="zh-CN"/>
        </w:rPr>
      </w:pPr>
      <w:r>
        <w:rPr>
          <w:rFonts w:ascii="宋体" w:hAnsi="宋体" w:eastAsia="宋体" w:cs="宋体"/>
          <w:b w:val="0"/>
          <w:bCs w:val="0"/>
          <w:i w:val="0"/>
          <w:sz w:val="21"/>
          <w:szCs w:val="24"/>
        </w:rPr>
        <w:t>以压力性违约金沟通违约金功能论与竞业限制合同类型间的规范关联，以非典型损害为第585条第2款“损失”在竞业限制中的目的解释提供具体分析工具，以动态比例将“综合权衡”从一种缺乏操作性的裁判修辞转化为可以接受上诉审查的规范性论证。司法应当如何介入才能既尊重当事人的自治安排，又防止自治异化为压制</w:t>
      </w:r>
      <w:r>
        <w:rPr>
          <w:rFonts w:hint="eastAsia" w:cs="宋体" w:eastAsia="宋体" w:ascii="宋体" w:hAnsi="宋体"/>
          <w:b w:val="0"/>
          <w:bCs w:val="0"/>
          <w:i w:val="0"/>
          <w:sz w:val="21"/>
          <w:szCs w:val="24"/>
          <w:lang w:eastAsia="zh-CN"/>
        </w:rPr>
        <w:t>，</w:t>
      </w:r>
      <w:r>
        <w:rPr>
          <w:rFonts w:hint="eastAsia" w:cs="宋体" w:eastAsia="宋体" w:ascii="宋体" w:hAnsi="宋体"/>
          <w:b w:val="0"/>
          <w:bCs w:val="0"/>
          <w:i w:val="0"/>
          <w:sz w:val="21"/>
          <w:szCs w:val="24"/>
          <w:lang w:val="en-US" w:eastAsia="zh-CN"/>
        </w:rPr>
        <w:t>实现意思自治与个案正义的平衡。</w:t>
      </w:r>
    </w:p>
    <w:sectPr>
      <w:pgSz w:w="11906" w:h="16838"/>
      <w:pgMar w:top="1440" w:right="1800" w:bottom="1440" w:left="1800" w:header="0" w:footer="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Pr>
    <w:numFmt w:val="decimal"/>
    <w:numStart w:val="1"/>
    <w:numRestart w:val="0"/>
  </w:footnotePr>
  <w:footnote w:type="separator" w:id="68">
    <w:p>
      <w:pPr>
        <w:spacing w:line="240" w:lineRule="auto" w:before="0" w:after="0"/>
        <w:ind w:firstLine="480"/>
      </w:pPr>
      <w:r>
        <w:rPr>
          <w:rFonts w:eastAsia="宋体" w:ascii="宋体" w:hAnsi="宋体"/>
          <w:sz w:val="18"/>
          <w:szCs w:val="18"/>
        </w:rPr>
        <w:separator/>
      </w:r>
    </w:p>
  </w:footnote>
  <w:footnote w:type="continuationSeparator" w:id="69">
    <w:p>
      <w:pPr>
        <w:spacing w:line="240" w:lineRule="auto" w:before="0" w:after="0"/>
        <w:ind w:firstLine="480"/>
      </w:pPr>
      <w:r>
        <w:rPr>
          <w:rFonts w:eastAsia="宋体" w:ascii="宋体" w:hAnsi="宋体"/>
          <w:sz w:val="18"/>
          <w:szCs w:val="18"/>
        </w:rPr>
        <w:continuationSeparator/>
      </w:r>
    </w:p>
  </w:footnote>
  <w:footnote w:id="0">
    <w:p w14:paraId="61153023">
      <w:pPr>
        <w:pStyle w:val="5"/>
        <w:snapToGrid w:val="0"/>
        <w:rPr>
          <w:rFonts w:hint="default"/>
          <w:lang w:val="en-US" w:eastAsia="zh-CN"/>
        </w:rPr>
      </w:pPr>
      <w:r>
        <w:rPr>
          <w:rStyle w:val="10"/>
        </w:rPr>
        <w:footnoteRef/>
      </w:r>
      <w:r>
        <w:t xml:space="preserve"> </w:t>
      </w:r>
      <w:r>
        <w:rPr>
          <w:rFonts w:hint="eastAsia"/>
          <w:lang w:val="en-US" w:eastAsia="zh-CN"/>
        </w:rPr>
        <w:t>参见广州市黄埔区人民法院（2022）粤0112民初32652号民事判决书</w:t>
      </w:r>
    </w:p>
  </w:footnote>
  <w:footnote w:id="1">
    <w:p w14:paraId="6927FCB6">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参见贵州省贵阳市中级人民法院（2016）黔01民终440号民事判决书</w:t>
      </w:r>
    </w:p>
  </w:footnote>
  <w:footnote w:id="2">
    <w:p w14:paraId="13F42C7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参见罗昆：《违约金的性质反思与类型重构——</w:t>
      </w:r>
      <w:r>
        <w:rPr>
          <w:rFonts w:hint="eastAsia" w:eastAsia="宋体" w:ascii="宋体" w:hAnsi="宋体"/>
          <w:sz w:val="18"/>
          <w:szCs w:val="18"/>
          <w:lang w:val="en-US" w:eastAsia="zh-CN"/>
        </w:rPr>
        <w:t>一种功能主义视角</w:t>
      </w:r>
      <w:r>
        <w:rPr>
          <w:rFonts w:ascii="宋体" w:hAnsi="宋体" w:eastAsia="宋体"/>
          <w:sz w:val="18"/>
          <w:szCs w:val="18"/>
        </w:rPr>
        <w:t>》，载《法商研究》20</w:t>
      </w:r>
      <w:r>
        <w:rPr>
          <w:rFonts w:hint="eastAsia" w:eastAsia="宋体" w:ascii="宋体" w:hAnsi="宋体"/>
          <w:sz w:val="18"/>
          <w:szCs w:val="18"/>
          <w:lang w:val="en-US" w:eastAsia="zh-CN"/>
        </w:rPr>
        <w:t>15</w:t>
      </w:r>
      <w:r>
        <w:rPr>
          <w:rFonts w:ascii="宋体" w:hAnsi="宋体" w:eastAsia="宋体"/>
          <w:sz w:val="18"/>
          <w:szCs w:val="18"/>
        </w:rPr>
        <w:t>年第5期。</w:t>
      </w:r>
    </w:p>
  </w:footnote>
  <w:footnote w:id="3">
    <w:p w14:paraId="75FB61B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参见黄冠、邹爱华：《竞业限制违约金的惩罚性质与制度因应——基于607份裁判文书的分析》，载《浙江理工大学学报》2026年第2期。</w:t>
      </w:r>
    </w:p>
  </w:footnote>
  <w:footnote w:id="4">
    <w:p w14:paraId="6976334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姚明斌：《〈合同法〉第114条（约定违约金）评注》，载《法学家》2017年第5期。</w:t>
      </w:r>
    </w:p>
  </w:footnote>
  <w:footnote w:id="5">
    <w:p w14:paraId="4A43C58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邓辉、王浩然：《〈民法典〉违约金制度的功能优化》，载《</w:t>
      </w:r>
      <w:r>
        <w:rPr>
          <w:rFonts w:hint="eastAsia" w:eastAsia="宋体" w:ascii="宋体" w:hAnsi="宋体"/>
          <w:sz w:val="18"/>
          <w:lang w:val="en-US" w:eastAsia="zh-CN"/>
          <w:szCs w:val="18"/>
        </w:rPr>
        <w:t>财经法学</w:t>
      </w:r>
      <w:r>
        <w:rPr>
          <w:rFonts w:ascii="宋体" w:hAnsi="宋体" w:eastAsia="宋体"/>
          <w:sz w:val="18"/>
          <w:szCs w:val="18"/>
        </w:rPr>
        <w:t>》2021年第2期。</w:t>
      </w:r>
    </w:p>
  </w:footnote>
  <w:footnote w:id="6">
    <w:p w14:paraId="0996FCE7">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覃榆翔：《〈民法典〉视阈下违约金司法酌减规则的区分适用论》，载《</w:t>
      </w:r>
      <w:r>
        <w:rPr>
          <w:rFonts w:hint="eastAsia" w:eastAsia="宋体" w:ascii="宋体" w:hAnsi="宋体"/>
          <w:sz w:val="18"/>
          <w:lang w:val="en-US" w:eastAsia="zh-CN"/>
          <w:szCs w:val="18"/>
        </w:rPr>
        <w:t>财经法学</w:t>
      </w:r>
      <w:r>
        <w:rPr>
          <w:rFonts w:ascii="宋体" w:hAnsi="宋体" w:eastAsia="宋体"/>
          <w:sz w:val="18"/>
          <w:szCs w:val="18"/>
        </w:rPr>
        <w:t>》2023年第3期。</w:t>
      </w:r>
    </w:p>
  </w:footnote>
  <w:footnote w:id="7">
    <w:p w14:paraId="11FC85DC">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许德风：《违约金司法酌减的依据及其限度》，载《法学》2024年第4期。</w:t>
      </w:r>
    </w:p>
  </w:footnote>
  <w:footnote w:id="8">
    <w:p w14:paraId="539C1D8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覃榆翔：《再论违约金的规制模式：异化与回归》，载《南大法学》2023年第1期。</w:t>
      </w:r>
    </w:p>
  </w:footnote>
  <w:footnote w:id="9">
    <w:p w14:paraId="018D6D0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刘承韪：《〈民法典合同编通则解释〉违约责任制度的亮点与盲点》，载《浙江工商大学学报》2024年第2期。</w:t>
      </w:r>
    </w:p>
  </w:footnote>
  <w:footnote w:id="10">
    <w:p w14:paraId="29070549">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黄冠、邹爱华：《竞业限制违约金的惩罚性质与制度因应——基于607份裁判文书的分析》，载《浙江理工大学学报》2026年第2期。</w:t>
      </w:r>
    </w:p>
  </w:footnote>
  <w:footnote w:id="11">
    <w:p w14:paraId="129F7449">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参见邓辉、王浩然：《〈民法典〉违约金制度的功能优化》，载《</w:t>
      </w:r>
      <w:r>
        <w:rPr>
          <w:rFonts w:hint="eastAsia" w:eastAsia="宋体" w:ascii="宋体" w:hAnsi="宋体"/>
          <w:sz w:val="18"/>
          <w:szCs w:val="18"/>
          <w:lang w:val="en-US" w:eastAsia="zh-CN"/>
        </w:rPr>
        <w:t>财经法学</w:t>
      </w:r>
      <w:r>
        <w:rPr>
          <w:rFonts w:ascii="宋体" w:hAnsi="宋体" w:eastAsia="宋体"/>
          <w:sz w:val="18"/>
          <w:szCs w:val="18"/>
        </w:rPr>
        <w:t>》2021年第2期。</w:t>
      </w:r>
    </w:p>
  </w:footnote>
  <w:footnote w:id="12">
    <w:p w14:paraId="57D04E2E">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参见参见王洪、李兆利:《我国惩罚性违约金条款规范路径的反思———由某“假一罚万”案所引发》,载《湖湘论坛》 2020年第2期。</w:t>
      </w:r>
    </w:p>
  </w:footnote>
  <w:footnote w:id="13">
    <w:p w14:paraId="32A7E28D">
      <w:pPr>
        <w:keepNext w:val="0"/>
        <w:keepLines w:val="0"/>
        <w:widowControl/>
        <w:suppressLineNumbers w:val="0"/>
        <w:jc w:val="left"/>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ascii="宋体" w:hAnsi="宋体" w:eastAsia="宋体" w:cs="宋体"/>
          <w:bCs/>
          <w:kern w:val="2"/>
          <w:sz w:val="18"/>
          <w:szCs w:val="18"/>
          <w:lang w:val="en-US" w:eastAsia="zh-CN" w:bidi="ar-SA"/>
        </w:rPr>
        <w:t>参见参见王洪亮：《违约金酌减规则论》，载《法学家》2015年第</w:t>
      </w:r>
      <w:r>
        <w:rPr>
          <w:rFonts w:hint="default" w:ascii="宋体" w:hAnsi="宋体" w:eastAsia="宋体" w:cs="宋体"/>
          <w:bCs/>
          <w:kern w:val="2"/>
          <w:sz w:val="18"/>
          <w:szCs w:val="18"/>
          <w:lang w:val="en-US" w:eastAsia="zh-CN" w:bidi="ar-SA"/>
        </w:rPr>
        <w:t>3</w:t>
      </w:r>
      <w:r>
        <w:rPr>
          <w:rFonts w:hint="eastAsia" w:ascii="宋体" w:hAnsi="宋体" w:eastAsia="宋体" w:cs="宋体"/>
          <w:bCs/>
          <w:kern w:val="2"/>
          <w:sz w:val="18"/>
          <w:szCs w:val="18"/>
          <w:lang w:val="en-US" w:eastAsia="zh-CN" w:bidi="ar-SA"/>
        </w:rPr>
        <w:t>期</w:t>
      </w:r>
      <w:r>
        <w:rPr>
          <w:rFonts w:hint="eastAsia" w:cs="宋体" w:eastAsia="宋体" w:ascii="宋体" w:hAnsi="宋体"/>
          <w:bCs/>
          <w:kern w:val="2"/>
          <w:sz w:val="18"/>
          <w:szCs w:val="18"/>
          <w:lang w:val="en-US" w:eastAsia="zh-CN" w:bidi="ar-SA"/>
        </w:rPr>
        <w:t>。</w:t>
      </w:r>
    </w:p>
  </w:footnote>
  <w:footnote w:id="14">
    <w:p w14:paraId="3B49C6E3">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第91页</w:t>
      </w:r>
      <w:r>
        <w:rPr>
          <w:rFonts w:ascii="宋体" w:hAnsi="宋体" w:eastAsia="宋体"/>
          <w:sz w:val="18"/>
          <w:szCs w:val="18"/>
        </w:rPr>
        <w:t>。</w:t>
      </w:r>
    </w:p>
  </w:footnote>
  <w:footnote w:id="15">
    <w:p w14:paraId="2A2227A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第76页</w:t>
      </w:r>
      <w:r>
        <w:rPr>
          <w:rFonts w:ascii="宋体" w:hAnsi="宋体" w:eastAsia="宋体"/>
          <w:sz w:val="18"/>
          <w:szCs w:val="18"/>
        </w:rPr>
        <w:t>。</w:t>
      </w:r>
    </w:p>
  </w:footnote>
  <w:footnote w:id="16">
    <w:p w14:paraId="68E6883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李逸竹：《商业秘密不可避免披露原则法理探析与制度移植》，载《经济法论丛》2018年第2期，社会科学文献出版社2018版，第397页。</w:t>
      </w:r>
    </w:p>
  </w:footnote>
  <w:footnote w:id="17">
    <w:p w14:paraId="18DECC6C">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w:t>
      </w:r>
      <w:r>
        <w:rPr>
          <w:rFonts w:hint="eastAsia" w:eastAsia="宋体" w:ascii="宋体" w:hAnsi="宋体"/>
          <w:sz w:val="18"/>
          <w:szCs w:val="18"/>
          <w:lang w:val="en-US" w:eastAsia="zh-CN"/>
        </w:rPr>
        <w:t>参见</w:t>
      </w:r>
      <w:r>
        <w:rPr>
          <w:rFonts w:ascii="宋体" w:hAnsi="宋体" w:eastAsia="宋体"/>
          <w:sz w:val="18"/>
          <w:szCs w:val="18"/>
        </w:rPr>
        <w:t>黄冠、邹爱华：《竞业限制违约金的惩罚性质与制度因应——基于607份裁判文书的分析》，载《浙江理工大学学报》2026年第2期。</w:t>
      </w:r>
    </w:p>
  </w:footnote>
  <w:footnote w:id="18">
    <w:p w14:paraId="52A57CC8">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参见秦国荣：《约定竞业限制的性质判定与效力分析》，载《法商研究》2015年第6期。</w:t>
      </w:r>
    </w:p>
  </w:footnote>
  <w:footnote w:id="19">
    <w:p w14:paraId="005BB202">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参见（2022）鲁1392民初3364号民事判决书。</w:t>
      </w:r>
    </w:p>
  </w:footnote>
  <w:footnote w:id="20">
    <w:p w14:paraId="695B47EF">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参见熊晖、王瑞宏：《竞业限制对劳动者的泛化适用问题研究》，载《重庆理工大学学报（社会科学）》2021年第9期，第163-175页。</w:t>
      </w:r>
    </w:p>
  </w:footnote>
  <w:footnote w:id="21">
    <w:p w14:paraId="0CFBC9EF">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 w:id="22">
    <w:p w14:paraId="6D42DB9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3">
    <w:p w14:paraId="4500ED71">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姚明斌：《违约金论》，中国法制出版社2018年版</w:t>
      </w:r>
      <w:r>
        <w:rPr>
          <w:rFonts w:hint="eastAsia" w:eastAsia="宋体" w:ascii="宋体" w:hAnsi="宋体"/>
          <w:sz w:val="18"/>
          <w:lang w:eastAsia="zh-CN"/>
          <w:szCs w:val="18"/>
        </w:rPr>
        <w:t>，</w:t>
      </w:r>
      <w:r>
        <w:rPr>
          <w:rFonts w:hint="eastAsia" w:eastAsia="宋体" w:ascii="宋体" w:hAnsi="宋体"/>
          <w:sz w:val="18"/>
          <w:lang w:val="en-US" w:eastAsia="zh-CN"/>
          <w:szCs w:val="18"/>
        </w:rPr>
        <w:t>第85页</w:t>
      </w:r>
      <w:r>
        <w:rPr>
          <w:rFonts w:ascii="宋体" w:hAnsi="宋体" w:eastAsia="宋体"/>
          <w:sz w:val="18"/>
          <w:szCs w:val="18"/>
        </w:rPr>
        <w:t>。</w:t>
      </w:r>
    </w:p>
  </w:footnote>
  <w:footnote w:id="24">
    <w:p w14:paraId="7332068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同前注，熊晖文；同前注，吴宏乔文。</w:t>
      </w:r>
    </w:p>
  </w:footnote>
  <w:footnote w:id="25">
    <w:p w14:paraId="30F4253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参见刘承韪：《〈民法典合同编通则解释〉违约责任制度的亮点与盲点》，载《浙江工商大学学报》2024年第2期。</w:t>
      </w:r>
    </w:p>
  </w:footnote>
  <w:footnote w:id="26">
    <w:p w14:paraId="12ED3DC1">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参见屈茂辉：《违约金酌减预测研究》，载《中国社会科学》2020年第5期。</w:t>
      </w:r>
    </w:p>
  </w:footnote>
  <w:footnote w:id="27">
    <w:p w14:paraId="6A3412AB">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参见姚明斌：《违约金论》，中国法制出版社2022年版，第</w:t>
      </w:r>
      <w:r>
        <w:rPr>
          <w:rFonts w:hint="eastAsia" w:eastAsia="宋体" w:ascii="宋体" w:hAnsi="宋体"/>
          <w:sz w:val="18"/>
          <w:szCs w:val="18"/>
          <w:lang w:val="en-US" w:eastAsia="zh-CN"/>
        </w:rPr>
        <w:t>206</w:t>
      </w:r>
      <w:r>
        <w:rPr>
          <w:rFonts w:ascii="宋体" w:hAnsi="宋体" w:eastAsia="宋体"/>
          <w:sz w:val="18"/>
          <w:szCs w:val="18"/>
        </w:rPr>
        <w:t>页。</w:t>
      </w:r>
    </w:p>
  </w:footnote>
  <w:footnote w:id="28">
    <w:p w14:paraId="7C50B2A6">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参见王玉凯：《竞业限制制度规范目的之反思与修正》，载《清华法学》2026年第3期。</w:t>
      </w:r>
    </w:p>
  </w:footnote>
  <w:footnote w:id="29">
    <w:p w14:paraId="6636C2BB">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参见王玉凯：《竞业限制制度规范目的之反思与修正》，载《清华法学》2026年第3期。</w:t>
      </w:r>
    </w:p>
  </w:footnote>
  <w:footnote w:id="30">
    <w:p w14:paraId="7BCCABC2">
      <w:pPr>
        <w:pStyle w:val="5"/>
        <w:snapToGrid w:val="0"/>
        <w:rPr>
          <w:rFonts w:hint="eastAsia" w:eastAsia="宋体"/>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w:t>
      </w:r>
      <w:r>
        <w:rPr>
          <w:rFonts w:ascii="宋体" w:hAnsi="宋体" w:eastAsia="宋体"/>
          <w:sz w:val="18"/>
          <w:szCs w:val="18"/>
        </w:rPr>
        <w:t>（2021）沪01民终12282号</w:t>
      </w:r>
      <w:r>
        <w:rPr>
          <w:rFonts w:hint="eastAsia" w:eastAsia="宋体" w:ascii="宋体" w:hAnsi="宋体"/>
          <w:sz w:val="18"/>
          <w:lang w:val="en-US" w:eastAsia="zh-CN"/>
          <w:szCs w:val="18"/>
        </w:rPr>
        <w:t>民事判决书</w:t>
      </w:r>
    </w:p>
  </w:footnote>
  <w:footnote w:id="31">
    <w:p w14:paraId="13684B1D">
      <w:pPr>
        <w:pStyle w:val="5"/>
        <w:snapToGrid w:val="0"/>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ascii="宋体" w:hAnsi="宋体" w:eastAsia="宋体"/>
          <w:sz w:val="18"/>
          <w:szCs w:val="18"/>
        </w:rPr>
        <w:t>参见林欧：《约定竞业限制范围的合理性分析》，载《法律适用》2017年第15期。</w:t>
      </w:r>
    </w:p>
  </w:footnote>
  <w:footnote w:id="32">
    <w:p w14:paraId="3E04B34A">
      <w:pPr>
        <w:pStyle w:val="5"/>
        <w:snapToGrid w:val="0"/>
        <w:spacing w:line="240" w:lineRule="auto" w:before="0" w:after="0"/>
      </w:pPr>
      <w:r>
        <w:rPr>
          <w:rFonts w:eastAsia="宋体" w:ascii="宋体" w:hAnsi="宋体"/>
          <w:rStyle w:val="10"/>
          <w:sz w:val="18"/>
          <w:szCs w:val="18"/>
        </w:rPr>
        <w:footnoteRef/>
      </w:r>
      <w:r>
        <w:rPr>
          <w:rFonts w:ascii="宋体" w:hAnsi="宋体" w:eastAsia="宋体"/>
          <w:sz w:val="18"/>
          <w:szCs w:val="18"/>
        </w:rPr>
        <w:t xml:space="preserve"> 同前注，林欧文。</w:t>
      </w:r>
    </w:p>
  </w:footnote>
  <w:footnote w:id="33">
    <w:p w14:paraId="63F0D0E9">
      <w:pPr>
        <w:pStyle w:val="5"/>
        <w:snapToGrid w:val="0"/>
        <w:rPr>
          <w:rFonts w:hint="eastAsia"/>
          <w:lang w:val="en-US" w:eastAsia="zh-CN"/>
        </w:rPr>
        <w:spacing w:line="240" w:lineRule="auto" w:before="0" w:after="0"/>
      </w:pPr>
      <w:r>
        <w:rPr>
          <w:rFonts w:eastAsia="宋体" w:ascii="宋体" w:hAnsi="宋体"/>
          <w:rStyle w:val="10"/>
          <w:sz w:val="18"/>
          <w:szCs w:val="18"/>
        </w:rPr>
        <w:footnoteRef/>
      </w:r>
      <w:r>
        <w:rPr>
          <w:rFonts w:eastAsia="宋体" w:ascii="宋体" w:hAnsi="宋体"/>
          <w:sz w:val="18"/>
          <w:szCs w:val="18"/>
        </w:rPr>
        <w:t xml:space="preserve"> </w:t>
      </w:r>
      <w:r>
        <w:rPr>
          <w:rFonts w:hint="eastAsia" w:eastAsia="宋体" w:ascii="宋体" w:hAnsi="宋体"/>
          <w:lang w:val="en-US" w:eastAsia="zh-CN"/>
          <w:sz w:val="18"/>
          <w:szCs w:val="18"/>
        </w:rPr>
        <w:t>参见（2016）黔01民终440号案民事判决书。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NotDisplayPageBoundaries w:val="1"/>
  <w:displayBackgroundShape w:val="1"/>
  <w:bordersDoNotSurroundHeader w:val="0"/>
  <w:bordersDoNotSurroundFooter w:val="0"/>
  <w:documentProtection w:enforcement="0"/>
  <w:displayHorizontalDrawingGridEvery w:val="1"/>
  <w:displayVerticalDrawingGridEvery w:val="1"/>
  <w:noPunctuationKerning w:val="1"/>
  <w:footnotePr>
    <w:footnote w:id="68"/>
    <w:footnote w:id="69"/>
  </w:footnotePr>
  <w:endnotePr>
    <w:endnote w:id="0"/>
    <w:endnote w:id="1"/>
  </w:endnotePr>
  <w:compat>
    <w:doNotExpandShiftReturn/>
    <w:doNotWrapTextWithPunct/>
    <w:doNotUseEastAsianBreakRules/>
    <w:useFELayout/>
    <w:compatSetting w:name="compatibilityMode" w:uri="http://schemas.microsoft.com/office/word" w:val="15"/>
  </w:compat>
  <w:rsids>
    <w:rsidRoot w:val="00000000"/>
    <w:rsid w:val="03845767"/>
    <w:rsid w:val="084F6D73"/>
    <w:rsid w:val="12AD1B9A"/>
    <w:rsid w:val="12DC74C6"/>
    <w:rsid w:val="16334AA6"/>
    <w:rsid w:val="170C1530"/>
    <w:rsid w:val="1B234D5D"/>
    <w:rsid w:val="23D15813"/>
    <w:rsid w:val="25FA7F54"/>
    <w:rsid w:val="266318BA"/>
    <w:rsid w:val="26883135"/>
    <w:rsid w:val="27F51A34"/>
    <w:rsid w:val="28777214"/>
    <w:rsid w:val="37E25E69"/>
    <w:rsid w:val="38AC4A6C"/>
    <w:rsid w:val="3E084B00"/>
    <w:rsid w:val="471C1230"/>
    <w:rsid w:val="4C7A625A"/>
    <w:rsid w:val="5F170173"/>
    <w:rsid w:val="68015905"/>
    <w:rsid w:val="6D8C302C"/>
    <w:rsid w:val="700370F8"/>
    <w:rsid w:val="71015909"/>
    <w:rsid w:val="711D1DEB"/>
    <w:rsid w:val="7A996BC0"/>
    <w:rsid w:val="7D1B221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400" w:lineRule="exact"/>
      <w:ind w:firstLine="480" w:firstLineChars="200"/>
      <w:jc w:val="both"/>
    </w:pPr>
    <w:rPr>
      <w:rFonts w:ascii="宋体" w:hAnsi="宋体" w:eastAsia="宋体" w:cs="宋体"/>
      <w:bCs/>
      <w:kern w:val="2"/>
      <w:sz w:val="24"/>
      <w:szCs w:val="24"/>
      <w:lang w:val="en-US" w:eastAsia="zh-CN" w:bidi="ar-SA"/>
    </w:rPr>
  </w:style>
  <w:style w:type="paragraph" w:styleId="2">
    <w:name w:val="heading 1"/>
    <w:basedOn w:val="1"/>
    <w:next w:val="1"/>
    <w:link w:val="11"/>
    <w:qFormat/>
    <w:uiPriority w:val="0"/>
    <w:pPr>
      <w:ind w:firstLine="0" w:firstLineChars="0"/>
      <w:jc w:val="center"/>
      <w:outlineLvl w:val="0"/>
    </w:pPr>
    <w:rPr>
      <w:bCs w:val="0"/>
      <w:sz w:val="28"/>
      <w:szCs w:val="28"/>
    </w:rPr>
  </w:style>
  <w:style w:type="paragraph" w:styleId="3">
    <w:name w:val="heading 2"/>
    <w:basedOn w:val="1"/>
    <w:next w:val="1"/>
    <w:qFormat/>
    <w:uiPriority w:val="0"/>
    <w:pPr>
      <w:keepNext/>
      <w:keepLines/>
      <w:spacing w:before="260" w:after="260" w:line="413" w:lineRule="auto"/>
      <w:outlineLvl w:val="1"/>
    </w:pPr>
    <w:rPr>
      <w:rFonts w:ascii="Arial" w:hAnsi="Arial" w:eastAsia="宋体"/>
      <w:b/>
    </w:rPr>
  </w:style>
  <w:style w:type="character" w:default="1" w:styleId="8">
    <w:name w:val="Default Paragraph Font"/>
    <w:qFormat/>
    <w:uiPriority w:val="0"/>
  </w:style>
  <w:style w:type="table" w:default="1" w:styleId="7">
    <w:name w:val="Normal Table"/>
    <w:qFormat/>
    <w:uiPriority w:val="0"/>
    <w:tblPr>
      <w:tblCellMar>
        <w:top w:w="0" w:type="dxa"/>
        <w:left w:w="108" w:type="dxa"/>
        <w:bottom w:w="0" w:type="dxa"/>
        <w:right w:w="108" w:type="dxa"/>
      </w:tblCellMar>
    </w:tblPr>
  </w:style>
  <w:style w:type="paragraph" w:styleId="4">
    <w:name w:val="Plain Text"/>
    <w:basedOn w:val="1"/>
    <w:qFormat/>
    <w:uiPriority w:val="0"/>
    <w:rPr>
      <w:rFonts w:ascii="宋体" w:hAnsi="Courier New" w:cs="Courier New"/>
      <w:szCs w:val="21"/>
    </w:rPr>
  </w:style>
  <w:style w:type="paragraph" w:styleId="5">
    <w:name w:val="footnote text"/>
    <w:basedOn w:val="1"/>
    <w:qFormat/>
    <w:uiPriority w:val="0"/>
    <w:pPr>
      <w:snapToGrid w:val="0"/>
      <w:jc w:val="left"/>
    </w:pPr>
    <w:rPr>
      <w:sz w:val="18"/>
    </w:rPr>
  </w:style>
  <w:style w:type="paragraph" w:styleId="6">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rPr>
  </w:style>
  <w:style w:type="character" w:styleId="9">
    <w:name w:val="Strong"/>
    <w:basedOn w:val="8"/>
    <w:qFormat/>
    <w:uiPriority w:val="0"/>
    <w:rPr>
      <w:b/>
    </w:rPr>
  </w:style>
  <w:style w:type="character" w:styleId="10">
    <w:name w:val="footnote reference"/>
    <w:basedOn w:val="8"/>
    <w:qFormat/>
    <w:uiPriority w:val="0"/>
    <w:rPr>
      <w:vertAlign w:val="superscript"/>
    </w:rPr>
  </w:style>
  <w:style w:type="character" w:customStyle="1" w:styleId="11">
    <w:name w:val="标题 1 Char"/>
    <w:link w:val="2"/>
    <w:qFormat/>
    <w:uiPriority w:val="0"/>
    <w:rPr>
      <w:rFonts w:ascii="宋体" w:hAnsi="宋体" w:eastAsia="宋体" w:cs="宋体"/>
      <w:kern w:val="2"/>
      <w:sz w:val="28"/>
      <w:szCs w:val="28"/>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20</Pages>
  <Words>18471</Words>
  <Characters>18869</Characters>
  <TotalTime>352</TotalTime>
  <ScaleCrop>false</ScaleCrop>
  <LinksUpToDate>false</LinksUpToDate>
  <CharactersWithSpaces>18871</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2026-05-25T11:25:00Z</dcterms:created>
  <dc:creator>Un-named</dc:creator>
  <cp:lastModifiedBy>我的请求权基础呢</cp:lastModifiedBy>
  <dcterms:modified xsi:type="dcterms:W3CDTF">2026-07-01T11:13:23Z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eyJoZGlkIjoiYTY0NWU5YzU4NzY2YjVhMjU2MTk3NDI0YTA0NTI1NzIiLCJ1c2VySWQiOiI2MjA3NjE0ODYifQ==</vt:lpwstr>
  </property>
  <property fmtid="{D5CDD505-2E9C-101B-9397-08002B2CF9AE}" pid="3" name="KSOProductBuildVer">
    <vt:lpwstr>2052-12.1.0.26895</vt:lpwstr>
  </property>
  <property fmtid="{D5CDD505-2E9C-101B-9397-08002B2CF9AE}" pid="4" name="ICV">
    <vt:lpwstr>340C78C043DD47269B7E4C26D4954C15_12</vt:lpwstr>
  </property>
</Properties>
</file>