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B01346">
      <w:pPr>
        <w:pStyle w:val="2"/>
        <w:bidi w:val="0"/>
        <w:jc w:val="both"/>
        <w:rPr>
          <w:rFonts w:hint="eastAsia"/>
          <w:b/>
          <w:bCs/>
          <w:lang w:val="en-US" w:eastAsia="zh-CN"/>
        </w:rPr>
      </w:pPr>
      <w:bookmarkStart w:id="6" w:name="_GoBack"/>
      <w:bookmarkEnd w:id="6"/>
    </w:p>
    <w:p w14:paraId="15EDA79E">
      <w:pPr>
        <w:pStyle w:val="2"/>
        <w:bidi w:val="0"/>
        <w:rPr>
          <w:rFonts w:hint="eastAsia"/>
          <w:b/>
          <w:bCs/>
          <w:lang w:val="en-US" w:eastAsia="zh-CN"/>
        </w:rPr>
      </w:pPr>
    </w:p>
    <w:p w14:paraId="2465F9E8">
      <w:pPr>
        <w:pStyle w:val="2"/>
        <w:bidi w:val="0"/>
        <w:rPr>
          <w:rFonts w:hint="eastAsia"/>
          <w:b/>
          <w:bCs/>
          <w:lang w:val="en-US" w:eastAsia="zh-CN"/>
        </w:rPr>
      </w:pPr>
      <w:r>
        <w:rPr>
          <w:rFonts w:hint="eastAsia"/>
          <w:b/>
          <w:bCs/>
          <w:lang w:val="en-US" w:eastAsia="zh-CN"/>
        </w:rPr>
        <w:t>担保型以物抵债规则适用研究</w:t>
      </w:r>
    </w:p>
    <w:p w14:paraId="39348FF4">
      <w:pPr>
        <w:bidi w:val="0"/>
        <w:ind w:left="0" w:leftChars="0" w:firstLine="0" w:firstLineChars="0"/>
        <w:rPr>
          <w:rFonts w:hint="default" w:ascii="楷体" w:hAnsi="楷体" w:eastAsia="楷体" w:cs="楷体"/>
          <w:b w:val="0"/>
          <w:bCs w:val="0"/>
          <w:lang w:val="en-US" w:eastAsia="zh-CN"/>
        </w:rPr>
      </w:pPr>
      <w:r>
        <w:rPr>
          <w:rFonts w:hint="eastAsia" w:ascii="黑体" w:hAnsi="黑体" w:eastAsia="黑体" w:cs="黑体"/>
          <w:sz w:val="24"/>
        </w:rPr>
        <w:t>【摘要】</w:t>
      </w:r>
      <w:r>
        <w:rPr>
          <w:rFonts w:hint="default" w:ascii="楷体" w:hAnsi="楷体" w:eastAsia="楷体" w:cs="楷体"/>
          <w:b w:val="0"/>
          <w:bCs w:val="0"/>
          <w:lang w:val="en-US" w:eastAsia="zh-CN"/>
        </w:rPr>
        <w:t>在我国经济活动中，以物抵债协议的重要性日益凸显，虽然民法典合同编对其没有明确规定，但它作为一种特殊的债务清偿和担保方式，广泛应用于市场主体间的资金融通与债务处理场景。本文聚焦《民法典》时代担保型以物抵债协议的法律构造与规则适用。研究以《合同编通则解释》第28条及《担保制度解释》第68条为核心，论证该协议为诺成性有偿合同，其效力呈现“债权约束”与“担保物权”二元形态。核心在于，协议本身仅生债之效力；完成财产权利公示后方可参照担保物权优先受偿，且必须履行强制清算程序。厘清从债权效力到物权效力阶段的具体规则，并强调类型化解释与清算程序对平衡各方利益、实现担保功能的关键作用。</w:t>
      </w:r>
    </w:p>
    <w:p w14:paraId="2ECBB259">
      <w:pPr>
        <w:bidi w:val="0"/>
        <w:ind w:left="0" w:leftChars="0" w:firstLine="0" w:firstLineChars="0"/>
        <w:rPr>
          <w:rFonts w:hint="eastAsia" w:ascii="楷体" w:hAnsi="楷体" w:eastAsia="宋体" w:cs="楷体"/>
          <w:b w:val="0"/>
          <w:bCs w:val="0"/>
          <w:lang w:val="en-US" w:eastAsia="zh-CN"/>
        </w:rPr>
      </w:pPr>
      <w:r>
        <w:rPr>
          <w:rFonts w:hint="eastAsia" w:ascii="黑体" w:hAnsi="黑体" w:eastAsia="黑体" w:cs="黑体"/>
        </w:rPr>
        <w:t>【关键词】</w:t>
      </w:r>
      <w:r>
        <w:rPr>
          <w:rFonts w:hint="eastAsia" w:ascii="楷体" w:hAnsi="楷体" w:eastAsia="楷体" w:cs="楷体"/>
          <w:b w:val="0"/>
          <w:bCs w:val="0"/>
          <w:lang w:val="en-US" w:eastAsia="zh-CN"/>
        </w:rPr>
        <w:t>担保型以物抵债；债权物权二分；让与担保；强制清算</w:t>
      </w:r>
    </w:p>
    <w:p w14:paraId="27894049">
      <w:pPr>
        <w:pStyle w:val="2"/>
        <w:bidi w:val="0"/>
        <w:rPr>
          <w:rFonts w:hint="eastAsia"/>
          <w:b/>
          <w:bCs/>
          <w:lang w:val="en-US" w:eastAsia="zh-CN"/>
        </w:rPr>
      </w:pPr>
      <w:bookmarkStart w:id="0" w:name="_Toc32253"/>
      <w:r>
        <w:rPr>
          <w:rFonts w:hint="eastAsia"/>
          <w:b/>
          <w:bCs/>
          <w:lang w:val="en-US" w:eastAsia="zh-CN"/>
        </w:rPr>
        <w:t>一、绪论</w:t>
      </w:r>
      <w:bookmarkEnd w:id="0"/>
    </w:p>
    <w:p w14:paraId="17B57690">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val="0"/>
        <w:spacing w:beforeAutospacing="0" w:afterAutospacing="0" w:line="400" w:lineRule="exact"/>
        <w:ind w:firstLine="482" w:firstLineChars="200"/>
        <w:jc w:val="left"/>
        <w:textAlignment w:val="auto"/>
        <w:outlineLvl w:val="1"/>
        <w:rPr>
          <w:rFonts w:hint="eastAsia" w:ascii="宋体" w:hAnsi="宋体" w:eastAsia="宋体" w:cs="宋体"/>
          <w:b w:val="0"/>
          <w:bCs/>
          <w:sz w:val="24"/>
          <w:szCs w:val="24"/>
          <w:lang w:val="en-US" w:eastAsia="zh-CN"/>
        </w:rPr>
      </w:pPr>
      <w:bookmarkStart w:id="1" w:name="_Toc5404"/>
      <w:r>
        <w:rPr>
          <w:rFonts w:hint="eastAsia" w:ascii="宋体" w:hAnsi="宋体" w:eastAsia="宋体" w:cs="宋体"/>
          <w:b/>
          <w:bCs w:val="0"/>
          <w:kern w:val="2"/>
          <w:sz w:val="24"/>
          <w:szCs w:val="24"/>
          <w:lang w:val="en-US" w:eastAsia="zh-CN" w:bidi="ar-SA"/>
        </w:rPr>
        <w:t>（一）</w:t>
      </w:r>
      <w:r>
        <w:rPr>
          <w:rFonts w:hint="eastAsia" w:ascii="宋体" w:hAnsi="宋体" w:eastAsia="宋体" w:cs="宋体"/>
          <w:b/>
          <w:bCs w:val="0"/>
          <w:sz w:val="24"/>
          <w:szCs w:val="24"/>
          <w:lang w:val="en-US" w:eastAsia="zh-CN"/>
        </w:rPr>
        <w:t>问题的提出</w:t>
      </w:r>
      <w:bookmarkEnd w:id="1"/>
    </w:p>
    <w:p w14:paraId="5ECEE313">
      <w:pPr>
        <w:bidi w:val="0"/>
        <w:rPr>
          <w:rFonts w:hint="eastAsia"/>
        </w:rPr>
      </w:pPr>
      <w:r>
        <w:rPr>
          <w:rFonts w:hint="eastAsia" w:ascii="宋体" w:hAnsi="宋体" w:eastAsia="宋体" w:cs="宋体"/>
          <w:b w:val="0"/>
          <w:bCs/>
          <w:sz w:val="24"/>
          <w:szCs w:val="24"/>
          <w:lang w:val="en-US" w:eastAsia="zh-CN"/>
        </w:rPr>
        <w:t>以物抵债是我国民商事实践中长期、广泛存在的一种交易安排，尤其在房地产、建设工程、金融借贷等领域极为常见。然而，在《中华人民共和国民法典》颁布前，我国立法层面并未对“以物抵债”</w:t>
      </w:r>
      <w:r>
        <w:rPr>
          <w:rFonts w:hint="eastAsia"/>
        </w:rPr>
        <w:t>作出明确、系统的规定，导致司法实践长期处于“无法可依”或“裁判不一”的困境。最高人民法院虽通过公报案例、会议纪要等形式试图统一裁判尺度，但不同时期、不同层级的法院对以物抵债协议的性质、</w:t>
      </w:r>
      <w:r>
        <w:rPr>
          <w:rFonts w:hint="eastAsia"/>
          <w:lang w:val="en-US" w:eastAsia="zh-CN"/>
        </w:rPr>
        <w:t>效力（</w:t>
      </w:r>
      <w:r>
        <w:rPr>
          <w:rFonts w:hint="eastAsia"/>
        </w:rPr>
        <w:t>尤其是履行期届满前达成的协议）以及法律后果的认识存在显著分歧，影响了法律适用的可预期性和交易安全。这种立法空白与司法混乱的现状，不仅使债权人面临债权落空的风险，也可能被不诚信的当事人利用以进行虚假诉讼或规避法律，损害第三人利益。2023年12月5日施行的《合同编通则解释》首次以司法解释形式系统规定了以物抵债制度，其中第28条专门针对“债务履行期限届满前”达成的以物抵债协议，明确了其近似担保的性质及特殊规则。这一规定标志着以物抵债，特别是担保型以物抵债，进入了有章可循的“后民法典时代”。然而，该司法解释条文本身较为原则，其与《担保制度解释》特别是第68条关于让与担保的</w:t>
      </w:r>
      <w:r>
        <w:rPr>
          <w:rFonts w:hint="eastAsia"/>
          <w:lang w:val="en-US" w:eastAsia="zh-CN"/>
        </w:rPr>
        <w:t>规定</w:t>
      </w:r>
      <w:r>
        <w:rPr>
          <w:rFonts w:hint="eastAsia"/>
        </w:rPr>
        <w:t>的体系衔接等仍有待学理阐释与司法细化。在《民法典》及其司法解释构建的新规则体系下，如何准确界定、理解并适用担保型以物抵债协议的准确内涵与界定标准</w:t>
      </w:r>
      <w:r>
        <w:rPr>
          <w:rFonts w:hint="eastAsia"/>
          <w:lang w:eastAsia="zh-CN"/>
        </w:rPr>
        <w:t>，</w:t>
      </w:r>
      <w:r>
        <w:rPr>
          <w:rFonts w:hint="eastAsia"/>
        </w:rPr>
        <w:t>如何理解其兼具的“债权合同效力”与“担保物权效力”</w:t>
      </w:r>
      <w:r>
        <w:rPr>
          <w:rFonts w:hint="eastAsia"/>
          <w:lang w:eastAsia="zh-CN"/>
        </w:rPr>
        <w:t>，</w:t>
      </w:r>
      <w:r>
        <w:rPr>
          <w:rFonts w:hint="eastAsia"/>
        </w:rPr>
        <w:t>对于仅具债权效力与已具物权效力的协议应分别适用何种具体规则</w:t>
      </w:r>
      <w:r>
        <w:rPr>
          <w:rFonts w:hint="eastAsia"/>
          <w:lang w:val="en-US" w:eastAsia="zh-CN"/>
        </w:rPr>
        <w:t>等问题。</w:t>
      </w:r>
      <w:r>
        <w:rPr>
          <w:rFonts w:hint="eastAsia"/>
        </w:rPr>
        <w:t>对担保型以物抵债协议进行深入、系统的研究，厘清其法律性质、效力层次、与相关制度的界分以及具体的规则适用，对于正确理解和适用新司法解释、统一司法裁判、规范交易实践、平衡各方权益具有紧迫的理论意义与实践价值。</w:t>
      </w:r>
    </w:p>
    <w:p w14:paraId="643CEA8E">
      <w:pPr>
        <w:keepNext w:val="0"/>
        <w:keepLines/>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val="0"/>
        <w:spacing w:beforeAutospacing="0" w:afterAutospacing="0" w:line="400" w:lineRule="exact"/>
        <w:ind w:left="0" w:leftChars="0" w:firstLine="482" w:firstLineChars="200"/>
        <w:jc w:val="both"/>
        <w:textAlignment w:val="auto"/>
        <w:rPr>
          <w:rFonts w:hint="eastAsia"/>
        </w:rPr>
      </w:pPr>
      <w:r>
        <w:rPr>
          <w:rFonts w:hint="eastAsia" w:ascii="宋体" w:hAnsi="宋体" w:eastAsia="宋体" w:cs="宋体"/>
          <w:b/>
          <w:bCs w:val="0"/>
          <w:kern w:val="2"/>
          <w:sz w:val="24"/>
          <w:szCs w:val="24"/>
          <w:lang w:val="en-US" w:eastAsia="zh-CN" w:bidi="ar-SA"/>
        </w:rPr>
        <w:t>（</w:t>
      </w:r>
      <w:r>
        <w:rPr>
          <w:rFonts w:hint="eastAsia" w:cs="宋体"/>
          <w:b/>
          <w:bCs w:val="0"/>
          <w:kern w:val="2"/>
          <w:sz w:val="24"/>
          <w:szCs w:val="24"/>
          <w:lang w:val="en-US" w:eastAsia="zh-CN" w:bidi="ar-SA"/>
        </w:rPr>
        <w:t>二</w:t>
      </w:r>
      <w:r>
        <w:rPr>
          <w:rFonts w:hint="eastAsia" w:ascii="宋体" w:hAnsi="宋体" w:eastAsia="宋体" w:cs="宋体"/>
          <w:b/>
          <w:bCs w:val="0"/>
          <w:kern w:val="2"/>
          <w:sz w:val="24"/>
          <w:szCs w:val="24"/>
          <w:lang w:val="en-US" w:eastAsia="zh-CN" w:bidi="ar-SA"/>
        </w:rPr>
        <w:t>）</w:t>
      </w:r>
      <w:r>
        <w:rPr>
          <w:rFonts w:hint="eastAsia" w:ascii="宋体" w:hAnsi="宋体" w:eastAsia="宋体" w:cs="宋体"/>
          <w:b/>
          <w:bCs w:val="0"/>
          <w:sz w:val="24"/>
          <w:szCs w:val="24"/>
          <w:lang w:val="en-US" w:eastAsia="zh-CN"/>
        </w:rPr>
        <w:t>文献综述</w:t>
      </w:r>
    </w:p>
    <w:p w14:paraId="2A0771A5">
      <w:pPr>
        <w:bidi w:val="0"/>
        <w:rPr>
          <w:rFonts w:hint="eastAsia"/>
        </w:rPr>
      </w:pPr>
      <w:r>
        <w:rPr>
          <w:rFonts w:hint="eastAsia"/>
        </w:rPr>
        <w:t>关于以物抵债协议的整体性质，长期存在“要物合同说”与“诺成合同说”的尖锐对立。“要物合同说”植根于传统大陆法系的“代物清偿”理论，施建辉、夏正芳等早期观点认为以物抵债协议需以抵债物的现实交付为成立或生效要件。</w:t>
      </w:r>
      <w:r>
        <w:rPr>
          <w:rStyle w:val="10"/>
          <w:rFonts w:hint="eastAsia"/>
        </w:rPr>
        <w:t>[</w:t>
      </w:r>
      <w:r>
        <w:rPr>
          <w:rStyle w:val="10"/>
          <w:rFonts w:hint="eastAsia"/>
        </w:rPr>
        <w:footnoteReference w:id="0"/>
      </w:r>
      <w:r>
        <w:rPr>
          <w:rStyle w:val="10"/>
          <w:rFonts w:hint="eastAsia"/>
        </w:rPr>
        <w:t>]</w:t>
      </w:r>
      <w:r>
        <w:rPr>
          <w:rFonts w:hint="eastAsia"/>
        </w:rPr>
        <w:t>支持此说的理由主要在于保护债务人、防止虚假诉讼及简化司法操作。以姚辉、顾梓冰为代表的学者对此进行了深刻批判。</w:t>
      </w:r>
      <w:r>
        <w:rPr>
          <w:rStyle w:val="10"/>
          <w:rFonts w:hint="eastAsia"/>
        </w:rPr>
        <w:t>[</w:t>
      </w:r>
      <w:r>
        <w:rPr>
          <w:rStyle w:val="10"/>
          <w:rFonts w:hint="eastAsia"/>
        </w:rPr>
        <w:footnoteReference w:id="1"/>
      </w:r>
      <w:r>
        <w:rPr>
          <w:rStyle w:val="10"/>
          <w:rFonts w:hint="eastAsia"/>
        </w:rPr>
        <w:t>]</w:t>
      </w:r>
      <w:r>
        <w:rPr>
          <w:rFonts w:hint="eastAsia"/>
        </w:rPr>
        <w:t>他们指出，“要物合同说”在现代社会已显式微，其强制要求交付为要件，过度限制了合同自由，且在债务人无力偿还旧债、抵债物价值可能上涨的情形下，将使债权人陷入“旧债无法实现、新债无法主张”的双重困境，严重损害债权人利益，有违诚实信用原则。相反，韩世远、王洪亮、郑永宽</w:t>
      </w:r>
      <w:r>
        <w:rPr>
          <w:rFonts w:hint="eastAsia"/>
          <w:lang w:val="en-US" w:eastAsia="zh-CN"/>
        </w:rPr>
        <w:t>等学者</w:t>
      </w:r>
      <w:r>
        <w:rPr>
          <w:rFonts w:hint="default"/>
          <w:lang w:val="en-US" w:eastAsia="zh-CN"/>
        </w:rPr>
        <w:t>的</w:t>
      </w:r>
      <w:r>
        <w:rPr>
          <w:rFonts w:hint="eastAsia"/>
        </w:rPr>
        <w:t>“诺成合同说”主张协议自当事人意思表示一致时成立生效，交付仅为履行行为。</w:t>
      </w:r>
      <w:r>
        <w:rPr>
          <w:rFonts w:hint="eastAsia"/>
          <w:lang w:val="en-US" w:eastAsia="zh-CN"/>
        </w:rPr>
        <w:t>随着《九民纪要》</w:t>
      </w:r>
      <w:r>
        <w:rPr>
          <w:rFonts w:hint="eastAsia"/>
        </w:rPr>
        <w:t>第45条确立了期前以物抵债系诺成性协议的规则</w:t>
      </w:r>
      <w:r>
        <w:rPr>
          <w:rFonts w:hint="eastAsia"/>
          <w:lang w:eastAsia="zh-CN"/>
        </w:rPr>
        <w:t>，</w:t>
      </w:r>
      <w:r>
        <w:rPr>
          <w:rFonts w:hint="eastAsia"/>
          <w:lang w:val="en-US" w:eastAsia="zh-CN"/>
        </w:rPr>
        <w:t>诺成合同</w:t>
      </w:r>
      <w:r>
        <w:rPr>
          <w:rFonts w:hint="eastAsia"/>
        </w:rPr>
        <w:t>说现已成为学界主流观点，并得到了《合同编通则解释》第27条第1款的明确采纳。</w:t>
      </w:r>
    </w:p>
    <w:p w14:paraId="2B3E9B57">
      <w:pPr>
        <w:bidi w:val="0"/>
        <w:rPr>
          <w:rFonts w:hint="eastAsia"/>
        </w:rPr>
      </w:pPr>
      <w:r>
        <w:rPr>
          <w:rFonts w:hint="eastAsia"/>
        </w:rPr>
        <w:t>关于以物抵债协议的类型化，学界与实务界现已形成基本共识，即依据协议达成的时点与主要目的，可区分为债务履行期届满后达成，旨在替代清偿</w:t>
      </w:r>
      <w:r>
        <w:rPr>
          <w:rFonts w:hint="default"/>
          <w:lang w:val="en-US"/>
        </w:rPr>
        <w:t>的</w:t>
      </w:r>
      <w:r>
        <w:rPr>
          <w:rFonts w:hint="eastAsia"/>
        </w:rPr>
        <w:t>“清偿型”与债务履行期届满前达成，旨在担保债务履行</w:t>
      </w:r>
      <w:r>
        <w:rPr>
          <w:rFonts w:hint="default"/>
          <w:lang w:val="en-US"/>
        </w:rPr>
        <w:t>的</w:t>
      </w:r>
      <w:r>
        <w:rPr>
          <w:rFonts w:hint="eastAsia"/>
        </w:rPr>
        <w:t>“担保型”。对此，杨立新、高圣平、刘凯湘等学者的论述指出，《合同编通则解释》第27条与第28条正是遵循了这一分类逻辑。</w:t>
      </w:r>
      <w:r>
        <w:rPr>
          <w:rStyle w:val="10"/>
          <w:rFonts w:hint="eastAsia"/>
        </w:rPr>
        <w:t>[</w:t>
      </w:r>
      <w:r>
        <w:rPr>
          <w:rStyle w:val="10"/>
          <w:rFonts w:hint="eastAsia"/>
        </w:rPr>
        <w:footnoteReference w:id="2"/>
      </w:r>
      <w:r>
        <w:rPr>
          <w:rStyle w:val="10"/>
          <w:rFonts w:hint="eastAsia"/>
        </w:rPr>
        <w:t>]</w:t>
      </w:r>
      <w:r>
        <w:rPr>
          <w:rFonts w:hint="eastAsia"/>
        </w:rPr>
        <w:t>对于清偿型协议，主流观点采“新债清偿说”，崔建远、王洪亮等</w:t>
      </w:r>
      <w:r>
        <w:rPr>
          <w:rFonts w:hint="eastAsia"/>
          <w:lang w:val="en-US" w:eastAsia="zh-CN"/>
        </w:rPr>
        <w:t>学者认为</w:t>
      </w:r>
      <w:r>
        <w:rPr>
          <w:rFonts w:hint="eastAsia"/>
        </w:rPr>
        <w:t>新旧债务并存，债权人于债务人违约时享有履行选择权。</w:t>
      </w:r>
      <w:r>
        <w:rPr>
          <w:rStyle w:val="10"/>
          <w:rFonts w:hint="eastAsia"/>
        </w:rPr>
        <w:t>[</w:t>
      </w:r>
      <w:r>
        <w:rPr>
          <w:rStyle w:val="10"/>
          <w:rFonts w:hint="eastAsia"/>
        </w:rPr>
        <w:footnoteReference w:id="3"/>
      </w:r>
      <w:r>
        <w:rPr>
          <w:rStyle w:val="10"/>
          <w:rFonts w:hint="eastAsia"/>
        </w:rPr>
        <w:t>]</w:t>
      </w:r>
      <w:r>
        <w:rPr>
          <w:rFonts w:hint="eastAsia"/>
        </w:rPr>
        <w:t>对于担保型协议，其性质被普遍认定为一种“非典型担保”。尽管对其具体定性存在吴光荣</w:t>
      </w:r>
      <w:r>
        <w:rPr>
          <w:rFonts w:hint="eastAsia"/>
          <w:lang w:val="en-US" w:eastAsia="zh-CN"/>
        </w:rPr>
        <w:t>教授的</w:t>
      </w:r>
      <w:r>
        <w:rPr>
          <w:rFonts w:hint="eastAsia"/>
        </w:rPr>
        <w:t>“让与担保合同”</w:t>
      </w:r>
      <w:r>
        <w:rPr>
          <w:rFonts w:hint="eastAsia"/>
          <w:lang w:val="en-US" w:eastAsia="zh-CN"/>
        </w:rPr>
        <w:t>说</w:t>
      </w:r>
      <w:r>
        <w:rPr>
          <w:rFonts w:hint="eastAsia"/>
        </w:rPr>
        <w:t>、高圣平</w:t>
      </w:r>
      <w:r>
        <w:rPr>
          <w:rFonts w:hint="eastAsia"/>
          <w:lang w:val="en-US" w:eastAsia="zh-CN"/>
        </w:rPr>
        <w:t>教授的</w:t>
      </w:r>
      <w:r>
        <w:rPr>
          <w:rFonts w:hint="eastAsia"/>
        </w:rPr>
        <w:t>“具有担保功能的合同”等细微差别，但均承认其核心功能在于担保，并应参照或适用担保物权相关规则进行规制。在担保型以物抵债的具体规则构建上，学者们就清算程序的必要性</w:t>
      </w:r>
      <w:r>
        <w:rPr>
          <w:rFonts w:hint="eastAsia"/>
          <w:lang w:eastAsia="zh-CN"/>
        </w:rPr>
        <w:t>，</w:t>
      </w:r>
      <w:r>
        <w:rPr>
          <w:rFonts w:hint="eastAsia"/>
          <w:lang w:val="en-US" w:eastAsia="zh-CN"/>
        </w:rPr>
        <w:t>例如</w:t>
      </w:r>
      <w:r>
        <w:rPr>
          <w:rFonts w:hint="eastAsia"/>
        </w:rPr>
        <w:t>禁止流担保</w:t>
      </w:r>
      <w:r>
        <w:rPr>
          <w:rFonts w:hint="eastAsia"/>
          <w:lang w:eastAsia="zh-CN"/>
        </w:rPr>
        <w:t>，</w:t>
      </w:r>
      <w:r>
        <w:rPr>
          <w:rFonts w:hint="eastAsia"/>
        </w:rPr>
        <w:t>公示对于物权效力的意义、以及债权人权利实现方式等展开了深入讨论。</w:t>
      </w:r>
    </w:p>
    <w:p w14:paraId="5A539C30">
      <w:pPr>
        <w:bidi w:val="0"/>
        <w:rPr>
          <w:rFonts w:hint="eastAsia"/>
          <w:lang w:val="en-US" w:eastAsia="zh-CN"/>
        </w:rPr>
      </w:pPr>
      <w:r>
        <w:rPr>
          <w:rFonts w:hint="eastAsia"/>
        </w:rPr>
        <w:t>综上所述，现有文献共识在于承认其诺成性、有偿性及类型化处理的必要性。本文的研究将聚焦于担保型这一更具争议和实践复杂性的类型，结合最新司法解释，对其法律构造与适用规则进行深化与体系化整合。</w:t>
      </w:r>
      <w:r>
        <w:rPr>
          <w:rFonts w:hint="default"/>
        </w:rPr>
        <w:t>以《民法典》及两部司法解释为核心，进行体系化与目的解释。严格区分清偿型与担保型、债权效力与物权效力</w:t>
      </w:r>
      <w:r>
        <w:rPr>
          <w:rFonts w:hint="eastAsia"/>
          <w:lang w:val="en-US" w:eastAsia="zh-CN"/>
        </w:rPr>
        <w:t>阶段</w:t>
      </w:r>
    </w:p>
    <w:p w14:paraId="44F9C9D9">
      <w:pPr>
        <w:pStyle w:val="2"/>
        <w:bidi w:val="0"/>
        <w:jc w:val="center"/>
        <w:rPr>
          <w:rFonts w:hint="default"/>
          <w:lang w:val="en-US" w:eastAsia="zh-CN"/>
        </w:rPr>
      </w:pPr>
      <w:bookmarkStart w:id="2" w:name="_Toc10326"/>
      <w:r>
        <w:rPr>
          <w:rFonts w:hint="eastAsia"/>
          <w:lang w:val="en-US" w:eastAsia="zh-CN"/>
        </w:rPr>
        <w:t>二、</w:t>
      </w:r>
      <w:bookmarkEnd w:id="2"/>
      <w:r>
        <w:rPr>
          <w:rFonts w:hint="eastAsia"/>
          <w:lang w:val="en-US" w:eastAsia="zh-CN"/>
        </w:rPr>
        <w:t>担保型以物抵债的规则发展现状</w:t>
      </w:r>
    </w:p>
    <w:p w14:paraId="41938192">
      <w:pPr>
        <w:pStyle w:val="3"/>
        <w:keepNext/>
        <w:keepLines/>
        <w:pageBreakBefore w:val="0"/>
        <w:widowControl w:val="0"/>
        <w:numPr>
          <w:ilvl w:val="0"/>
          <w:numId w:val="0"/>
        </w:numPr>
        <w:kinsoku/>
        <w:wordWrap/>
        <w:overflowPunct/>
        <w:topLinePunct w:val="0"/>
        <w:autoSpaceDE/>
        <w:autoSpaceDN/>
        <w:bidi w:val="0"/>
        <w:adjustRightInd/>
        <w:snapToGrid/>
        <w:spacing w:before="0" w:beforeAutospacing="0" w:after="0" w:afterAutospacing="0" w:line="400" w:lineRule="exact"/>
        <w:ind w:firstLine="482" w:firstLineChars="200"/>
        <w:textAlignment w:val="auto"/>
        <w:rPr>
          <w:rFonts w:hint="default"/>
          <w:lang w:val="en-US" w:eastAsia="zh-CN"/>
        </w:rPr>
      </w:pPr>
      <w:bookmarkStart w:id="3" w:name="_Toc11915"/>
      <w:r>
        <w:rPr>
          <w:rFonts w:hint="eastAsia" w:ascii="宋体" w:hAnsi="宋体" w:eastAsia="宋体" w:cs="宋体"/>
          <w:b/>
          <w:kern w:val="2"/>
          <w:sz w:val="24"/>
          <w:szCs w:val="24"/>
          <w:lang w:val="en-US" w:eastAsia="zh-CN" w:bidi="ar-SA"/>
        </w:rPr>
        <w:t>（一）</w:t>
      </w:r>
      <w:bookmarkEnd w:id="3"/>
      <w:r>
        <w:rPr>
          <w:rFonts w:hint="eastAsia" w:ascii="宋体" w:hAnsi="宋体" w:cs="宋体"/>
          <w:b/>
          <w:kern w:val="2"/>
          <w:sz w:val="24"/>
          <w:szCs w:val="24"/>
          <w:lang w:val="en-US" w:eastAsia="zh-CN" w:bidi="ar-SA"/>
        </w:rPr>
        <w:t>担保型以物抵债的概述</w:t>
      </w:r>
    </w:p>
    <w:p w14:paraId="1164F8A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firstLine="480" w:firstLineChars="200"/>
        <w:textAlignment w:val="auto"/>
        <w:outlineLvl w:val="2"/>
        <w:rPr>
          <w:rFonts w:hint="eastAsia" w:ascii="宋体" w:hAnsi="宋体" w:eastAsia="宋体" w:cs="宋体"/>
          <w:bCs w:val="0"/>
          <w:kern w:val="2"/>
          <w:sz w:val="24"/>
          <w:szCs w:val="24"/>
          <w:lang w:val="en-US" w:eastAsia="zh-CN" w:bidi="ar-SA"/>
        </w:rPr>
      </w:pPr>
      <w:r>
        <w:rPr>
          <w:rFonts w:hint="eastAsia" w:ascii="宋体" w:hAnsi="宋体" w:eastAsia="宋体" w:cs="宋体"/>
          <w:bCs w:val="0"/>
          <w:kern w:val="2"/>
          <w:sz w:val="24"/>
          <w:szCs w:val="24"/>
          <w:lang w:val="en-US" w:eastAsia="zh-CN" w:bidi="ar-SA"/>
        </w:rPr>
        <w:t>1.</w:t>
      </w:r>
      <w:r>
        <w:rPr>
          <w:rFonts w:hint="eastAsia" w:cs="宋体"/>
          <w:bCs w:val="0"/>
          <w:kern w:val="2"/>
          <w:sz w:val="24"/>
          <w:szCs w:val="24"/>
          <w:lang w:val="en-US" w:eastAsia="zh-CN" w:bidi="ar-SA"/>
        </w:rPr>
        <w:t>担保型</w:t>
      </w:r>
      <w:r>
        <w:rPr>
          <w:rFonts w:hint="eastAsia" w:ascii="宋体" w:hAnsi="宋体" w:eastAsia="宋体" w:cs="宋体"/>
          <w:bCs w:val="0"/>
          <w:kern w:val="2"/>
          <w:sz w:val="24"/>
          <w:szCs w:val="24"/>
          <w:lang w:val="en-US" w:eastAsia="zh-CN" w:bidi="ar-SA"/>
        </w:rPr>
        <w:t>以物抵债的界定</w:t>
      </w:r>
    </w:p>
    <w:p w14:paraId="6528CE1A">
      <w:pPr>
        <w:keepNext w:val="0"/>
        <w:keepLines w:val="0"/>
        <w:widowControl/>
        <w:suppressLineNumbers w:val="0"/>
        <w:jc w:val="left"/>
        <w:rPr>
          <w:rFonts w:hint="eastAsia"/>
        </w:rPr>
      </w:pPr>
      <w:r>
        <w:rPr>
          <w:rFonts w:hint="eastAsia"/>
          <w:bCs/>
          <w:color w:val="FF0000"/>
          <w:sz w:val="24"/>
          <w:lang w:val="en-US" w:eastAsia="zh-CN"/>
        </w:rPr>
        <w:t>以物抵债的类型在《民法典合同编司法解释》中根据缔约时间与合同履行期的先后顺序划分为了履行期限届满前达成的以物抵债协议和履行期限届满之后达成的以物抵债协议。但时间的先后顺序并非二者的本质区别，实际上还是要基于以物抵债协议所要实现的功能来分别适用不同的规则，将以物抵债的功能确立为分类标准更加准确。以物抵债最初的表现形式是是履行期限届满之后达成的以物抵债协议，其主要表现为债务更新或者替代清偿。从2014年“朱俊芳案”开始,司法实务界逐渐意识到以物抵债常被当事人用作担保用途，由此产生了履行期限届满之前达成的以物抵债协议。</w:t>
      </w:r>
      <w:r>
        <w:rPr>
          <w:rFonts w:hint="eastAsia"/>
        </w:rPr>
        <w:t>担保型以物抵债协议</w:t>
      </w:r>
      <w:r>
        <w:rPr>
          <w:rFonts w:hint="eastAsia"/>
          <w:lang w:val="en-US" w:eastAsia="zh-CN"/>
        </w:rPr>
        <w:t>的</w:t>
      </w:r>
      <w:r>
        <w:rPr>
          <w:rFonts w:hint="eastAsia"/>
        </w:rPr>
        <w:t>核心特征在于“担保目的性”与“履行条件性”。</w:t>
      </w:r>
      <w:r>
        <w:rPr>
          <w:rFonts w:hint="eastAsia"/>
          <w:lang w:val="en-US" w:eastAsia="zh-CN"/>
        </w:rPr>
        <w:t>在</w:t>
      </w:r>
      <w:r>
        <w:rPr>
          <w:rFonts w:hint="eastAsia"/>
        </w:rPr>
        <w:t>其界定标准</w:t>
      </w:r>
      <w:r>
        <w:rPr>
          <w:rFonts w:hint="eastAsia"/>
          <w:lang w:val="en-US" w:eastAsia="zh-CN"/>
        </w:rPr>
        <w:t>上，</w:t>
      </w:r>
      <w:r>
        <w:rPr>
          <w:rFonts w:hint="eastAsia"/>
        </w:rPr>
        <w:t>理论与实践存在过分依赖“缔约时间”形式标准与深入探究“当事人真意”实质标准的分歧。《合同编通则解释》第28条以“债务履行期限届满前达成”作为适用担保型规则的表面标准，这主要是出于司法操作便利的考量。一方面，当事人可能倒签合同；另一方面，履行期届满前达成的协议未必都以担保为目的，也可能包含债务人放弃期限利益、旨在提前清偿的真实意思。反之，履行期届满后达成的协议，在特定背景下也可能隐含担保的合意</w:t>
      </w:r>
      <w:r>
        <w:rPr>
          <w:rFonts w:hint="eastAsia"/>
          <w:lang w:eastAsia="zh-CN"/>
        </w:rPr>
        <w:t>，</w:t>
      </w:r>
      <w:r>
        <w:rPr>
          <w:rFonts w:hint="eastAsia"/>
          <w:lang w:val="en-US" w:eastAsia="zh-CN"/>
        </w:rPr>
        <w:t>例如</w:t>
      </w:r>
      <w:r>
        <w:rPr>
          <w:rFonts w:hint="eastAsia"/>
        </w:rPr>
        <w:t>为延长履行期提供增信。因此，更为科学和准确的界定方法，应是“实质目的探究法”。即，司法实践中应综合考量以下因素来判断协议是否属于担保型：（1）协议中是否明确将“债务人不履行到期债务”作为以物抵债协议得以实际履行或债权人得以主张抵债财产权利的前提条件。这是最核心的识别标志。（2）抵债财产的价值与主债权额是否显著不相当。若抵债物价值远高于债权额，通常更可能体现担保意图，特别是流担保的嫌疑。（3）缔约时间与主债权发生时间的关联。担保型协议通常在主债权设立时或之后不久达成。（4）当事人的交易背景与商业逻辑。探究双方在签订协议时的真实意图究竟是设立担保，还是进行真实的资产转让或债务重组。应优先通过合同解释探求当事人关于“担保”的</w:t>
      </w:r>
      <w:r>
        <w:rPr>
          <w:rFonts w:hint="default"/>
          <w:lang w:val="en-US"/>
        </w:rPr>
        <w:t>真实意思。</w:t>
      </w:r>
      <w:r>
        <w:rPr>
          <w:rFonts w:hint="eastAsia"/>
        </w:rPr>
        <w:t>当有证据证明履行期届满前的协议旨在即时清偿，应超越形式标准，依据实质目的进行定性。</w:t>
      </w:r>
    </w:p>
    <w:p w14:paraId="7F32C2C1">
      <w:pPr>
        <w:numPr>
          <w:ilvl w:val="0"/>
          <w:numId w:val="0"/>
        </w:numPr>
        <w:bidi w:val="0"/>
        <w:ind w:firstLine="480" w:firstLineChars="200"/>
        <w:rPr>
          <w:rFonts w:hint="eastAsia"/>
          <w:lang w:val="en-US" w:eastAsia="zh-CN"/>
        </w:rPr>
      </w:pPr>
      <w:r>
        <w:rPr>
          <w:rFonts w:hint="eastAsia" w:ascii="宋体" w:hAnsi="宋体" w:eastAsia="宋体" w:cs="宋体"/>
          <w:bCs/>
          <w:kern w:val="2"/>
          <w:sz w:val="24"/>
          <w:szCs w:val="24"/>
          <w:lang w:val="en-US" w:eastAsia="zh-CN" w:bidi="ar-SA"/>
        </w:rPr>
        <w:t>2.</w:t>
      </w:r>
      <w:r>
        <w:rPr>
          <w:rFonts w:hint="eastAsia" w:cs="宋体"/>
          <w:bCs/>
          <w:kern w:val="2"/>
          <w:sz w:val="24"/>
          <w:szCs w:val="24"/>
          <w:lang w:val="en-US" w:eastAsia="zh-CN" w:bidi="ar-SA"/>
        </w:rPr>
        <w:t>担保型</w:t>
      </w:r>
      <w:r>
        <w:rPr>
          <w:rFonts w:hint="eastAsia"/>
        </w:rPr>
        <w:t>以物抵债</w:t>
      </w:r>
      <w:r>
        <w:rPr>
          <w:rFonts w:hint="eastAsia"/>
          <w:lang w:val="en-US" w:eastAsia="zh-CN"/>
        </w:rPr>
        <w:t>与相关制度制度的衔接</w:t>
      </w:r>
    </w:p>
    <w:p w14:paraId="4D3F3275">
      <w:pPr>
        <w:numPr>
          <w:ilvl w:val="0"/>
          <w:numId w:val="0"/>
        </w:numPr>
        <w:bidi w:val="0"/>
        <w:ind w:firstLine="480" w:firstLineChars="200"/>
        <w:rPr>
          <w:rFonts w:hint="default"/>
          <w:lang w:val="en-US" w:eastAsia="zh-CN"/>
        </w:rPr>
      </w:pPr>
      <w:r>
        <w:rPr>
          <w:rFonts w:hint="eastAsia"/>
          <w:lang w:val="en-US" w:eastAsia="zh-CN"/>
        </w:rPr>
        <w:t>（1）担保型以物抵债与让与担保制度</w:t>
      </w:r>
    </w:p>
    <w:p w14:paraId="46D517AB">
      <w:pPr>
        <w:numPr>
          <w:ilvl w:val="0"/>
          <w:numId w:val="0"/>
        </w:numPr>
        <w:bidi w:val="0"/>
        <w:ind w:firstLine="480" w:firstLineChars="200"/>
        <w:rPr>
          <w:rFonts w:hint="eastAsia"/>
        </w:rPr>
      </w:pPr>
      <w:r>
        <w:rPr>
          <w:rFonts w:hint="eastAsia"/>
        </w:rPr>
        <w:t>担保型以物抵债与买卖型担保</w:t>
      </w:r>
      <w:r>
        <w:rPr>
          <w:rFonts w:hint="eastAsia"/>
          <w:lang w:eastAsia="zh-CN"/>
        </w:rPr>
        <w:t>，</w:t>
      </w:r>
      <w:r>
        <w:rPr>
          <w:rFonts w:hint="eastAsia"/>
          <w:lang w:val="en-US" w:eastAsia="zh-CN"/>
        </w:rPr>
        <w:t>即</w:t>
      </w:r>
      <w:r>
        <w:rPr>
          <w:rFonts w:hint="eastAsia"/>
        </w:rPr>
        <w:t>后让与担保关系密切，常被混淆，但存在本质区别。买卖型担保，是指当事人为担保债务履行，签订买卖合同约定若债务人到期不偿还债务，则履行该买卖合同</w:t>
      </w:r>
      <w:r>
        <w:rPr>
          <w:rFonts w:hint="default"/>
          <w:lang w:val="en-US"/>
        </w:rPr>
        <w:t>。</w:t>
      </w:r>
      <w:r>
        <w:rPr>
          <w:rFonts w:hint="eastAsia"/>
        </w:rPr>
        <w:t>其外在表现形式是一个独立的买卖合同。担保型以物抵债协议则直接以“抵债”为内容，明确表达了以物清偿债务的合意。两者功能上均为非典型担保；都可能面临流担保禁令的审查；在《九民纪要》和《合同编通则解释》的规则框架下，其处理思路趋于统一，即均需经过清算程序。核心区别在于</w:t>
      </w:r>
      <w:r>
        <w:rPr>
          <w:rFonts w:hint="eastAsia"/>
          <w:lang w:val="en-US" w:eastAsia="zh-CN"/>
        </w:rPr>
        <w:t>二者的</w:t>
      </w:r>
      <w:r>
        <w:rPr>
          <w:rFonts w:hint="eastAsia"/>
        </w:rPr>
        <w:t>法律行为的外观</w:t>
      </w:r>
      <w:r>
        <w:rPr>
          <w:rFonts w:hint="eastAsia"/>
          <w:lang w:eastAsia="zh-CN"/>
        </w:rPr>
        <w:t>。</w:t>
      </w:r>
      <w:r>
        <w:rPr>
          <w:rFonts w:hint="eastAsia"/>
        </w:rPr>
        <w:t>不同买卖型担保存在一个形式上的买卖法律关系，而担保型以物抵债协议直接表现为对原债务清偿方式的变更约定。</w:t>
      </w:r>
    </w:p>
    <w:p w14:paraId="262DAE9E">
      <w:pPr>
        <w:numPr>
          <w:ilvl w:val="0"/>
          <w:numId w:val="0"/>
        </w:numPr>
        <w:bidi w:val="0"/>
        <w:ind w:firstLine="480" w:firstLineChars="200"/>
        <w:rPr>
          <w:rFonts w:hint="eastAsia"/>
        </w:rPr>
      </w:pPr>
      <w:r>
        <w:rPr>
          <w:rFonts w:hint="eastAsia"/>
        </w:rPr>
        <w:t>担保型以物抵债与让与担保之间是特别与一般的关系。让与担保是一个上位概念</w:t>
      </w:r>
      <w:r>
        <w:rPr>
          <w:rFonts w:hint="default"/>
          <w:lang w:val="en-US"/>
        </w:rPr>
        <w:t>，作为</w:t>
      </w:r>
      <w:r>
        <w:rPr>
          <w:rFonts w:hint="eastAsia"/>
        </w:rPr>
        <w:t>一种非典型担保方式其核心特征是“权利转移+担保目的”。担保型以物抵债是让与担保的一种常见表现形式和实现路径。</w:t>
      </w:r>
      <w:r>
        <w:rPr>
          <w:rFonts w:hint="eastAsia"/>
          <w:lang w:val="en-US" w:eastAsia="zh-CN"/>
        </w:rPr>
        <w:t>具体提表现为，</w:t>
      </w:r>
      <w:r>
        <w:rPr>
          <w:rFonts w:hint="eastAsia"/>
        </w:rPr>
        <w:t>在“约定阶段”，担保型以物抵债协议就是设立让与担保的合同。当事人约定债务不履行时以物抵债，其中包含了“以转移财产权利作为担保”的真实意思。如果当事人根据该协议，将权利“形式上转移至债权人名下”，则构成了让与担保的设立。此时，应直接适用《担保制度解释》第68条关于让与担保的规则。</w:t>
      </w:r>
      <w:r>
        <w:rPr>
          <w:rStyle w:val="10"/>
          <w:rFonts w:hint="eastAsia"/>
        </w:rPr>
        <w:t>[</w:t>
      </w:r>
      <w:r>
        <w:rPr>
          <w:rStyle w:val="10"/>
          <w:rFonts w:hint="eastAsia"/>
        </w:rPr>
        <w:footnoteReference w:id="4"/>
      </w:r>
      <w:r>
        <w:rPr>
          <w:rStyle w:val="10"/>
          <w:rFonts w:hint="eastAsia"/>
        </w:rPr>
        <w:t>]</w:t>
      </w:r>
      <w:r>
        <w:rPr>
          <w:rFonts w:hint="eastAsia"/>
        </w:rPr>
        <w:t>因此，可以说，担保型以物抵债协议是让与担保的原因行为，而完成公示的让与担保是该协议履行后所希望达到的担保物权设立状态。两者在“禁止流担保、需经清算”的核心规则上完全一致。</w:t>
      </w:r>
    </w:p>
    <w:p w14:paraId="5F299297">
      <w:pPr>
        <w:numPr>
          <w:ilvl w:val="0"/>
          <w:numId w:val="0"/>
        </w:numPr>
        <w:bidi w:val="0"/>
        <w:ind w:firstLine="480" w:firstLineChars="200"/>
        <w:rPr>
          <w:rFonts w:hint="default"/>
          <w:lang w:val="en-US" w:eastAsia="zh-CN"/>
        </w:rPr>
      </w:pPr>
      <w:r>
        <w:rPr>
          <w:rFonts w:hint="eastAsia"/>
          <w:lang w:eastAsia="zh-CN"/>
        </w:rPr>
        <w:t>（</w:t>
      </w:r>
      <w:r>
        <w:rPr>
          <w:rFonts w:hint="eastAsia"/>
          <w:lang w:val="en-US" w:eastAsia="zh-CN"/>
        </w:rPr>
        <w:t>2）担保型以物抵债与动产抵押制度</w:t>
      </w:r>
    </w:p>
    <w:p w14:paraId="4B573F86">
      <w:pPr>
        <w:numPr>
          <w:ilvl w:val="0"/>
          <w:numId w:val="0"/>
        </w:numPr>
        <w:bidi w:val="0"/>
        <w:ind w:firstLine="480" w:firstLineChars="200"/>
        <w:rPr>
          <w:rFonts w:hint="default"/>
          <w:lang w:val="en-US" w:eastAsia="zh-CN"/>
        </w:rPr>
      </w:pPr>
    </w:p>
    <w:p w14:paraId="491D75E5">
      <w:pPr>
        <w:pStyle w:val="3"/>
        <w:keepNext/>
        <w:keepLines/>
        <w:pageBreakBefore w:val="0"/>
        <w:widowControl w:val="0"/>
        <w:numPr>
          <w:ilvl w:val="0"/>
          <w:numId w:val="0"/>
        </w:numPr>
        <w:kinsoku/>
        <w:wordWrap/>
        <w:overflowPunct/>
        <w:topLinePunct w:val="0"/>
        <w:autoSpaceDE/>
        <w:autoSpaceDN/>
        <w:bidi w:val="0"/>
        <w:adjustRightInd/>
        <w:snapToGrid/>
        <w:spacing w:before="0" w:beforeAutospacing="0" w:after="0" w:afterAutospacing="0" w:line="400" w:lineRule="exact"/>
        <w:ind w:firstLine="482" w:firstLineChars="200"/>
        <w:textAlignment w:val="auto"/>
        <w:rPr>
          <w:rFonts w:hint="eastAsia"/>
          <w:lang w:val="en-US" w:eastAsia="zh-CN"/>
        </w:rPr>
      </w:pPr>
      <w:r>
        <w:rPr>
          <w:rFonts w:hint="eastAsia" w:ascii="宋体" w:hAnsi="宋体" w:eastAsia="宋体" w:cs="宋体"/>
          <w:b/>
          <w:kern w:val="2"/>
          <w:sz w:val="24"/>
          <w:szCs w:val="24"/>
          <w:lang w:val="en-US" w:eastAsia="zh-CN" w:bidi="ar-SA"/>
        </w:rPr>
        <w:t>（</w:t>
      </w:r>
      <w:r>
        <w:rPr>
          <w:rFonts w:hint="eastAsia" w:ascii="宋体" w:hAnsi="宋体" w:cs="宋体"/>
          <w:b/>
          <w:kern w:val="2"/>
          <w:sz w:val="24"/>
          <w:szCs w:val="24"/>
          <w:lang w:val="en-US" w:eastAsia="zh-CN" w:bidi="ar-SA"/>
        </w:rPr>
        <w:t>二</w:t>
      </w:r>
      <w:r>
        <w:rPr>
          <w:rFonts w:hint="eastAsia" w:ascii="宋体" w:hAnsi="宋体" w:eastAsia="宋体" w:cs="宋体"/>
          <w:b/>
          <w:kern w:val="2"/>
          <w:sz w:val="24"/>
          <w:szCs w:val="24"/>
          <w:lang w:val="en-US" w:eastAsia="zh-CN" w:bidi="ar-SA"/>
        </w:rPr>
        <w:t>）</w:t>
      </w:r>
      <w:r>
        <w:rPr>
          <w:rFonts w:hint="eastAsia" w:cs="宋体"/>
          <w:bCs/>
          <w:kern w:val="2"/>
          <w:sz w:val="24"/>
          <w:szCs w:val="24"/>
          <w:lang w:val="en-US" w:eastAsia="zh-CN" w:bidi="ar-SA"/>
        </w:rPr>
        <w:t>法律</w:t>
      </w:r>
      <w:r>
        <w:rPr>
          <w:rFonts w:hint="eastAsia"/>
        </w:rPr>
        <w:t>规则</w:t>
      </w:r>
      <w:r>
        <w:rPr>
          <w:rFonts w:hint="eastAsia"/>
          <w:lang w:val="en-US" w:eastAsia="zh-CN"/>
        </w:rPr>
        <w:t>发展</w:t>
      </w:r>
      <w:r>
        <w:rPr>
          <w:rFonts w:hint="eastAsia"/>
        </w:rPr>
        <w:t>现状</w:t>
      </w:r>
      <w:r>
        <w:rPr>
          <w:rFonts w:hint="eastAsia"/>
          <w:lang w:val="en-US" w:eastAsia="zh-CN"/>
        </w:rPr>
        <w:t>与分析</w:t>
      </w:r>
    </w:p>
    <w:p w14:paraId="0B20FAC4">
      <w:pPr>
        <w:numPr>
          <w:ilvl w:val="0"/>
          <w:numId w:val="0"/>
        </w:numPr>
        <w:bidi w:val="0"/>
        <w:ind w:firstLine="480" w:firstLineChars="200"/>
        <w:rPr>
          <w:rFonts w:hint="eastAsia"/>
        </w:rPr>
      </w:pPr>
      <w:r>
        <w:rPr>
          <w:rFonts w:hint="eastAsia"/>
        </w:rPr>
        <w:t>当前，关于担保型以物抵债协议的核心规则由《合同编通则解释》第28条与《担保制度解释》第68条共同构建，形成了一个从“债权合意”到“物权效力”的阶梯式规范体系。首先，《合同编通则解释》第28条规制的是担保型以物抵债协议的“债权效力”。该条第1款要求法院“在审理债权债务关系的基础上认定该协议的效力”，强调了其从属性。该协议本身是一个有效的、具有担保功能的债权合同，其效力不因涉嫌流质而整体无效，仅流质约定部分无效。债权人依据该有效合同，享有请求对抵债财产进行变价清偿的债权。《担保制度解释》第68条规制的是担保型以物抵债协议履行后可能产生的“担保物权效力”。该条明确了让与担保的规则</w:t>
      </w:r>
      <w:r>
        <w:rPr>
          <w:rFonts w:hint="default"/>
          <w:lang w:val="en-US"/>
        </w:rPr>
        <w:t>。</w:t>
      </w:r>
      <w:r>
        <w:rPr>
          <w:rFonts w:hint="eastAsia"/>
        </w:rPr>
        <w:t>当事人约定将财产形式上转移至债权人名下以担保债务，该约定有效。若已完成财产权利变动的公示即“转移至债权人名下”，则债务人不履行到期债务时，债权人可以请求参照民法典关于担保物权的规定，就该财产折价或拍卖、变卖所得的价款“优先受偿”。这意味着，优先受偿权这一担保物权效力的取得，必须已经</w:t>
      </w:r>
      <w:r>
        <w:rPr>
          <w:rFonts w:hint="default"/>
          <w:lang w:val="en-US"/>
        </w:rPr>
        <w:t>完成</w:t>
      </w:r>
      <w:r>
        <w:rPr>
          <w:rFonts w:hint="eastAsia"/>
        </w:rPr>
        <w:t>财产权利的公示。公示</w:t>
      </w:r>
      <w:r>
        <w:rPr>
          <w:rFonts w:hint="default"/>
          <w:lang w:val="en-US"/>
        </w:rPr>
        <w:t>使得</w:t>
      </w:r>
      <w:r>
        <w:rPr>
          <w:rFonts w:hint="eastAsia"/>
        </w:rPr>
        <w:t>担保合意转化为对世性物权。对于不动产，公示通常指所有权转移登记；对于动产</w:t>
      </w:r>
      <w:r>
        <w:rPr>
          <w:rFonts w:hint="eastAsia"/>
          <w:lang w:val="en-US" w:eastAsia="zh-CN"/>
        </w:rPr>
        <w:t>通常指交付</w:t>
      </w:r>
      <w:r>
        <w:rPr>
          <w:rFonts w:hint="eastAsia"/>
          <w:lang w:eastAsia="zh-CN"/>
        </w:rPr>
        <w:t>，</w:t>
      </w:r>
      <w:r>
        <w:rPr>
          <w:rFonts w:hint="eastAsia"/>
          <w:lang w:val="en-US" w:eastAsia="zh-CN"/>
        </w:rPr>
        <w:t>此外还包括了观念交付，例如</w:t>
      </w:r>
      <w:r>
        <w:rPr>
          <w:rFonts w:hint="eastAsia"/>
        </w:rPr>
        <w:t>占有改定</w:t>
      </w:r>
      <w:r>
        <w:rPr>
          <w:rFonts w:hint="eastAsia"/>
          <w:lang w:val="en-US" w:eastAsia="zh-CN"/>
        </w:rPr>
        <w:t>的情形</w:t>
      </w:r>
      <w:r>
        <w:rPr>
          <w:rFonts w:hint="eastAsia"/>
        </w:rPr>
        <w:t>。</w:t>
      </w:r>
      <w:r>
        <w:rPr>
          <w:rFonts w:hint="eastAsia"/>
          <w:lang w:val="en-US" w:eastAsia="zh-CN"/>
        </w:rPr>
        <w:t>有学者</w:t>
      </w:r>
      <w:r>
        <w:rPr>
          <w:rFonts w:hint="eastAsia"/>
        </w:rPr>
        <w:t>还探讨了预告登记作为替代性公示手段的可能性。</w:t>
      </w:r>
    </w:p>
    <w:p w14:paraId="024D2FCD">
      <w:pPr>
        <w:numPr>
          <w:ilvl w:val="0"/>
          <w:numId w:val="0"/>
        </w:numPr>
        <w:bidi w:val="0"/>
        <w:ind w:firstLine="480" w:firstLineChars="200"/>
        <w:rPr>
          <w:rFonts w:hint="eastAsia" w:eastAsia="宋体"/>
          <w:lang w:eastAsia="zh-CN"/>
        </w:rPr>
      </w:pPr>
      <w:r>
        <w:rPr>
          <w:rFonts w:hint="eastAsia"/>
        </w:rPr>
        <w:t>综上，现行规则现状是“二分法”：担保型以物抵债协议本身产生债权约束力</w:t>
      </w:r>
      <w:r>
        <w:rPr>
          <w:rFonts w:hint="eastAsia"/>
          <w:lang w:eastAsia="zh-CN"/>
        </w:rPr>
        <w:t>，</w:t>
      </w:r>
      <w:r>
        <w:rPr>
          <w:rFonts w:hint="eastAsia"/>
        </w:rPr>
        <w:t>债权人享有变价清偿请求权；该协议得到履行且完成权利公示后，产生担保物权效力</w:t>
      </w:r>
      <w:r>
        <w:rPr>
          <w:rFonts w:hint="eastAsia"/>
          <w:lang w:eastAsia="zh-CN"/>
        </w:rPr>
        <w:t>，</w:t>
      </w:r>
      <w:r>
        <w:rPr>
          <w:rFonts w:hint="eastAsia"/>
        </w:rPr>
        <w:t>债权人享有优先受偿权。两个阶段的法律效果和适用规则截然不同</w:t>
      </w:r>
      <w:r>
        <w:rPr>
          <w:rFonts w:hint="eastAsia"/>
          <w:lang w:eastAsia="zh-CN"/>
        </w:rPr>
        <w:t>。</w:t>
      </w:r>
    </w:p>
    <w:p w14:paraId="66939217">
      <w:pPr>
        <w:pStyle w:val="2"/>
        <w:bidi w:val="0"/>
        <w:jc w:val="center"/>
        <w:rPr>
          <w:rFonts w:hint="default"/>
          <w:lang w:val="en-US" w:eastAsia="zh-CN"/>
        </w:rPr>
      </w:pPr>
      <w:r>
        <w:rPr>
          <w:rFonts w:hint="eastAsia"/>
          <w:lang w:val="en-US" w:eastAsia="zh-CN"/>
        </w:rPr>
        <w:t>三、担保型以物抵债规则适用的具体方法</w:t>
      </w:r>
    </w:p>
    <w:p w14:paraId="0FCA90D3">
      <w:pPr>
        <w:pStyle w:val="3"/>
        <w:keepNext/>
        <w:keepLines/>
        <w:pageBreakBefore w:val="0"/>
        <w:widowControl w:val="0"/>
        <w:kinsoku/>
        <w:wordWrap/>
        <w:overflowPunct/>
        <w:topLinePunct w:val="0"/>
        <w:autoSpaceDE/>
        <w:autoSpaceDN/>
        <w:bidi w:val="0"/>
        <w:adjustRightInd/>
        <w:snapToGrid/>
        <w:spacing w:before="0" w:beforeAutospacing="0" w:after="0" w:afterAutospacing="0" w:line="400" w:lineRule="exact"/>
        <w:textAlignment w:val="auto"/>
        <w:rPr>
          <w:rFonts w:hint="eastAsia"/>
        </w:rPr>
      </w:pPr>
      <w:bookmarkStart w:id="4" w:name="_Toc1685"/>
      <w:r>
        <w:rPr>
          <w:rFonts w:hint="eastAsia" w:ascii="宋体" w:hAnsi="宋体" w:cs="宋体"/>
          <w:sz w:val="24"/>
          <w:szCs w:val="24"/>
          <w:lang w:val="en-US" w:eastAsia="zh-CN"/>
        </w:rPr>
        <w:t>（</w:t>
      </w:r>
      <w:r>
        <w:rPr>
          <w:rFonts w:hint="eastAsia" w:ascii="宋体" w:hAnsi="宋体" w:eastAsia="宋体" w:cs="宋体"/>
          <w:sz w:val="24"/>
          <w:szCs w:val="24"/>
          <w:lang w:val="en-US" w:eastAsia="zh-CN"/>
        </w:rPr>
        <w:t>一）</w:t>
      </w:r>
      <w:bookmarkEnd w:id="4"/>
      <w:r>
        <w:rPr>
          <w:rFonts w:hint="eastAsia"/>
        </w:rPr>
        <w:t>仅具有债权效力的担保型以物抵债协议的规则适用</w:t>
      </w:r>
    </w:p>
    <w:p w14:paraId="5706C4E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hint="eastAsia"/>
          <w:bCs/>
          <w:color w:val="FF0000"/>
          <w:sz w:val="24"/>
          <w:lang w:val="en-US" w:eastAsia="zh-CN"/>
        </w:rPr>
        <w:t>虽然在《民法典》中就已经对担保型以物抵债中的流质、流抵条款进行了规制，以及相关的《九民纪要》《担保制度司法解释》与《合同编司法解释》大多都只对已经达成了担保型以物抵债之后进行规制。</w:t>
      </w:r>
      <w:r>
        <w:rPr>
          <w:rFonts w:hint="eastAsia"/>
        </w:rPr>
        <w:t>担保型以物抵债协议在未完成财产权利转移公示前，仅具有债权效力</w:t>
      </w:r>
      <w:r>
        <w:rPr>
          <w:rFonts w:hint="eastAsia"/>
          <w:lang w:eastAsia="zh-CN"/>
        </w:rPr>
        <w:t>，</w:t>
      </w:r>
      <w:r>
        <w:rPr>
          <w:rFonts w:hint="eastAsia"/>
          <w:lang w:val="en-US" w:eastAsia="zh-CN"/>
        </w:rPr>
        <w:t>但是该债权效力的具体内容为何尚有争议。</w:t>
      </w:r>
      <w:r>
        <w:rPr>
          <w:rFonts w:hint="eastAsia"/>
          <w:bCs/>
          <w:color w:val="FF0000"/>
          <w:sz w:val="24"/>
          <w:lang w:val="en-US" w:eastAsia="zh-CN"/>
        </w:rPr>
        <w:t>对于尚未履行，未对标的物进行交付或者登记的情况下，该以物抵债协议的效力以及规则适用还要回归到《民间借贷司法解释》第23条的规制上。</w:t>
      </w:r>
    </w:p>
    <w:p w14:paraId="3A84597B">
      <w:pPr>
        <w:keepNext w:val="0"/>
        <w:keepLines w:val="0"/>
        <w:pageBreakBefore w:val="0"/>
        <w:widowControl w:val="0"/>
        <w:numPr>
          <w:ilvl w:val="0"/>
          <w:numId w:val="0"/>
        </w:numPr>
        <w:kinsoku/>
        <w:wordWrap/>
        <w:overflowPunct/>
        <w:topLinePunct w:val="0"/>
        <w:autoSpaceDE/>
        <w:autoSpaceDN/>
        <w:bidi w:val="0"/>
        <w:adjustRightInd/>
        <w:snapToGrid/>
        <w:ind w:left="0" w:leftChars="0" w:firstLine="480" w:firstLineChars="200"/>
        <w:textAlignment w:val="auto"/>
        <w:rPr>
          <w:rFonts w:hint="eastAsia"/>
        </w:rPr>
      </w:pPr>
      <w:r>
        <w:rPr>
          <w:rFonts w:hint="eastAsia" w:ascii="宋体" w:hAnsi="宋体" w:eastAsia="宋体" w:cs="宋体"/>
          <w:bCs/>
          <w:kern w:val="2"/>
          <w:sz w:val="24"/>
          <w:szCs w:val="24"/>
          <w:lang w:val="en-US" w:eastAsia="zh-CN" w:bidi="ar-SA"/>
        </w:rPr>
        <w:t>1.</w:t>
      </w:r>
      <w:r>
        <w:rPr>
          <w:rFonts w:hint="eastAsia"/>
        </w:rPr>
        <w:t>原债务到期不履行之事实的法律意义解构</w:t>
      </w:r>
    </w:p>
    <w:p w14:paraId="6E0CBC6C">
      <w:pPr>
        <w:keepNext w:val="0"/>
        <w:keepLines w:val="0"/>
        <w:pageBreakBefore w:val="0"/>
        <w:widowControl w:val="0"/>
        <w:numPr>
          <w:ilvl w:val="0"/>
          <w:numId w:val="0"/>
        </w:numPr>
        <w:kinsoku/>
        <w:wordWrap/>
        <w:overflowPunct/>
        <w:topLinePunct w:val="0"/>
        <w:autoSpaceDE/>
        <w:autoSpaceDN/>
        <w:bidi w:val="0"/>
        <w:adjustRightInd/>
        <w:snapToGrid/>
        <w:ind w:left="0" w:leftChars="0" w:firstLine="480" w:firstLineChars="200"/>
        <w:textAlignment w:val="auto"/>
        <w:rPr>
          <w:rFonts w:hint="eastAsia"/>
        </w:rPr>
      </w:pPr>
      <w:r>
        <w:rPr>
          <w:rFonts w:hint="eastAsia"/>
        </w:rPr>
        <w:t>主债务履行期限届满而债务人未为清偿，其首要功能是成就了《民法典》第158条意义上的</w:t>
      </w:r>
      <w:r>
        <w:rPr>
          <w:rFonts w:hint="eastAsia"/>
          <w:lang w:eastAsia="zh-CN"/>
        </w:rPr>
        <w:t>“</w:t>
      </w:r>
      <w:r>
        <w:rPr>
          <w:rFonts w:hint="eastAsia"/>
        </w:rPr>
        <w:t>停止条件</w:t>
      </w:r>
      <w:r>
        <w:rPr>
          <w:rFonts w:hint="eastAsia"/>
          <w:lang w:eastAsia="zh-CN"/>
        </w:rPr>
        <w:t>”</w:t>
      </w:r>
      <w:r>
        <w:rPr>
          <w:rFonts w:hint="eastAsia"/>
        </w:rPr>
        <w:t>。协议中</w:t>
      </w:r>
      <w:r>
        <w:rPr>
          <w:rFonts w:hint="eastAsia"/>
          <w:lang w:eastAsia="zh-CN"/>
        </w:rPr>
        <w:t>“</w:t>
      </w:r>
      <w:r>
        <w:rPr>
          <w:rFonts w:hint="eastAsia"/>
        </w:rPr>
        <w:t>若甲方未能于</w:t>
      </w:r>
      <w:r>
        <w:rPr>
          <w:rFonts w:hint="eastAsia"/>
          <w:lang w:val="en-US" w:eastAsia="zh-CN"/>
        </w:rPr>
        <w:t>某</w:t>
      </w:r>
      <w:r>
        <w:rPr>
          <w:rFonts w:hint="eastAsia"/>
        </w:rPr>
        <w:t>年</w:t>
      </w:r>
      <w:r>
        <w:rPr>
          <w:rFonts w:hint="eastAsia"/>
          <w:lang w:val="en-US" w:eastAsia="zh-CN"/>
        </w:rPr>
        <w:t>某</w:t>
      </w:r>
      <w:r>
        <w:rPr>
          <w:rFonts w:hint="eastAsia"/>
        </w:rPr>
        <w:t>月</w:t>
      </w:r>
      <w:r>
        <w:rPr>
          <w:rFonts w:hint="eastAsia"/>
          <w:lang w:val="en-US" w:eastAsia="zh-CN"/>
        </w:rPr>
        <w:t>某</w:t>
      </w:r>
      <w:r>
        <w:rPr>
          <w:rFonts w:hint="eastAsia"/>
        </w:rPr>
        <w:t>日前偿还全部本息，则双方同意以乙方名下位于的房产抵偿全部债务</w:t>
      </w:r>
      <w:r>
        <w:rPr>
          <w:rFonts w:hint="eastAsia"/>
          <w:lang w:eastAsia="zh-CN"/>
        </w:rPr>
        <w:t>”</w:t>
      </w:r>
      <w:r>
        <w:rPr>
          <w:rFonts w:hint="default"/>
          <w:lang w:val="en-US" w:eastAsia="zh-CN"/>
        </w:rPr>
        <w:t>的</w:t>
      </w:r>
      <w:r>
        <w:rPr>
          <w:rFonts w:hint="eastAsia"/>
        </w:rPr>
        <w:t>约定，</w:t>
      </w:r>
      <w:r>
        <w:rPr>
          <w:rFonts w:hint="default"/>
          <w:lang w:val="en-US"/>
        </w:rPr>
        <w:t>可以</w:t>
      </w:r>
      <w:r>
        <w:rPr>
          <w:rFonts w:hint="eastAsia"/>
        </w:rPr>
        <w:t>被解构为双方成立了一项以</w:t>
      </w:r>
      <w:r>
        <w:rPr>
          <w:rFonts w:hint="eastAsia"/>
          <w:lang w:eastAsia="zh-CN"/>
        </w:rPr>
        <w:t>“</w:t>
      </w:r>
      <w:r>
        <w:rPr>
          <w:rFonts w:hint="eastAsia"/>
        </w:rPr>
        <w:t>债务人周期不履行</w:t>
      </w:r>
      <w:r>
        <w:rPr>
          <w:rFonts w:hint="eastAsia"/>
          <w:lang w:eastAsia="zh-CN"/>
        </w:rPr>
        <w:t>”</w:t>
      </w:r>
      <w:r>
        <w:rPr>
          <w:rFonts w:hint="eastAsia"/>
        </w:rPr>
        <w:t>为生效要件的担保性债权合同。在条件成就前，债权人仅享有</w:t>
      </w:r>
      <w:r>
        <w:rPr>
          <w:rFonts w:hint="eastAsia"/>
          <w:lang w:eastAsia="zh-CN"/>
        </w:rPr>
        <w:t>“</w:t>
      </w:r>
      <w:r>
        <w:rPr>
          <w:rFonts w:hint="eastAsia"/>
        </w:rPr>
        <w:t>期待权</w:t>
      </w:r>
      <w:r>
        <w:rPr>
          <w:rFonts w:hint="eastAsia"/>
          <w:lang w:eastAsia="zh-CN"/>
        </w:rPr>
        <w:t>”</w:t>
      </w:r>
      <w:r>
        <w:rPr>
          <w:rFonts w:hint="eastAsia"/>
        </w:rPr>
        <w:t>。这种权利的性质具有二重性：其一，它是一种受法律保护的、具有经济价值的法律地位，任何一方不得单方恶意阻止或促成条件的成就；其二，它尚不具备可强制执行性，债权人不能据此直接请求转移财产或主张优先受偿。条件一旦成就，此项债权的具体内容，取决于协议约定，通常表现为债权人请求债务人或第三人履行</w:t>
      </w:r>
      <w:r>
        <w:rPr>
          <w:rFonts w:hint="eastAsia"/>
          <w:lang w:eastAsia="zh-CN"/>
        </w:rPr>
        <w:t>“</w:t>
      </w:r>
      <w:r>
        <w:rPr>
          <w:rFonts w:hint="eastAsia"/>
        </w:rPr>
        <w:t>办理财产权利转移手续以设立担保</w:t>
      </w:r>
      <w:r>
        <w:rPr>
          <w:rFonts w:hint="eastAsia"/>
          <w:lang w:eastAsia="zh-CN"/>
        </w:rPr>
        <w:t>”</w:t>
      </w:r>
      <w:r>
        <w:rPr>
          <w:rFonts w:hint="eastAsia"/>
        </w:rPr>
        <w:t>的义务。</w:t>
      </w:r>
    </w:p>
    <w:p w14:paraId="4E89782B">
      <w:pPr>
        <w:keepNext w:val="0"/>
        <w:keepLines w:val="0"/>
        <w:pageBreakBefore w:val="0"/>
        <w:widowControl w:val="0"/>
        <w:numPr>
          <w:ilvl w:val="0"/>
          <w:numId w:val="0"/>
        </w:numPr>
        <w:kinsoku/>
        <w:wordWrap/>
        <w:overflowPunct/>
        <w:topLinePunct w:val="0"/>
        <w:autoSpaceDE/>
        <w:autoSpaceDN/>
        <w:bidi w:val="0"/>
        <w:adjustRightInd/>
        <w:snapToGrid/>
        <w:ind w:left="0" w:leftChars="0" w:firstLine="480" w:firstLineChars="200"/>
        <w:textAlignment w:val="auto"/>
        <w:rPr>
          <w:rFonts w:hint="eastAsia"/>
        </w:rPr>
      </w:pPr>
      <w:r>
        <w:rPr>
          <w:rFonts w:hint="eastAsia"/>
        </w:rPr>
        <w:t>条件成就所直接产生的，并非请求以物抵债本身</w:t>
      </w:r>
      <w:r>
        <w:rPr>
          <w:rFonts w:hint="eastAsia"/>
          <w:lang w:eastAsia="zh-CN"/>
        </w:rPr>
        <w:t>，</w:t>
      </w:r>
      <w:r>
        <w:rPr>
          <w:rFonts w:hint="eastAsia"/>
        </w:rPr>
        <w:t>即直接请求给付物之所有权以实现</w:t>
      </w:r>
      <w:r>
        <w:rPr>
          <w:rFonts w:hint="eastAsia"/>
          <w:lang w:val="en-US" w:eastAsia="zh-CN"/>
        </w:rPr>
        <w:t>清偿</w:t>
      </w:r>
      <w:r>
        <w:rPr>
          <w:rFonts w:hint="eastAsia"/>
        </w:rPr>
        <w:t>，而是请求履行设立担保物权的合同义务。这一区分确保了担保型以物抵债的</w:t>
      </w:r>
      <w:r>
        <w:rPr>
          <w:rFonts w:hint="eastAsia"/>
          <w:lang w:eastAsia="zh-CN"/>
        </w:rPr>
        <w:t>“</w:t>
      </w:r>
      <w:r>
        <w:rPr>
          <w:rFonts w:hint="eastAsia"/>
        </w:rPr>
        <w:t>担保</w:t>
      </w:r>
      <w:r>
        <w:rPr>
          <w:rFonts w:hint="eastAsia"/>
          <w:lang w:eastAsia="zh-CN"/>
        </w:rPr>
        <w:t>”</w:t>
      </w:r>
      <w:r>
        <w:rPr>
          <w:rFonts w:hint="eastAsia"/>
        </w:rPr>
        <w:t>属性在逻辑起点上的一贯性，即其首要目标是设立担保物权，而非直接进行物权变动以清偿债务。</w:t>
      </w:r>
    </w:p>
    <w:p w14:paraId="115D002C">
      <w:pPr>
        <w:keepNext w:val="0"/>
        <w:keepLines w:val="0"/>
        <w:pageBreakBefore w:val="0"/>
        <w:widowControl w:val="0"/>
        <w:numPr>
          <w:ilvl w:val="0"/>
          <w:numId w:val="0"/>
        </w:numPr>
        <w:kinsoku/>
        <w:wordWrap/>
        <w:overflowPunct/>
        <w:topLinePunct w:val="0"/>
        <w:autoSpaceDE/>
        <w:autoSpaceDN/>
        <w:bidi w:val="0"/>
        <w:adjustRightInd/>
        <w:snapToGrid/>
        <w:ind w:left="0" w:leftChars="0" w:firstLine="480" w:firstLineChars="200"/>
        <w:textAlignment w:val="auto"/>
        <w:rPr>
          <w:rFonts w:hint="eastAsia"/>
        </w:rPr>
      </w:pPr>
      <w:r>
        <w:rPr>
          <w:rFonts w:hint="eastAsia"/>
          <w:lang w:val="en-US" w:eastAsia="zh-CN"/>
        </w:rPr>
        <w:t>2.</w:t>
      </w:r>
      <w:r>
        <w:rPr>
          <w:rFonts w:hint="eastAsia"/>
        </w:rPr>
        <w:t>协议履行行为的法律效果指向</w:t>
      </w:r>
    </w:p>
    <w:p w14:paraId="140F9CB3">
      <w:pPr>
        <w:keepNext w:val="0"/>
        <w:keepLines w:val="0"/>
        <w:pageBreakBefore w:val="0"/>
        <w:widowControl w:val="0"/>
        <w:numPr>
          <w:ilvl w:val="0"/>
          <w:numId w:val="0"/>
        </w:numPr>
        <w:kinsoku/>
        <w:wordWrap/>
        <w:overflowPunct/>
        <w:topLinePunct w:val="0"/>
        <w:autoSpaceDE/>
        <w:autoSpaceDN/>
        <w:bidi w:val="0"/>
        <w:adjustRightInd/>
        <w:snapToGrid/>
        <w:ind w:left="0" w:leftChars="0" w:firstLine="480" w:firstLineChars="200"/>
        <w:textAlignment w:val="auto"/>
        <w:rPr>
          <w:rFonts w:hint="eastAsia"/>
        </w:rPr>
      </w:pPr>
      <w:r>
        <w:rPr>
          <w:rFonts w:hint="eastAsia"/>
        </w:rPr>
        <w:t>作为</w:t>
      </w:r>
      <w:r>
        <w:rPr>
          <w:rFonts w:hint="eastAsia"/>
          <w:lang w:eastAsia="zh-CN"/>
        </w:rPr>
        <w:t>“</w:t>
      </w:r>
      <w:r>
        <w:rPr>
          <w:rFonts w:hint="eastAsia"/>
        </w:rPr>
        <w:t>担保物权设立之原因行为</w:t>
      </w:r>
      <w:r>
        <w:rPr>
          <w:rFonts w:hint="eastAsia"/>
          <w:lang w:eastAsia="zh-CN"/>
        </w:rPr>
        <w:t>”</w:t>
      </w:r>
      <w:r>
        <w:rPr>
          <w:rFonts w:hint="eastAsia"/>
        </w:rPr>
        <w:t>的履行</w:t>
      </w:r>
      <w:r>
        <w:rPr>
          <w:rFonts w:hint="eastAsia"/>
          <w:lang w:eastAsia="zh-CN"/>
        </w:rPr>
        <w:t>，</w:t>
      </w:r>
      <w:r>
        <w:rPr>
          <w:rFonts w:hint="eastAsia"/>
        </w:rPr>
        <w:t>当债权人行使条件成就后产生的债权，要求对方履行协议时，该履行行为在法律上扮演着承前启后的关键角色。从负担行为与处分行为二分的视角看，担保型以物抵债协议本身是负担行为，仅产生债的约束力。而</w:t>
      </w:r>
      <w:r>
        <w:rPr>
          <w:rFonts w:hint="eastAsia"/>
          <w:lang w:eastAsia="zh-CN"/>
        </w:rPr>
        <w:t>“</w:t>
      </w:r>
      <w:r>
        <w:rPr>
          <w:rFonts w:hint="eastAsia"/>
        </w:rPr>
        <w:t>履行</w:t>
      </w:r>
      <w:r>
        <w:rPr>
          <w:rFonts w:hint="eastAsia"/>
          <w:lang w:eastAsia="zh-CN"/>
        </w:rPr>
        <w:t>”</w:t>
      </w:r>
      <w:r>
        <w:rPr>
          <w:rFonts w:hint="eastAsia"/>
        </w:rPr>
        <w:t>该协议的行为，则是一个复合行为：它既是履行债之义务的行为，同时，当该行为内容为转移财产权利时，它又构成了一个旨在设立担保物权的处分行为。因此，此阶段的履行，其直接法律效果并非消灭原债务，而是为原债务的清偿提供了一个具有优先效力的担保物权。例如，债务人将房产过户至债权人名下，此时，债权人在登记簿上是所有权人，但双方的真实合意是设立让与担保。该所有权的转移，仅具有</w:t>
      </w:r>
      <w:r>
        <w:rPr>
          <w:rFonts w:hint="eastAsia"/>
          <w:lang w:eastAsia="zh-CN"/>
        </w:rPr>
        <w:t>“</w:t>
      </w:r>
      <w:r>
        <w:rPr>
          <w:rFonts w:hint="eastAsia"/>
        </w:rPr>
        <w:t>形式上的转移</w:t>
      </w:r>
      <w:r>
        <w:rPr>
          <w:rFonts w:hint="eastAsia"/>
          <w:lang w:eastAsia="zh-CN"/>
        </w:rPr>
        <w:t>”</w:t>
      </w:r>
      <w:r>
        <w:rPr>
          <w:rFonts w:hint="eastAsia"/>
        </w:rPr>
        <w:t>的意义，其实质是抵押权或质权的设立。在公示完成前，主债务依然存在，且其清偿方式并未确定。若对方拒绝履行此</w:t>
      </w:r>
      <w:r>
        <w:rPr>
          <w:rFonts w:hint="eastAsia"/>
          <w:lang w:eastAsia="zh-CN"/>
        </w:rPr>
        <w:t>“</w:t>
      </w:r>
      <w:r>
        <w:rPr>
          <w:rFonts w:hint="eastAsia"/>
        </w:rPr>
        <w:t>设立担保</w:t>
      </w:r>
      <w:r>
        <w:rPr>
          <w:rFonts w:hint="eastAsia"/>
          <w:lang w:eastAsia="zh-CN"/>
        </w:rPr>
        <w:t>”</w:t>
      </w:r>
      <w:r>
        <w:rPr>
          <w:rFonts w:hint="eastAsia"/>
        </w:rPr>
        <w:t>的义务，债权人可主张的违约救济具有特殊性。继续履行请求权通常是</w:t>
      </w:r>
      <w:r>
        <w:rPr>
          <w:rFonts w:hint="eastAsia"/>
          <w:lang w:val="en-US" w:eastAsia="zh-CN"/>
        </w:rPr>
        <w:t>可以行使</w:t>
      </w:r>
      <w:r>
        <w:rPr>
          <w:rFonts w:hint="eastAsia"/>
        </w:rPr>
        <w:t>的，除非存在法律上或事实上的履行障碍。若继续履行不能，传统合同法理论指向履行利益损失，即合同被适当履行时债权人所能获得的利益。在担保型以物抵债语境下，该</w:t>
      </w:r>
      <w:r>
        <w:rPr>
          <w:rFonts w:hint="eastAsia"/>
          <w:lang w:eastAsia="zh-CN"/>
        </w:rPr>
        <w:t>“</w:t>
      </w:r>
      <w:r>
        <w:rPr>
          <w:rFonts w:hint="eastAsia"/>
        </w:rPr>
        <w:t>履行利益</w:t>
      </w:r>
      <w:r>
        <w:rPr>
          <w:rFonts w:hint="eastAsia"/>
          <w:lang w:eastAsia="zh-CN"/>
        </w:rPr>
        <w:t>”</w:t>
      </w:r>
      <w:r>
        <w:rPr>
          <w:rFonts w:hint="eastAsia"/>
        </w:rPr>
        <w:t>并非获得抵债物的完整所有权价值，而是获得一个就该财产优先受偿的担保地位</w:t>
      </w:r>
      <w:r>
        <w:rPr>
          <w:rFonts w:hint="default"/>
          <w:lang w:val="en-US" w:eastAsia="zh-CN"/>
        </w:rPr>
        <w:t>。</w:t>
      </w:r>
    </w:p>
    <w:p w14:paraId="2D70B6FC">
      <w:pPr>
        <w:keepNext w:val="0"/>
        <w:keepLines w:val="0"/>
        <w:pageBreakBefore w:val="0"/>
        <w:widowControl w:val="0"/>
        <w:numPr>
          <w:ilvl w:val="0"/>
          <w:numId w:val="0"/>
        </w:numPr>
        <w:kinsoku/>
        <w:wordWrap/>
        <w:overflowPunct/>
        <w:topLinePunct w:val="0"/>
        <w:autoSpaceDE/>
        <w:autoSpaceDN/>
        <w:bidi w:val="0"/>
        <w:adjustRightInd/>
        <w:snapToGrid/>
        <w:ind w:left="0" w:leftChars="0" w:firstLine="480" w:firstLineChars="200"/>
        <w:textAlignment w:val="auto"/>
        <w:rPr>
          <w:rFonts w:hint="eastAsia"/>
        </w:rPr>
      </w:pPr>
      <w:r>
        <w:rPr>
          <w:rFonts w:hint="eastAsia"/>
          <w:lang w:val="en-US" w:eastAsia="zh-CN"/>
        </w:rPr>
        <w:t>3.</w:t>
      </w:r>
      <w:r>
        <w:rPr>
          <w:rFonts w:hint="eastAsia"/>
        </w:rPr>
        <w:t>第三人责任形态的定位</w:t>
      </w:r>
    </w:p>
    <w:p w14:paraId="61A34F41">
      <w:pPr>
        <w:keepNext w:val="0"/>
        <w:keepLines w:val="0"/>
        <w:pageBreakBefore w:val="0"/>
        <w:widowControl w:val="0"/>
        <w:numPr>
          <w:ilvl w:val="0"/>
          <w:numId w:val="0"/>
        </w:numPr>
        <w:kinsoku/>
        <w:wordWrap/>
        <w:overflowPunct/>
        <w:topLinePunct w:val="0"/>
        <w:autoSpaceDE/>
        <w:autoSpaceDN/>
        <w:bidi w:val="0"/>
        <w:adjustRightInd/>
        <w:snapToGrid/>
        <w:ind w:left="0" w:leftChars="0" w:firstLine="480" w:firstLineChars="200"/>
        <w:textAlignment w:val="auto"/>
        <w:rPr>
          <w:rFonts w:hint="default" w:eastAsia="宋体"/>
          <w:lang w:val="en-US" w:eastAsia="zh-CN"/>
        </w:rPr>
      </w:pPr>
      <w:r>
        <w:rPr>
          <w:rFonts w:hint="eastAsia"/>
        </w:rPr>
        <w:t>当第三人以其财产与债权人订立担保型以物抵债协议时，其法律地位尤为特殊</w:t>
      </w:r>
      <w:r>
        <w:rPr>
          <w:rFonts w:hint="default"/>
          <w:lang w:val="en-US"/>
        </w:rPr>
        <w:t>。</w:t>
      </w:r>
      <w:r>
        <w:rPr>
          <w:rFonts w:hint="eastAsia"/>
          <w:lang w:val="en-US" w:eastAsia="zh-CN"/>
        </w:rPr>
        <w:t>该</w:t>
      </w:r>
      <w:r>
        <w:rPr>
          <w:rFonts w:hint="eastAsia"/>
        </w:rPr>
        <w:t>第三人的义务直接源于其与债权人之间的担保合同，而非对主债务的从属保证。主合同无效、被撤销，原则上不影响该担保合同的效力，除非其自身存在效力瑕疵。第三人的责任严格限定于协议约定的特定财产</w:t>
      </w:r>
      <w:r>
        <w:rPr>
          <w:rFonts w:hint="default"/>
          <w:lang w:val="en-US"/>
        </w:rPr>
        <w:t>，表现为</w:t>
      </w:r>
      <w:r>
        <w:rPr>
          <w:rFonts w:hint="eastAsia"/>
        </w:rPr>
        <w:t>一种</w:t>
      </w:r>
      <w:r>
        <w:rPr>
          <w:rFonts w:hint="eastAsia"/>
          <w:lang w:eastAsia="zh-CN"/>
        </w:rPr>
        <w:t>“</w:t>
      </w:r>
      <w:r>
        <w:rPr>
          <w:rFonts w:hint="eastAsia"/>
        </w:rPr>
        <w:t>物的有限责任</w:t>
      </w:r>
      <w:r>
        <w:rPr>
          <w:rFonts w:hint="eastAsia"/>
          <w:lang w:eastAsia="zh-CN"/>
        </w:rPr>
        <w:t>”</w:t>
      </w:r>
      <w:r>
        <w:rPr>
          <w:rFonts w:hint="eastAsia"/>
        </w:rPr>
        <w:t>。债权人不得要求第三人以其其他财产承担担保责任。这与保证人的无限责任和债务加入的概括责任形成鲜明对比。该特性是当事人意思自治的核心体现，即第三人仅愿</w:t>
      </w:r>
      <w:r>
        <w:rPr>
          <w:rFonts w:hint="eastAsia"/>
          <w:lang w:eastAsia="zh-CN"/>
        </w:rPr>
        <w:t>“</w:t>
      </w:r>
      <w:r>
        <w:rPr>
          <w:rFonts w:hint="eastAsia"/>
        </w:rPr>
        <w:t>押物</w:t>
      </w:r>
      <w:r>
        <w:rPr>
          <w:rFonts w:hint="eastAsia"/>
          <w:lang w:eastAsia="zh-CN"/>
        </w:rPr>
        <w:t>”</w:t>
      </w:r>
      <w:r>
        <w:rPr>
          <w:rFonts w:hint="eastAsia"/>
        </w:rPr>
        <w:t>，不愿</w:t>
      </w:r>
      <w:r>
        <w:rPr>
          <w:rFonts w:hint="eastAsia"/>
          <w:lang w:eastAsia="zh-CN"/>
        </w:rPr>
        <w:t>“</w:t>
      </w:r>
      <w:r>
        <w:rPr>
          <w:rFonts w:hint="eastAsia"/>
        </w:rPr>
        <w:t>押身</w:t>
      </w:r>
      <w:r>
        <w:rPr>
          <w:rFonts w:hint="eastAsia"/>
          <w:lang w:eastAsia="zh-CN"/>
        </w:rPr>
        <w:t>”</w:t>
      </w:r>
      <w:r>
        <w:rPr>
          <w:rFonts w:hint="eastAsia"/>
        </w:rPr>
        <w:t>。其责任与债务人责任类似，以主债务到期不履行为启动条件。条件成就后，债权人对第三人享有的债权，内容是请求其履行</w:t>
      </w:r>
      <w:r>
        <w:rPr>
          <w:rFonts w:hint="eastAsia"/>
          <w:lang w:eastAsia="zh-CN"/>
        </w:rPr>
        <w:t>“</w:t>
      </w:r>
      <w:r>
        <w:rPr>
          <w:rFonts w:hint="eastAsia"/>
        </w:rPr>
        <w:t>以该特定财产设立担保</w:t>
      </w:r>
      <w:r>
        <w:rPr>
          <w:rFonts w:hint="eastAsia"/>
          <w:lang w:eastAsia="zh-CN"/>
        </w:rPr>
        <w:t>”</w:t>
      </w:r>
      <w:r>
        <w:rPr>
          <w:rFonts w:hint="eastAsia"/>
        </w:rPr>
        <w:t>的义务。若第三人违约，如前所述，债权人可诉请履行或赔偿损失</w:t>
      </w:r>
      <w:r>
        <w:rPr>
          <w:rFonts w:hint="eastAsia"/>
          <w:lang w:eastAsia="zh-CN"/>
        </w:rPr>
        <w:t>。</w:t>
      </w:r>
      <w:r>
        <w:rPr>
          <w:rFonts w:hint="eastAsia"/>
        </w:rPr>
        <w:t>第三人一旦履行担保义务即刻在履行范围内取得对主债务人的全额追偿权。该权利并非基于协议约定，而是基于《民法典》关于不当得利或法定债权转移的法理，因为债务人因第三人的清偿行为而无法律原因地免除了债务。</w:t>
      </w:r>
    </w:p>
    <w:p w14:paraId="2C70CAA5">
      <w:pPr>
        <w:bidi w:val="0"/>
        <w:rPr>
          <w:rFonts w:hint="eastAsia"/>
        </w:rPr>
      </w:pPr>
      <w:r>
        <w:rPr>
          <w:rFonts w:hint="eastAsia" w:ascii="宋体" w:hAnsi="宋体" w:cs="宋体"/>
          <w:sz w:val="24"/>
          <w:szCs w:val="24"/>
          <w:lang w:val="en-US" w:eastAsia="zh-CN"/>
        </w:rPr>
        <w:t>（</w:t>
      </w:r>
      <w:r>
        <w:rPr>
          <w:rFonts w:hint="eastAsia" w:cs="宋体"/>
          <w:sz w:val="24"/>
          <w:szCs w:val="24"/>
          <w:lang w:val="en-US" w:eastAsia="zh-CN"/>
        </w:rPr>
        <w:t>二</w:t>
      </w:r>
      <w:r>
        <w:rPr>
          <w:rFonts w:hint="eastAsia" w:ascii="宋体" w:hAnsi="宋体" w:eastAsia="宋体" w:cs="宋体"/>
          <w:sz w:val="24"/>
          <w:szCs w:val="24"/>
          <w:lang w:val="en-US" w:eastAsia="zh-CN"/>
        </w:rPr>
        <w:t>）</w:t>
      </w:r>
      <w:r>
        <w:rPr>
          <w:rFonts w:hint="eastAsia"/>
        </w:rPr>
        <w:t>具有担保物权效力的以物抵债规则的适用</w:t>
      </w:r>
    </w:p>
    <w:p w14:paraId="4097DAB6">
      <w:pPr>
        <w:bidi w:val="0"/>
        <w:rPr>
          <w:rFonts w:hint="eastAsia"/>
        </w:rPr>
      </w:pPr>
      <w:r>
        <w:rPr>
          <w:rFonts w:hint="eastAsia"/>
        </w:rPr>
        <w:t>当担保型以物抵债协议经履行而完成财产权利的公示</w:t>
      </w:r>
      <w:r>
        <w:rPr>
          <w:rFonts w:hint="eastAsia"/>
          <w:lang w:eastAsia="zh-CN"/>
        </w:rPr>
        <w:t>，</w:t>
      </w:r>
      <w:r>
        <w:rPr>
          <w:rFonts w:hint="eastAsia"/>
          <w:lang w:val="en-US" w:eastAsia="zh-CN"/>
        </w:rPr>
        <w:t>即</w:t>
      </w:r>
      <w:r>
        <w:rPr>
          <w:rFonts w:hint="eastAsia"/>
        </w:rPr>
        <w:t>形式上转移至债权人名下后，法律关系演进至</w:t>
      </w:r>
      <w:r>
        <w:rPr>
          <w:rFonts w:hint="eastAsia"/>
          <w:lang w:eastAsia="zh-CN"/>
        </w:rPr>
        <w:t>“</w:t>
      </w:r>
      <w:r>
        <w:rPr>
          <w:rFonts w:hint="eastAsia"/>
        </w:rPr>
        <w:t>让与担保物权</w:t>
      </w:r>
      <w:r>
        <w:rPr>
          <w:rFonts w:hint="eastAsia"/>
          <w:lang w:eastAsia="zh-CN"/>
        </w:rPr>
        <w:t>”</w:t>
      </w:r>
      <w:r>
        <w:rPr>
          <w:rFonts w:hint="eastAsia"/>
        </w:rPr>
        <w:t>阶段。此时，债权人虽登记为所有权人，但其权利实质是担保物权，必须严格在担保物权的法理框架与规范体系内运作。</w:t>
      </w:r>
    </w:p>
    <w:p w14:paraId="259EA320">
      <w:pPr>
        <w:bidi w:val="0"/>
        <w:rPr>
          <w:rFonts w:hint="eastAsia"/>
          <w:lang w:eastAsia="zh-CN"/>
        </w:rPr>
      </w:pPr>
      <w:r>
        <w:rPr>
          <w:rFonts w:hint="eastAsia"/>
          <w:lang w:val="en-US" w:eastAsia="zh-CN"/>
        </w:rPr>
        <w:t>1.</w:t>
      </w:r>
      <w:r>
        <w:rPr>
          <w:rFonts w:hint="eastAsia"/>
        </w:rPr>
        <w:t>担保物权优先受偿规则之</w:t>
      </w:r>
      <w:r>
        <w:rPr>
          <w:rFonts w:hint="eastAsia"/>
          <w:lang w:eastAsia="zh-CN"/>
        </w:rPr>
        <w:t>“</w:t>
      </w:r>
      <w:r>
        <w:rPr>
          <w:rFonts w:hint="eastAsia"/>
        </w:rPr>
        <w:t>参照适用</w:t>
      </w:r>
      <w:r>
        <w:rPr>
          <w:rFonts w:hint="eastAsia"/>
          <w:lang w:eastAsia="zh-CN"/>
        </w:rPr>
        <w:t>”</w:t>
      </w:r>
    </w:p>
    <w:p w14:paraId="4C829FEA">
      <w:pPr>
        <w:bidi w:val="0"/>
        <w:rPr>
          <w:rFonts w:hint="eastAsia"/>
        </w:rPr>
      </w:pPr>
      <w:r>
        <w:rPr>
          <w:rFonts w:hint="eastAsia"/>
        </w:rPr>
        <w:t>《担保制度解释》第68条</w:t>
      </w:r>
      <w:r>
        <w:rPr>
          <w:rFonts w:hint="eastAsia"/>
          <w:lang w:eastAsia="zh-CN"/>
        </w:rPr>
        <w:t>“</w:t>
      </w:r>
      <w:r>
        <w:rPr>
          <w:rFonts w:hint="eastAsia"/>
        </w:rPr>
        <w:t>参照适用</w:t>
      </w:r>
      <w:r>
        <w:rPr>
          <w:rFonts w:hint="eastAsia"/>
          <w:lang w:eastAsia="zh-CN"/>
        </w:rPr>
        <w:t>”</w:t>
      </w:r>
      <w:r>
        <w:rPr>
          <w:rFonts w:hint="eastAsia"/>
        </w:rPr>
        <w:t>的表述，开启了一个解释空间，其核心是将非典型担保</w:t>
      </w:r>
      <w:r>
        <w:rPr>
          <w:rFonts w:hint="eastAsia"/>
          <w:lang w:eastAsia="zh-CN"/>
        </w:rPr>
        <w:t>“</w:t>
      </w:r>
      <w:r>
        <w:rPr>
          <w:rFonts w:hint="eastAsia"/>
        </w:rPr>
        <w:t>嵌入</w:t>
      </w:r>
      <w:r>
        <w:rPr>
          <w:rFonts w:hint="eastAsia"/>
          <w:lang w:eastAsia="zh-CN"/>
        </w:rPr>
        <w:t>”</w:t>
      </w:r>
      <w:r>
        <w:rPr>
          <w:rFonts w:hint="eastAsia"/>
        </w:rPr>
        <w:t>典型担保的规范体系，而非完全等同。优先受偿范围应严格遵循《民法典》第389条确立的</w:t>
      </w:r>
      <w:r>
        <w:rPr>
          <w:rFonts w:hint="eastAsia"/>
          <w:lang w:eastAsia="zh-CN"/>
        </w:rPr>
        <w:t>“</w:t>
      </w:r>
      <w:r>
        <w:rPr>
          <w:rFonts w:hint="eastAsia"/>
        </w:rPr>
        <w:t>担保范围约定优先，无约定则法定</w:t>
      </w:r>
      <w:r>
        <w:rPr>
          <w:rFonts w:hint="eastAsia"/>
          <w:lang w:eastAsia="zh-CN"/>
        </w:rPr>
        <w:t>”</w:t>
      </w:r>
      <w:r>
        <w:rPr>
          <w:rFonts w:hint="eastAsia"/>
        </w:rPr>
        <w:t>原则。然而，让与担保的特殊性带来两个疑难：一是债权人作为</w:t>
      </w:r>
      <w:r>
        <w:rPr>
          <w:rFonts w:hint="eastAsia"/>
          <w:lang w:eastAsia="zh-CN"/>
        </w:rPr>
        <w:t>“</w:t>
      </w:r>
      <w:r>
        <w:rPr>
          <w:rFonts w:hint="eastAsia"/>
        </w:rPr>
        <w:t>形式所有人</w:t>
      </w:r>
      <w:r>
        <w:rPr>
          <w:rFonts w:hint="eastAsia"/>
          <w:lang w:eastAsia="zh-CN"/>
        </w:rPr>
        <w:t>”</w:t>
      </w:r>
      <w:r>
        <w:rPr>
          <w:rFonts w:hint="eastAsia"/>
        </w:rPr>
        <w:t>，其对担保财产的</w:t>
      </w:r>
      <w:r>
        <w:rPr>
          <w:rFonts w:hint="eastAsia"/>
          <w:lang w:eastAsia="zh-CN"/>
        </w:rPr>
        <w:t>“</w:t>
      </w:r>
      <w:r>
        <w:rPr>
          <w:rFonts w:hint="eastAsia"/>
        </w:rPr>
        <w:t>保管费用</w:t>
      </w:r>
      <w:r>
        <w:rPr>
          <w:rFonts w:hint="eastAsia"/>
          <w:lang w:eastAsia="zh-CN"/>
        </w:rPr>
        <w:t>”</w:t>
      </w:r>
      <w:r>
        <w:rPr>
          <w:rFonts w:hint="eastAsia"/>
        </w:rPr>
        <w:t>能否主张</w:t>
      </w:r>
      <w:r>
        <w:rPr>
          <w:rFonts w:hint="eastAsia"/>
          <w:lang w:eastAsia="zh-CN"/>
        </w:rPr>
        <w:t>。</w:t>
      </w:r>
      <w:r>
        <w:rPr>
          <w:rFonts w:hint="eastAsia"/>
        </w:rPr>
        <w:t>若债权人实际占有不动产并自行使用，其使用收益原则上应抵充债权利息或本金，而不能另行主张</w:t>
      </w:r>
      <w:r>
        <w:rPr>
          <w:rFonts w:hint="eastAsia"/>
          <w:lang w:eastAsia="zh-CN"/>
        </w:rPr>
        <w:t>“</w:t>
      </w:r>
      <w:r>
        <w:rPr>
          <w:rFonts w:hint="eastAsia"/>
        </w:rPr>
        <w:t>保管费</w:t>
      </w:r>
      <w:r>
        <w:rPr>
          <w:rFonts w:hint="eastAsia"/>
          <w:lang w:eastAsia="zh-CN"/>
        </w:rPr>
        <w:t>”</w:t>
      </w:r>
      <w:r>
        <w:rPr>
          <w:rFonts w:hint="eastAsia"/>
        </w:rPr>
        <w:t>；若委托他人保管产生费用，则可纳入。二是</w:t>
      </w:r>
      <w:r>
        <w:rPr>
          <w:rFonts w:hint="eastAsia"/>
          <w:lang w:eastAsia="zh-CN"/>
        </w:rPr>
        <w:t>“</w:t>
      </w:r>
      <w:r>
        <w:rPr>
          <w:rFonts w:hint="eastAsia"/>
        </w:rPr>
        <w:t>实现担保物权的费用</w:t>
      </w:r>
      <w:r>
        <w:rPr>
          <w:rFonts w:hint="eastAsia"/>
          <w:lang w:eastAsia="zh-CN"/>
        </w:rPr>
        <w:t>”</w:t>
      </w:r>
      <w:r>
        <w:rPr>
          <w:rFonts w:hint="eastAsia"/>
        </w:rPr>
        <w:t>具有核心地位。因让与担保必须经过清算程序，故评估费、拍卖费、变卖中介费等清算程序的直接成本，属于典型的实现费用，应优先从担保物变价款中支付。</w:t>
      </w:r>
    </w:p>
    <w:p w14:paraId="3AA84CCF">
      <w:pPr>
        <w:bidi w:val="0"/>
        <w:rPr>
          <w:rFonts w:hint="eastAsia"/>
        </w:rPr>
      </w:pPr>
      <w:r>
        <w:rPr>
          <w:rFonts w:hint="eastAsia"/>
        </w:rPr>
        <w:t>2.优先受偿方法的路径</w:t>
      </w:r>
    </w:p>
    <w:p w14:paraId="0D99FD95">
      <w:pPr>
        <w:bidi w:val="0"/>
        <w:rPr>
          <w:rFonts w:hint="eastAsia"/>
        </w:rPr>
      </w:pPr>
      <w:r>
        <w:rPr>
          <w:rFonts w:hint="eastAsia"/>
        </w:rPr>
        <w:t>法律提供了协议折价与拍卖、变卖两种路径。对于</w:t>
      </w:r>
      <w:r>
        <w:rPr>
          <w:rFonts w:hint="eastAsia"/>
          <w:lang w:eastAsia="zh-CN"/>
        </w:rPr>
        <w:t>“</w:t>
      </w:r>
      <w:r>
        <w:rPr>
          <w:rFonts w:hint="eastAsia"/>
        </w:rPr>
        <w:t>归属清算</w:t>
      </w:r>
      <w:r>
        <w:rPr>
          <w:rFonts w:hint="eastAsia"/>
          <w:lang w:eastAsia="zh-CN"/>
        </w:rPr>
        <w:t>”</w:t>
      </w:r>
      <w:r>
        <w:rPr>
          <w:rFonts w:hint="eastAsia"/>
        </w:rPr>
        <w:t>，法院的审查必须格外严格，以防其蜕变为变相的流担保。</w:t>
      </w:r>
      <w:r>
        <w:rPr>
          <w:rFonts w:hint="default"/>
          <w:lang w:val="en-US"/>
        </w:rPr>
        <w:t>例如，</w:t>
      </w:r>
      <w:r>
        <w:rPr>
          <w:rFonts w:hint="eastAsia"/>
        </w:rPr>
        <w:t>折价协议是否在债务履行期届满后达</w:t>
      </w:r>
      <w:r>
        <w:rPr>
          <w:rFonts w:hint="default"/>
          <w:lang w:val="en-US"/>
        </w:rPr>
        <w:t>成</w:t>
      </w:r>
      <w:r>
        <w:rPr>
          <w:rFonts w:hint="eastAsia"/>
          <w:lang w:eastAsia="zh-CN"/>
        </w:rPr>
        <w:t>；</w:t>
      </w:r>
      <w:r>
        <w:rPr>
          <w:rFonts w:hint="eastAsia"/>
        </w:rPr>
        <w:t>折价是否双方真实、自愿协商的结果</w:t>
      </w:r>
      <w:r>
        <w:rPr>
          <w:rFonts w:hint="eastAsia"/>
          <w:lang w:eastAsia="zh-CN"/>
        </w:rPr>
        <w:t>；</w:t>
      </w:r>
      <w:r>
        <w:rPr>
          <w:rFonts w:hint="eastAsia"/>
        </w:rPr>
        <w:t>折价是否公允</w:t>
      </w:r>
      <w:r>
        <w:rPr>
          <w:rFonts w:hint="eastAsia"/>
          <w:lang w:val="en-US" w:eastAsia="zh-CN"/>
        </w:rPr>
        <w:t>等情况。</w:t>
      </w:r>
      <w:r>
        <w:rPr>
          <w:rFonts w:hint="eastAsia"/>
        </w:rPr>
        <w:t>法院可要求双方提供评估报告，或依职权委托评估。若折价明显低于市场价如低于市价70%，可认定其</w:t>
      </w:r>
      <w:r>
        <w:rPr>
          <w:rFonts w:hint="eastAsia"/>
          <w:lang w:eastAsia="zh-CN"/>
        </w:rPr>
        <w:t>“</w:t>
      </w:r>
      <w:r>
        <w:rPr>
          <w:rFonts w:hint="eastAsia"/>
        </w:rPr>
        <w:t>显失公平</w:t>
      </w:r>
      <w:r>
        <w:rPr>
          <w:rFonts w:hint="eastAsia"/>
          <w:lang w:eastAsia="zh-CN"/>
        </w:rPr>
        <w:t>”</w:t>
      </w:r>
      <w:r>
        <w:rPr>
          <w:rFonts w:hint="eastAsia"/>
        </w:rPr>
        <w:t>，依债务人申请予以撤销或调整。对于</w:t>
      </w:r>
      <w:r>
        <w:rPr>
          <w:rFonts w:hint="eastAsia"/>
          <w:lang w:eastAsia="zh-CN"/>
        </w:rPr>
        <w:t>“</w:t>
      </w:r>
      <w:r>
        <w:rPr>
          <w:rFonts w:hint="eastAsia"/>
        </w:rPr>
        <w:t>变价清算</w:t>
      </w:r>
      <w:r>
        <w:rPr>
          <w:rFonts w:hint="eastAsia"/>
          <w:lang w:eastAsia="zh-CN"/>
        </w:rPr>
        <w:t>”</w:t>
      </w:r>
      <w:r>
        <w:rPr>
          <w:rFonts w:hint="eastAsia"/>
        </w:rPr>
        <w:t>，司法拍卖是原则</w:t>
      </w:r>
      <w:r>
        <w:rPr>
          <w:rFonts w:hint="eastAsia"/>
          <w:lang w:eastAsia="zh-CN"/>
        </w:rPr>
        <w:t>。</w:t>
      </w:r>
      <w:r>
        <w:rPr>
          <w:rFonts w:hint="eastAsia"/>
        </w:rPr>
        <w:t>当事人协商变卖的，法院应审查变卖价格、买受人情况，并履行告知义务，通知已知的其他利害关系人</w:t>
      </w:r>
      <w:r>
        <w:rPr>
          <w:rFonts w:hint="eastAsia"/>
          <w:lang w:eastAsia="zh-CN"/>
        </w:rPr>
        <w:t>，</w:t>
      </w:r>
      <w:r>
        <w:rPr>
          <w:rFonts w:hint="eastAsia"/>
        </w:rPr>
        <w:t>如次顺位担保权人、被执行人，以防恶意串通低价变卖。</w:t>
      </w:r>
    </w:p>
    <w:p w14:paraId="7979BB8F">
      <w:pPr>
        <w:bidi w:val="0"/>
        <w:rPr>
          <w:rFonts w:hint="eastAsia"/>
        </w:rPr>
      </w:pPr>
      <w:r>
        <w:rPr>
          <w:rFonts w:hint="eastAsia"/>
        </w:rPr>
        <w:t>3.优先受偿权的内在与外在限制</w:t>
      </w:r>
    </w:p>
    <w:p w14:paraId="2CAD9F0A">
      <w:pPr>
        <w:bidi w:val="0"/>
        <w:rPr>
          <w:rFonts w:hint="eastAsia"/>
        </w:rPr>
      </w:pPr>
      <w:r>
        <w:rPr>
          <w:rFonts w:hint="eastAsia"/>
        </w:rPr>
        <w:t>内在限制源于权利本身的性质，即其担保属性决定了其从属于主债权。主债权诉讼时效期间届满，根据《民法典》第419条精神，担保物权人尽管名义上是所有人未行使权利的，担保物权消灭</w:t>
      </w:r>
      <w:r>
        <w:rPr>
          <w:rFonts w:hint="default"/>
          <w:lang w:val="en-US"/>
        </w:rPr>
        <w:t>后</w:t>
      </w:r>
      <w:r>
        <w:rPr>
          <w:rFonts w:hint="eastAsia"/>
        </w:rPr>
        <w:t>人民法院不予保护。此时，债权人持有的</w:t>
      </w:r>
      <w:r>
        <w:rPr>
          <w:rFonts w:hint="eastAsia"/>
          <w:lang w:eastAsia="zh-CN"/>
        </w:rPr>
        <w:t>“</w:t>
      </w:r>
      <w:r>
        <w:rPr>
          <w:rFonts w:hint="eastAsia"/>
        </w:rPr>
        <w:t>所有权</w:t>
      </w:r>
      <w:r>
        <w:rPr>
          <w:rFonts w:hint="eastAsia"/>
          <w:lang w:eastAsia="zh-CN"/>
        </w:rPr>
        <w:t>”</w:t>
      </w:r>
      <w:r>
        <w:rPr>
          <w:rFonts w:hint="eastAsia"/>
        </w:rPr>
        <w:t>便失去了担保基础，其继续占有财产构成不当得利，债务人可请求返还财产并注销登记。</w:t>
      </w:r>
    </w:p>
    <w:p w14:paraId="7D2EBB61">
      <w:pPr>
        <w:bidi w:val="0"/>
        <w:rPr>
          <w:rFonts w:hint="eastAsia"/>
        </w:rPr>
      </w:pPr>
      <w:r>
        <w:rPr>
          <w:rFonts w:hint="eastAsia"/>
        </w:rPr>
        <w:t>外在限制则来自更高效力的优先权，如国家的税收优先权、建设工程价款优先受偿权</w:t>
      </w:r>
      <w:r>
        <w:rPr>
          <w:rFonts w:hint="eastAsia"/>
          <w:lang w:eastAsia="zh-CN"/>
        </w:rPr>
        <w:t>，</w:t>
      </w:r>
      <w:r>
        <w:rPr>
          <w:rFonts w:hint="eastAsia"/>
        </w:rPr>
        <w:t>其效力强于抵押权，自然也强于参照抵押权处理的让与担保权。债权人必须容忍这些权利在其之前获得清偿。当已公示的让与担保与典型抵押权、质权等其他担保物权并存时，</w:t>
      </w:r>
      <w:r>
        <w:rPr>
          <w:rFonts w:hint="eastAsia"/>
          <w:lang w:val="en-US" w:eastAsia="zh-CN"/>
        </w:rPr>
        <w:t>需确定优先受偿顺序。</w:t>
      </w:r>
      <w:r>
        <w:rPr>
          <w:rFonts w:hint="eastAsia"/>
        </w:rPr>
        <w:t>其规则绝非简单的</w:t>
      </w:r>
      <w:r>
        <w:rPr>
          <w:rFonts w:hint="eastAsia"/>
          <w:lang w:eastAsia="zh-CN"/>
        </w:rPr>
        <w:t>“</w:t>
      </w:r>
      <w:r>
        <w:rPr>
          <w:rFonts w:hint="eastAsia"/>
        </w:rPr>
        <w:t>登记时间先后</w:t>
      </w:r>
      <w:r>
        <w:rPr>
          <w:rFonts w:hint="eastAsia"/>
          <w:lang w:eastAsia="zh-CN"/>
        </w:rPr>
        <w:t>”</w:t>
      </w:r>
      <w:r>
        <w:rPr>
          <w:rFonts w:hint="eastAsia"/>
        </w:rPr>
        <w:t>，而需结合权利类型、公示方式、第三人善意与否进行综合判断。不动产让与担保的顺位确定以登记簿记载为中心。不动产让与担保的公示方法是所有权转移登记。一个理性的、欲在该不动产上设立抵押权的潜在债权人，在查询登记簿时发现所有权已非债务人所有</w:t>
      </w:r>
      <w:r>
        <w:rPr>
          <w:rFonts w:hint="default"/>
          <w:lang w:val="en-US"/>
        </w:rPr>
        <w:t>，</w:t>
      </w:r>
      <w:r>
        <w:rPr>
          <w:rFonts w:hint="eastAsia"/>
        </w:rPr>
        <w:t>若其仍仅与债务人设立抵押权，则其主观上难谓善意。因此，不动产让与担保的顺位，原则上以其所有权转移登记的时间为准。若先有让与担保登记，后有抵押登记，则让与担保权优先；反之亦然。不存在</w:t>
      </w:r>
      <w:r>
        <w:rPr>
          <w:rFonts w:hint="eastAsia"/>
          <w:lang w:eastAsia="zh-CN"/>
        </w:rPr>
        <w:t>“</w:t>
      </w:r>
      <w:r>
        <w:rPr>
          <w:rFonts w:hint="eastAsia"/>
        </w:rPr>
        <w:t>抵押权登记优先于所有权登记</w:t>
      </w:r>
      <w:r>
        <w:rPr>
          <w:rFonts w:hint="eastAsia"/>
          <w:lang w:eastAsia="zh-CN"/>
        </w:rPr>
        <w:t>”</w:t>
      </w:r>
      <w:r>
        <w:rPr>
          <w:rFonts w:hint="eastAsia"/>
        </w:rPr>
        <w:t>的</w:t>
      </w:r>
      <w:r>
        <w:rPr>
          <w:rFonts w:hint="default"/>
          <w:lang w:val="en-US"/>
        </w:rPr>
        <w:t>绝对</w:t>
      </w:r>
      <w:r>
        <w:rPr>
          <w:rFonts w:hint="eastAsia"/>
        </w:rPr>
        <w:t>法则，因为两者公示的是不同性质的权利变动。</w:t>
      </w:r>
    </w:p>
    <w:p w14:paraId="4BA7EF65">
      <w:pPr>
        <w:bidi w:val="0"/>
        <w:rPr>
          <w:rFonts w:hint="eastAsia"/>
        </w:rPr>
      </w:pPr>
      <w:r>
        <w:rPr>
          <w:rFonts w:hint="eastAsia"/>
        </w:rPr>
        <w:t>动产让与担保的公示主要依靠交付，但交付方式特别是占有改定的公示效力极弱。根据《民法典》第403条确立的</w:t>
      </w:r>
      <w:r>
        <w:rPr>
          <w:rFonts w:hint="eastAsia"/>
          <w:lang w:eastAsia="zh-CN"/>
        </w:rPr>
        <w:t>“</w:t>
      </w:r>
      <w:r>
        <w:rPr>
          <w:rFonts w:hint="eastAsia"/>
        </w:rPr>
        <w:t>登记对抗主义</w:t>
      </w:r>
      <w:r>
        <w:rPr>
          <w:rFonts w:hint="eastAsia"/>
          <w:lang w:eastAsia="zh-CN"/>
        </w:rPr>
        <w:t>”</w:t>
      </w:r>
      <w:r>
        <w:rPr>
          <w:rFonts w:hint="eastAsia"/>
        </w:rPr>
        <w:t>，未办理登记的动产让与担保，其物权效力存在重大缺陷。</w:t>
      </w:r>
      <w:r>
        <w:rPr>
          <w:rFonts w:hint="eastAsia"/>
          <w:lang w:val="en-US" w:eastAsia="zh-CN"/>
        </w:rPr>
        <w:t>在</w:t>
      </w:r>
      <w:r>
        <w:rPr>
          <w:rFonts w:hint="eastAsia"/>
        </w:rPr>
        <w:t>与已登记的动产抵押权竞存</w:t>
      </w:r>
      <w:r>
        <w:rPr>
          <w:rFonts w:hint="eastAsia"/>
          <w:lang w:val="en-US" w:eastAsia="zh-CN"/>
        </w:rPr>
        <w:t>关系上，</w:t>
      </w:r>
      <w:r>
        <w:rPr>
          <w:rFonts w:hint="eastAsia"/>
        </w:rPr>
        <w:t>无论设立先后，已登记的抵押权优先于仅通过</w:t>
      </w:r>
      <w:r>
        <w:rPr>
          <w:rFonts w:hint="default"/>
          <w:lang w:val="en-US"/>
        </w:rPr>
        <w:t>占有改定</w:t>
      </w:r>
      <w:r>
        <w:rPr>
          <w:rFonts w:hint="eastAsia"/>
        </w:rPr>
        <w:t>公示的让与担保。</w:t>
      </w:r>
      <w:r>
        <w:rPr>
          <w:rFonts w:hint="eastAsia"/>
          <w:lang w:val="en-US" w:eastAsia="zh-CN"/>
        </w:rPr>
        <w:t>在</w:t>
      </w:r>
      <w:r>
        <w:rPr>
          <w:rFonts w:hint="eastAsia"/>
        </w:rPr>
        <w:t>与未登记的动产抵押权竞存</w:t>
      </w:r>
      <w:r>
        <w:rPr>
          <w:rFonts w:hint="eastAsia"/>
          <w:lang w:val="en-US" w:eastAsia="zh-CN"/>
        </w:rPr>
        <w:t>上</w:t>
      </w:r>
      <w:r>
        <w:rPr>
          <w:rFonts w:hint="default"/>
          <w:lang w:val="en-US" w:eastAsia="zh-CN"/>
        </w:rPr>
        <w:t>若</w:t>
      </w:r>
      <w:r>
        <w:rPr>
          <w:rFonts w:hint="eastAsia"/>
        </w:rPr>
        <w:t>均未登记，则按债权比例清偿。</w:t>
      </w:r>
      <w:r>
        <w:rPr>
          <w:rFonts w:hint="eastAsia"/>
          <w:lang w:val="en-US" w:eastAsia="zh-CN"/>
        </w:rPr>
        <w:t>在</w:t>
      </w:r>
      <w:r>
        <w:rPr>
          <w:rFonts w:hint="eastAsia"/>
        </w:rPr>
        <w:t>与质权竞存</w:t>
      </w:r>
      <w:r>
        <w:rPr>
          <w:rFonts w:hint="eastAsia"/>
          <w:lang w:val="en-US" w:eastAsia="zh-CN"/>
        </w:rPr>
        <w:t>关系上，</w:t>
      </w:r>
      <w:r>
        <w:rPr>
          <w:rFonts w:hint="eastAsia"/>
        </w:rPr>
        <w:t>质权以交付占有为公示。若让与担保采用现实交付，则交付时间在先者优先；若让与担保为占有改定，而质权为现实交付，则质权人通常为善意，质权优先。为破解此困境，《国务院关于实施动产和权利担保统一登记的决定》确立了统一登记制度。让与担保权人完全可以在中国人民银行征信中心动产融资统一登记公示系统办理登记，注明担保财产、担保范围等信息。一经登记，即产生对抗善意第三人的效力，其顺位依登记时间确定。这实质上是为动产让与担保创设了一种</w:t>
      </w:r>
      <w:r>
        <w:rPr>
          <w:rFonts w:hint="eastAsia"/>
          <w:lang w:eastAsia="zh-CN"/>
        </w:rPr>
        <w:t>“</w:t>
      </w:r>
      <w:r>
        <w:rPr>
          <w:rFonts w:hint="eastAsia"/>
        </w:rPr>
        <w:t>登记对抗</w:t>
      </w:r>
      <w:r>
        <w:rPr>
          <w:rFonts w:hint="eastAsia"/>
          <w:lang w:eastAsia="zh-CN"/>
        </w:rPr>
        <w:t>”</w:t>
      </w:r>
      <w:r>
        <w:rPr>
          <w:rFonts w:hint="eastAsia"/>
        </w:rPr>
        <w:t>的公示方式，使其在法律地位上趋近于动产抵押权，从而获得清晰的排序依据。</w:t>
      </w:r>
    </w:p>
    <w:p w14:paraId="440A22E3">
      <w:pPr>
        <w:bidi w:val="0"/>
        <w:rPr>
          <w:rFonts w:hint="eastAsia"/>
        </w:rPr>
      </w:pPr>
      <w:r>
        <w:rPr>
          <w:rFonts w:hint="eastAsia"/>
          <w:lang w:val="en-US" w:eastAsia="zh-CN"/>
        </w:rPr>
        <w:t>4</w:t>
      </w:r>
      <w:r>
        <w:rPr>
          <w:rFonts w:hint="eastAsia"/>
        </w:rPr>
        <w:t>.与一般债权人的关系</w:t>
      </w:r>
    </w:p>
    <w:p w14:paraId="5664046E">
      <w:pPr>
        <w:bidi w:val="0"/>
        <w:rPr>
          <w:rFonts w:hint="eastAsia"/>
        </w:rPr>
      </w:pPr>
      <w:r>
        <w:rPr>
          <w:rFonts w:hint="eastAsia"/>
        </w:rPr>
        <w:t>已完成公示的让与担保权，足以对抗此后才申请查封、执行该财产的一般债权人。若让与担保未公示如动产仅以占有改定方式设立，则其不能对抗善意的、已申请法院查封该财产的债权人。在债务人或</w:t>
      </w:r>
      <w:r>
        <w:rPr>
          <w:rFonts w:hint="eastAsia"/>
          <w:lang w:val="en-US" w:eastAsia="zh-CN"/>
        </w:rPr>
        <w:t>担保人</w:t>
      </w:r>
      <w:r>
        <w:rPr>
          <w:rFonts w:hint="eastAsia"/>
        </w:rPr>
        <w:t>提出抗辩，主张应以财产拍卖变卖价款受偿时，法院应直接审理清算事宜。启动方式可以是当事人申请，也可以是法院依职权决定。例如，在审理让与担保纠纷中，若双方对是否清算、如何清算争执不下，法院应直接委托评估，采取拍卖方式。担保财产的价值确定方法有三：一是当事人协商确定。二是委托具有资质的资产评估机构进行评估</w:t>
      </w:r>
      <w:r>
        <w:rPr>
          <w:rFonts w:hint="default"/>
          <w:lang w:val="en-US"/>
        </w:rPr>
        <w:t>，</w:t>
      </w:r>
      <w:r>
        <w:rPr>
          <w:rFonts w:hint="eastAsia"/>
        </w:rPr>
        <w:t>应以</w:t>
      </w:r>
      <w:r>
        <w:rPr>
          <w:rFonts w:hint="eastAsia"/>
          <w:lang w:eastAsia="zh-CN"/>
        </w:rPr>
        <w:t>“</w:t>
      </w:r>
      <w:r>
        <w:rPr>
          <w:rFonts w:hint="eastAsia"/>
        </w:rPr>
        <w:t>清算程序启动时</w:t>
      </w:r>
      <w:r>
        <w:rPr>
          <w:rFonts w:hint="eastAsia"/>
          <w:lang w:eastAsia="zh-CN"/>
        </w:rPr>
        <w:t>”</w:t>
      </w:r>
      <w:r>
        <w:rPr>
          <w:rFonts w:hint="eastAsia"/>
        </w:rPr>
        <w:t>或</w:t>
      </w:r>
      <w:r>
        <w:rPr>
          <w:rFonts w:hint="eastAsia"/>
          <w:lang w:eastAsia="zh-CN"/>
        </w:rPr>
        <w:t>“</w:t>
      </w:r>
      <w:r>
        <w:rPr>
          <w:rFonts w:hint="eastAsia"/>
        </w:rPr>
        <w:t>法庭辩论终结时</w:t>
      </w:r>
      <w:r>
        <w:rPr>
          <w:rFonts w:hint="eastAsia"/>
          <w:lang w:eastAsia="zh-CN"/>
        </w:rPr>
        <w:t>”</w:t>
      </w:r>
      <w:r>
        <w:rPr>
          <w:rFonts w:hint="eastAsia"/>
        </w:rPr>
        <w:t>的市场价值为准，而非当初订立协议时的价值。三是通过网络司法拍卖形成市场价</w:t>
      </w:r>
      <w:r>
        <w:rPr>
          <w:rFonts w:hint="eastAsia"/>
          <w:lang w:eastAsia="zh-CN"/>
        </w:rPr>
        <w:t>。</w:t>
      </w:r>
      <w:r>
        <w:rPr>
          <w:rFonts w:hint="eastAsia"/>
        </w:rPr>
        <w:t>于当事人协商的折价，法院必须进行实质性审查，审查其是否侵害了债务人、其他债权人或担保人的合法权益。若折价明显不公，法院可不予确认，并裁定进行强制拍卖。分配必须遵循严格的法定次序：第一步，支付实现债权的费用，即清算程序本身产生的评估费、公告费、拍卖费等。第二步，清偿主债权本金、利息、违约金等全部担保债权。第三步，若有剩余，须返还给提供担保财产的担保人</w:t>
      </w:r>
      <w:r>
        <w:rPr>
          <w:rFonts w:hint="default"/>
          <w:lang w:val="en-US"/>
        </w:rPr>
        <w:t>。</w:t>
      </w:r>
      <w:r>
        <w:rPr>
          <w:rFonts w:hint="eastAsia"/>
        </w:rPr>
        <w:t>若担保财产上存在其他经公示的担保物权，则该权利人有权就剩余价款在其权利范围内优先受偿，若无剩余，则其权利消灭。若担保财产在设立让与担保前已被普通债权人查封，则该债权人有权参与分配剩余价款。</w:t>
      </w:r>
    </w:p>
    <w:p w14:paraId="22A988E9">
      <w:pPr>
        <w:pStyle w:val="2"/>
        <w:bidi w:val="0"/>
        <w:jc w:val="center"/>
        <w:rPr>
          <w:rFonts w:hint="default"/>
          <w:lang w:val="en-US" w:eastAsia="zh-CN"/>
        </w:rPr>
      </w:pPr>
      <w:r>
        <w:rPr>
          <w:rFonts w:hint="eastAsia"/>
          <w:lang w:val="en-US" w:eastAsia="zh-CN"/>
        </w:rPr>
        <w:t>四、担保型以物抵债协议在建设工程领域的适用</w:t>
      </w:r>
    </w:p>
    <w:p w14:paraId="38C1F946">
      <w:pPr>
        <w:bidi w:val="0"/>
        <w:rPr>
          <w:rFonts w:hint="eastAsia"/>
        </w:rPr>
      </w:pPr>
      <w:r>
        <w:rPr>
          <w:rFonts w:hint="eastAsia"/>
          <w:lang w:val="en-US" w:eastAsia="zh-CN"/>
        </w:rPr>
        <w:t>在建设工程领域，履行期限届满前达成的以物抵债协议在规则适用上具有特殊性。其主要原因在于，</w:t>
      </w:r>
      <w:r>
        <w:rPr>
          <w:rFonts w:hint="eastAsia"/>
        </w:rPr>
        <w:t>承包人对建设工程价款享有法定的优先受偿权。在此背景下，发包人与承包人为实现工程款债权而达成的以建设工程折抵工程款的协议，具有其特殊规则，集中体现于《最高人民法院关于审理执行异议之诉案件适用法律问题的解释》第17条。该情形虽不完全等同于典型的担保型以物抵债，因其涉及以物抵债且与优先权结合。该协议的性质是实现建设工程价款优先受偿权的一种方式。根据《民法典》第807条，承包人实现优先受偿权的方式有二：与发包人协议将该工程折价，或申请人民法院拍卖。因此，折价协议是承包人行使法定优先权的具体表现，其效力根植于该优先权，而不仅仅源于当事人合意。</w:t>
      </w:r>
    </w:p>
    <w:p w14:paraId="53E5B482">
      <w:pPr>
        <w:bidi w:val="0"/>
        <w:rPr>
          <w:rFonts w:hint="eastAsia"/>
        </w:rPr>
      </w:pPr>
      <w:r>
        <w:rPr>
          <w:rFonts w:hint="eastAsia"/>
          <w:lang w:val="en-US" w:eastAsia="zh-CN"/>
        </w:rPr>
        <w:t>在规则适用上，</w:t>
      </w:r>
      <w:r>
        <w:rPr>
          <w:rFonts w:hint="eastAsia"/>
        </w:rPr>
        <w:t>《执行异议之诉解释》第17条为这种折价协议提供了执行异议之诉的特别保护，其构成要件仅有两项：（1）在法院查封前达成合法有效的折价协议；（2）抵债金额与建设工程的实际价值基本相当。它不要求承包人“合法占有”建设工程，也不要求“非因自身原因未办理过户登记”。这与《合同编通则解释》第15条关于一般以物抵债协议对抗执行的四要件形成鲜明对比。这种差异的正当性在于，承包人的优先受偿权本身具有极强的排他效力（优于抵押权和其他债权），折价协议是这种优先权的延伸和具体化。满足上述要件的折价协议，能够产生排除强制执行的法律效果，不仅可以排除一般金钱债权人的执行，因为建工优先权顺位在先甚至可以排除抵押权人的执行。这一特殊规则的法理基础在于保护承包人的“变价方式自由”，即允许其选择高效、低成本的协议折价方式来实现权利，避免必须通过司法拍卖的繁琐程序。在特定法定优先权支撑下的以物抵债协议，其法律地位和效力可能超越一般的担保型以物抵债，获得更优越的保护。</w:t>
      </w:r>
    </w:p>
    <w:p w14:paraId="4F215128">
      <w:pPr>
        <w:pStyle w:val="2"/>
        <w:bidi w:val="0"/>
        <w:jc w:val="center"/>
        <w:rPr>
          <w:rFonts w:hint="default"/>
          <w:lang w:val="en-US" w:eastAsia="zh-CN"/>
        </w:rPr>
      </w:pPr>
      <w:r>
        <w:rPr>
          <w:rFonts w:hint="eastAsia"/>
          <w:lang w:val="en-US" w:eastAsia="zh-CN"/>
        </w:rPr>
        <w:t>五、结论</w:t>
      </w:r>
    </w:p>
    <w:p w14:paraId="067CCB0D">
      <w:pPr>
        <w:bidi w:val="0"/>
        <w:rPr>
          <w:rFonts w:hint="eastAsia"/>
        </w:rPr>
      </w:pPr>
      <w:r>
        <w:rPr>
          <w:rFonts w:hint="eastAsia"/>
        </w:rPr>
        <w:t>担保型以物抵债协议</w:t>
      </w:r>
      <w:r>
        <w:rPr>
          <w:rFonts w:hint="default"/>
          <w:lang w:val="en-US"/>
        </w:rPr>
        <w:t>作</w:t>
      </w:r>
      <w:r>
        <w:rPr>
          <w:rFonts w:hint="eastAsia"/>
        </w:rPr>
        <w:t>为一种诺成性、有偿性的非典型担保合同。其核心识别标准在于当事人具有以特定财产担保债务履行的真实意思，并以债务人不履行到期债务作为处置该财产的条件，单纯以履行期届满前作为形式标准存在局限，应辅以实质目的探究。担保型以物抵债与买卖型担保功能同质，均为让与担保的具体表现形态。现行司法解释已将其纳入统一的非典型担保规制框架，区别主要在于法律行为外观不同。</w:t>
      </w:r>
      <w:r>
        <w:rPr>
          <w:rFonts w:hint="default"/>
          <w:lang w:val="en-US"/>
        </w:rPr>
        <w:t>现行法律</w:t>
      </w:r>
      <w:r>
        <w:rPr>
          <w:rFonts w:hint="eastAsia"/>
        </w:rPr>
        <w:t>共同构建了“债权合同效力+担保物权效力”的二元规则体系。协议本身有效，产生债权性担保约束；唯有完成财产权利的转移公示，债权人方可取得参照担保物权优先受偿的资格。对担保型以物抵债应坚持功能主义的类型化解释路径，在尊重当事人担保合意的基础上，严格区分其在不同阶段的效力形态，来实现鼓励交易、保障债权、衡平利益与维护担保法秩序的多重价值目标。</w:t>
      </w:r>
    </w:p>
    <w:p w14:paraId="0BFA73A0">
      <w:pPr>
        <w:keepNext w:val="0"/>
        <w:keepLines w:val="0"/>
        <w:pageBreakBefore w:val="0"/>
        <w:widowControl/>
        <w:tabs>
          <w:tab w:val="left" w:pos="315"/>
        </w:tabs>
        <w:kinsoku/>
        <w:wordWrap/>
        <w:overflowPunct/>
        <w:topLinePunct w:val="0"/>
        <w:autoSpaceDE/>
        <w:autoSpaceDN/>
        <w:bidi w:val="0"/>
        <w:adjustRightInd/>
        <w:snapToGrid/>
        <w:spacing w:line="400" w:lineRule="exact"/>
        <w:ind w:right="204" w:rightChars="85"/>
        <w:jc w:val="left"/>
        <w:textAlignment w:val="auto"/>
        <w:outlineLvl w:val="0"/>
        <w:rPr>
          <w:rFonts w:hint="eastAsia" w:ascii="宋体" w:hAnsi="宋体"/>
          <w:b/>
        </w:rPr>
      </w:pPr>
      <w:bookmarkStart w:id="5" w:name="_Toc17343"/>
      <w:r>
        <w:rPr>
          <w:rFonts w:hint="eastAsia" w:ascii="宋体" w:hAnsi="宋体"/>
          <w:b/>
        </w:rPr>
        <w:t>参考文献：</w:t>
      </w:r>
      <w:bookmarkEnd w:id="5"/>
    </w:p>
    <w:p w14:paraId="04AA32B6">
      <w:pPr>
        <w:pStyle w:val="5"/>
        <w:keepNext w:val="0"/>
        <w:keepLines w:val="0"/>
        <w:pageBreakBefore w:val="0"/>
        <w:widowControl w:val="0"/>
        <w:numPr>
          <w:ilvl w:val="0"/>
          <w:numId w:val="0"/>
        </w:numPr>
        <w:kinsoku/>
        <w:wordWrap w:val="0"/>
        <w:overflowPunct/>
        <w:topLinePunct w:val="0"/>
        <w:autoSpaceDE w:val="0"/>
        <w:autoSpaceDN/>
        <w:bidi w:val="0"/>
        <w:adjustRightInd/>
        <w:snapToGrid w:val="0"/>
        <w:spacing w:line="400" w:lineRule="exact"/>
        <w:ind w:left="420" w:leftChars="0" w:hanging="420" w:firstLineChars="0"/>
        <w:jc w:val="left"/>
        <w:textAlignment w:val="auto"/>
        <w:rPr>
          <w:rFonts w:hint="eastAsia" w:ascii="宋体" w:hAnsi="宋体" w:eastAsia="宋体" w:cs="宋体"/>
          <w:b w:val="0"/>
          <w:bCs w:val="0"/>
          <w:snapToGrid w:val="0"/>
          <w:color w:val="000000"/>
          <w:kern w:val="2"/>
          <w:sz w:val="24"/>
          <w:szCs w:val="24"/>
          <w:lang w:val="en-US" w:eastAsia="zh-CN" w:bidi="ar-SA"/>
        </w:rPr>
      </w:pPr>
      <w:r>
        <w:rPr>
          <w:rFonts w:hint="eastAsia" w:ascii="宋体" w:hAnsi="宋体" w:eastAsia="宋体" w:cs="宋体"/>
          <w:b w:val="0"/>
          <w:bCs w:val="0"/>
          <w:snapToGrid w:val="0"/>
          <w:color w:val="000000"/>
          <w:kern w:val="2"/>
          <w:sz w:val="24"/>
          <w:szCs w:val="24"/>
          <w:lang w:val="en-US" w:eastAsia="zh-CN" w:bidi="ar-SA"/>
        </w:rPr>
        <w:t>[1] 施建辉.以物抵债契约研究[J].法学研究,2014,(05).</w:t>
      </w:r>
    </w:p>
    <w:p w14:paraId="080F1B8D">
      <w:pPr>
        <w:pStyle w:val="5"/>
        <w:keepNext w:val="0"/>
        <w:keepLines w:val="0"/>
        <w:pageBreakBefore w:val="0"/>
        <w:widowControl w:val="0"/>
        <w:numPr>
          <w:ilvl w:val="0"/>
          <w:numId w:val="0"/>
        </w:numPr>
        <w:kinsoku/>
        <w:wordWrap w:val="0"/>
        <w:overflowPunct/>
        <w:topLinePunct w:val="0"/>
        <w:autoSpaceDE w:val="0"/>
        <w:autoSpaceDN/>
        <w:bidi w:val="0"/>
        <w:adjustRightInd/>
        <w:snapToGrid w:val="0"/>
        <w:spacing w:line="400" w:lineRule="exact"/>
        <w:ind w:left="420" w:leftChars="0" w:hanging="420" w:firstLineChars="0"/>
        <w:jc w:val="left"/>
        <w:textAlignment w:val="auto"/>
        <w:rPr>
          <w:rFonts w:hint="default" w:ascii="宋体" w:hAnsi="宋体" w:eastAsia="宋体" w:cs="宋体"/>
          <w:b w:val="0"/>
          <w:bCs w:val="0"/>
          <w:snapToGrid w:val="0"/>
          <w:color w:val="000000"/>
          <w:kern w:val="2"/>
          <w:sz w:val="24"/>
          <w:szCs w:val="24"/>
          <w:lang w:val="en-US" w:eastAsia="zh-CN" w:bidi="ar-SA"/>
        </w:rPr>
      </w:pPr>
      <w:r>
        <w:rPr>
          <w:rFonts w:hint="default" w:ascii="宋体" w:hAnsi="宋体" w:eastAsia="宋体" w:cs="宋体"/>
          <w:b w:val="0"/>
          <w:bCs w:val="0"/>
          <w:snapToGrid w:val="0"/>
          <w:color w:val="000000"/>
          <w:kern w:val="2"/>
          <w:sz w:val="24"/>
          <w:szCs w:val="24"/>
          <w:lang w:val="en-US" w:eastAsia="zh-CN" w:bidi="ar-SA"/>
        </w:rPr>
        <w:t>[2] 姚辉、顾梓冰.从逻辑到价值：以物抵债协议性质的探究[J].学术研究,2020,(08).</w:t>
      </w:r>
    </w:p>
    <w:p w14:paraId="54DCABD6">
      <w:pPr>
        <w:pStyle w:val="5"/>
        <w:keepNext w:val="0"/>
        <w:keepLines w:val="0"/>
        <w:pageBreakBefore w:val="0"/>
        <w:widowControl w:val="0"/>
        <w:numPr>
          <w:ilvl w:val="0"/>
          <w:numId w:val="0"/>
        </w:numPr>
        <w:kinsoku/>
        <w:wordWrap w:val="0"/>
        <w:overflowPunct/>
        <w:topLinePunct w:val="0"/>
        <w:autoSpaceDE w:val="0"/>
        <w:autoSpaceDN/>
        <w:bidi w:val="0"/>
        <w:adjustRightInd/>
        <w:snapToGrid w:val="0"/>
        <w:spacing w:line="400" w:lineRule="exact"/>
        <w:ind w:left="420" w:leftChars="0" w:hanging="420" w:firstLineChars="0"/>
        <w:jc w:val="left"/>
        <w:textAlignment w:val="auto"/>
        <w:rPr>
          <w:rFonts w:hint="default" w:ascii="宋体" w:hAnsi="宋体" w:eastAsia="宋体" w:cs="宋体"/>
          <w:b w:val="0"/>
          <w:bCs w:val="0"/>
          <w:snapToGrid w:val="0"/>
          <w:color w:val="000000"/>
          <w:kern w:val="2"/>
          <w:sz w:val="24"/>
          <w:szCs w:val="24"/>
          <w:lang w:val="en-US" w:eastAsia="zh-CN" w:bidi="ar-SA"/>
        </w:rPr>
      </w:pPr>
      <w:r>
        <w:rPr>
          <w:rFonts w:hint="default" w:ascii="宋体" w:hAnsi="宋体" w:eastAsia="宋体" w:cs="宋体"/>
          <w:b w:val="0"/>
          <w:bCs w:val="0"/>
          <w:snapToGrid w:val="0"/>
          <w:color w:val="000000"/>
          <w:kern w:val="2"/>
          <w:sz w:val="24"/>
          <w:szCs w:val="24"/>
          <w:lang w:val="en-US" w:eastAsia="zh-CN" w:bidi="ar-SA"/>
        </w:rPr>
        <w:t>[3] 高圣平.论以物抵债的法律构造[J].法商研究,2025,(02).</w:t>
      </w:r>
    </w:p>
    <w:p w14:paraId="24D786EA">
      <w:pPr>
        <w:pStyle w:val="5"/>
        <w:keepNext w:val="0"/>
        <w:keepLines w:val="0"/>
        <w:pageBreakBefore w:val="0"/>
        <w:widowControl w:val="0"/>
        <w:numPr>
          <w:ilvl w:val="0"/>
          <w:numId w:val="0"/>
        </w:numPr>
        <w:kinsoku/>
        <w:wordWrap w:val="0"/>
        <w:overflowPunct/>
        <w:topLinePunct w:val="0"/>
        <w:autoSpaceDE w:val="0"/>
        <w:autoSpaceDN/>
        <w:bidi w:val="0"/>
        <w:adjustRightInd/>
        <w:snapToGrid w:val="0"/>
        <w:spacing w:line="400" w:lineRule="exact"/>
        <w:ind w:left="420" w:leftChars="0" w:hanging="420" w:firstLineChars="0"/>
        <w:jc w:val="left"/>
        <w:textAlignment w:val="auto"/>
        <w:rPr>
          <w:rFonts w:hint="default" w:ascii="宋体" w:hAnsi="宋体" w:eastAsia="宋体" w:cs="宋体"/>
          <w:b w:val="0"/>
          <w:bCs w:val="0"/>
          <w:snapToGrid w:val="0"/>
          <w:color w:val="000000"/>
          <w:kern w:val="2"/>
          <w:sz w:val="24"/>
          <w:szCs w:val="24"/>
          <w:lang w:val="en-US" w:eastAsia="zh-CN" w:bidi="ar-SA"/>
        </w:rPr>
      </w:pPr>
      <w:r>
        <w:rPr>
          <w:rFonts w:hint="default" w:ascii="宋体" w:hAnsi="宋体" w:eastAsia="宋体" w:cs="宋体"/>
          <w:b w:val="0"/>
          <w:bCs w:val="0"/>
          <w:snapToGrid w:val="0"/>
          <w:color w:val="000000"/>
          <w:kern w:val="2"/>
          <w:sz w:val="24"/>
          <w:szCs w:val="24"/>
          <w:lang w:val="en-US" w:eastAsia="zh-CN" w:bidi="ar-SA"/>
        </w:rPr>
        <w:t>[4] 杨立新.以物抵债的类型及其法律适用规则——《合同编通则司法解释》第27条和第28条规定解读[J].上海政法学院学报（法治论丛）,2024,(03).</w:t>
      </w:r>
    </w:p>
    <w:p w14:paraId="7A93FF2E">
      <w:pPr>
        <w:pStyle w:val="5"/>
        <w:keepNext w:val="0"/>
        <w:keepLines w:val="0"/>
        <w:pageBreakBefore w:val="0"/>
        <w:widowControl w:val="0"/>
        <w:numPr>
          <w:ilvl w:val="0"/>
          <w:numId w:val="0"/>
        </w:numPr>
        <w:kinsoku/>
        <w:wordWrap w:val="0"/>
        <w:overflowPunct/>
        <w:topLinePunct w:val="0"/>
        <w:autoSpaceDE w:val="0"/>
        <w:autoSpaceDN/>
        <w:bidi w:val="0"/>
        <w:adjustRightInd/>
        <w:snapToGrid w:val="0"/>
        <w:spacing w:line="400" w:lineRule="exact"/>
        <w:ind w:left="420" w:leftChars="0" w:hanging="420" w:firstLineChars="0"/>
        <w:jc w:val="left"/>
        <w:textAlignment w:val="auto"/>
        <w:rPr>
          <w:rFonts w:hint="default" w:ascii="宋体" w:hAnsi="宋体" w:eastAsia="宋体" w:cs="宋体"/>
          <w:b w:val="0"/>
          <w:bCs w:val="0"/>
          <w:snapToGrid w:val="0"/>
          <w:color w:val="000000"/>
          <w:kern w:val="2"/>
          <w:sz w:val="24"/>
          <w:szCs w:val="24"/>
          <w:lang w:val="en-US" w:eastAsia="zh-CN" w:bidi="ar-SA"/>
        </w:rPr>
      </w:pPr>
      <w:r>
        <w:rPr>
          <w:rFonts w:hint="default" w:ascii="宋体" w:hAnsi="宋体" w:eastAsia="宋体" w:cs="宋体"/>
          <w:b w:val="0"/>
          <w:bCs w:val="0"/>
          <w:snapToGrid w:val="0"/>
          <w:color w:val="000000"/>
          <w:kern w:val="2"/>
          <w:sz w:val="24"/>
          <w:szCs w:val="24"/>
          <w:lang w:val="en-US" w:eastAsia="zh-CN" w:bidi="ar-SA"/>
        </w:rPr>
        <w:t>[5] 崔建远.以物抵债的理论与实践[J].河北法学,2012,(03).</w:t>
      </w:r>
    </w:p>
    <w:p w14:paraId="5F7B4747">
      <w:pPr>
        <w:pStyle w:val="5"/>
        <w:keepNext w:val="0"/>
        <w:keepLines w:val="0"/>
        <w:pageBreakBefore w:val="0"/>
        <w:widowControl w:val="0"/>
        <w:numPr>
          <w:ilvl w:val="0"/>
          <w:numId w:val="0"/>
        </w:numPr>
        <w:kinsoku/>
        <w:wordWrap w:val="0"/>
        <w:overflowPunct/>
        <w:topLinePunct w:val="0"/>
        <w:autoSpaceDE w:val="0"/>
        <w:autoSpaceDN/>
        <w:bidi w:val="0"/>
        <w:adjustRightInd/>
        <w:snapToGrid w:val="0"/>
        <w:spacing w:line="400" w:lineRule="exact"/>
        <w:ind w:left="420" w:leftChars="0" w:hanging="420" w:firstLineChars="0"/>
        <w:jc w:val="left"/>
        <w:textAlignment w:val="auto"/>
        <w:rPr>
          <w:rFonts w:hint="default" w:ascii="宋体" w:hAnsi="宋体" w:eastAsia="宋体" w:cs="宋体"/>
          <w:b w:val="0"/>
          <w:bCs w:val="0"/>
          <w:snapToGrid w:val="0"/>
          <w:color w:val="000000"/>
          <w:kern w:val="2"/>
          <w:sz w:val="24"/>
          <w:szCs w:val="24"/>
          <w:lang w:val="en-US" w:eastAsia="zh-CN" w:bidi="ar-SA"/>
        </w:rPr>
      </w:pPr>
      <w:r>
        <w:rPr>
          <w:rFonts w:hint="default" w:ascii="宋体" w:hAnsi="宋体" w:eastAsia="宋体" w:cs="宋体"/>
          <w:b w:val="0"/>
          <w:bCs w:val="0"/>
          <w:snapToGrid w:val="0"/>
          <w:color w:val="000000"/>
          <w:kern w:val="2"/>
          <w:sz w:val="24"/>
          <w:szCs w:val="24"/>
          <w:lang w:val="en-US" w:eastAsia="zh-CN" w:bidi="ar-SA"/>
        </w:rPr>
        <w:t>[6] 王利明.论清偿型以物抵债协议产生的选择权——以《合同编通则解释》第27条为中心[J].东方法学,2024,(02).</w:t>
      </w:r>
    </w:p>
    <w:p w14:paraId="1230EF2B">
      <w:pPr>
        <w:pStyle w:val="5"/>
        <w:keepNext w:val="0"/>
        <w:keepLines w:val="0"/>
        <w:pageBreakBefore w:val="0"/>
        <w:widowControl w:val="0"/>
        <w:numPr>
          <w:ilvl w:val="0"/>
          <w:numId w:val="0"/>
        </w:numPr>
        <w:kinsoku/>
        <w:wordWrap w:val="0"/>
        <w:overflowPunct/>
        <w:topLinePunct w:val="0"/>
        <w:autoSpaceDE w:val="0"/>
        <w:autoSpaceDN/>
        <w:bidi w:val="0"/>
        <w:adjustRightInd/>
        <w:snapToGrid w:val="0"/>
        <w:spacing w:line="400" w:lineRule="exact"/>
        <w:ind w:left="420" w:leftChars="0" w:hanging="420" w:firstLineChars="0"/>
        <w:jc w:val="left"/>
        <w:textAlignment w:val="auto"/>
        <w:rPr>
          <w:rFonts w:hint="default" w:ascii="宋体" w:hAnsi="宋体" w:eastAsia="宋体" w:cs="宋体"/>
          <w:b w:val="0"/>
          <w:bCs w:val="0"/>
          <w:snapToGrid w:val="0"/>
          <w:color w:val="000000"/>
          <w:kern w:val="2"/>
          <w:sz w:val="24"/>
          <w:szCs w:val="24"/>
          <w:lang w:val="en-US" w:eastAsia="zh-CN" w:bidi="ar-SA"/>
        </w:rPr>
      </w:pPr>
      <w:r>
        <w:rPr>
          <w:rFonts w:hint="default" w:ascii="宋体" w:hAnsi="宋体" w:eastAsia="宋体" w:cs="宋体"/>
          <w:b w:val="0"/>
          <w:bCs w:val="0"/>
          <w:snapToGrid w:val="0"/>
          <w:color w:val="000000"/>
          <w:kern w:val="2"/>
          <w:sz w:val="24"/>
          <w:szCs w:val="24"/>
          <w:lang w:val="en-US" w:eastAsia="zh-CN" w:bidi="ar-SA"/>
        </w:rPr>
        <w:t>[7] 李建星.清偿型以物抵债法效果的教义学构造[J].法学,2024,(12).</w:t>
      </w:r>
    </w:p>
    <w:p w14:paraId="4F53A452">
      <w:pPr>
        <w:pStyle w:val="5"/>
        <w:keepNext w:val="0"/>
        <w:keepLines w:val="0"/>
        <w:pageBreakBefore w:val="0"/>
        <w:widowControl w:val="0"/>
        <w:numPr>
          <w:ilvl w:val="0"/>
          <w:numId w:val="0"/>
        </w:numPr>
        <w:kinsoku/>
        <w:wordWrap w:val="0"/>
        <w:overflowPunct/>
        <w:topLinePunct w:val="0"/>
        <w:autoSpaceDE w:val="0"/>
        <w:autoSpaceDN/>
        <w:bidi w:val="0"/>
        <w:adjustRightInd/>
        <w:snapToGrid w:val="0"/>
        <w:spacing w:line="400" w:lineRule="exact"/>
        <w:ind w:left="420" w:leftChars="0" w:hanging="420" w:firstLineChars="0"/>
        <w:jc w:val="left"/>
        <w:textAlignment w:val="auto"/>
        <w:rPr>
          <w:rFonts w:hint="eastAsia" w:ascii="宋体" w:hAnsi="宋体" w:eastAsia="宋体" w:cs="宋体"/>
          <w:b w:val="0"/>
          <w:bCs w:val="0"/>
          <w:snapToGrid w:val="0"/>
          <w:color w:val="000000"/>
          <w:kern w:val="2"/>
          <w:sz w:val="24"/>
          <w:szCs w:val="24"/>
          <w:lang w:val="en-US" w:eastAsia="zh-CN" w:bidi="ar-SA"/>
        </w:rPr>
      </w:pPr>
      <w:r>
        <w:rPr>
          <w:rFonts w:hint="default" w:ascii="宋体" w:hAnsi="宋体" w:eastAsia="宋体" w:cs="宋体"/>
          <w:b w:val="0"/>
          <w:bCs w:val="0"/>
          <w:snapToGrid w:val="0"/>
          <w:color w:val="000000"/>
          <w:kern w:val="2"/>
          <w:sz w:val="24"/>
          <w:szCs w:val="24"/>
          <w:lang w:val="en-US" w:eastAsia="zh-CN" w:bidi="ar-SA"/>
        </w:rPr>
        <w:t>[8] 田韶华.清偿型以物抵债协议性质及债法效果的解释论展开——以《民法典合同编通则解释》第27条第2款为中心[J].政法论丛,2025,(05).</w:t>
      </w:r>
    </w:p>
    <w:p w14:paraId="07D3AA9D">
      <w:pPr>
        <w:bidi w:val="0"/>
        <w:rPr>
          <w:rFonts w:hint="eastAsia" w:eastAsia="宋体"/>
          <w:lang w:val="en-US" w:eastAsia="zh-CN"/>
        </w:rPr>
      </w:pPr>
    </w:p>
    <w:sectPr>
      <w:footnotePr>
        <w:numFmt w:val="decimal"/>
      </w:footnote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0">
    <w:p>
      <w:pPr>
        <w:spacing w:line="240" w:lineRule="auto"/>
        <w:ind w:firstLine="480"/>
      </w:pPr>
      <w:r>
        <w:separator/>
      </w:r>
    </w:p>
  </w:footnote>
  <w:footnote w:type="continuationSeparator" w:id="11">
    <w:p>
      <w:pPr>
        <w:spacing w:line="240" w:lineRule="auto"/>
        <w:ind w:firstLine="480"/>
      </w:pPr>
      <w:r>
        <w:continuationSeparator/>
      </w:r>
    </w:p>
  </w:footnote>
  <w:footnote w:id="0">
    <w:p w14:paraId="4071798E">
      <w:pPr>
        <w:pStyle w:val="5"/>
        <w:snapToGrid w:val="0"/>
        <w:rPr>
          <w:rFonts w:hint="eastAsia" w:eastAsia="宋体"/>
          <w:lang w:eastAsia="zh-CN"/>
        </w:rPr>
      </w:pPr>
      <w:r>
        <w:rPr>
          <w:rStyle w:val="10"/>
        </w:rPr>
        <w:t>[</w:t>
      </w:r>
      <w:r>
        <w:rPr>
          <w:rStyle w:val="10"/>
        </w:rPr>
        <w:footnoteRef/>
      </w:r>
      <w:r>
        <w:rPr>
          <w:rStyle w:val="10"/>
        </w:rPr>
        <w:t>]</w:t>
      </w:r>
      <w:r>
        <w:rPr>
          <w:rFonts w:hint="eastAsia" w:ascii="Segoe UI" w:hAnsi="Segoe UI" w:eastAsia="Segoe UI" w:cs="Segoe UI"/>
          <w:i w:val="0"/>
          <w:iCs w:val="0"/>
          <w:caps w:val="0"/>
          <w:color w:val="0F1115"/>
          <w:spacing w:val="0"/>
          <w:sz w:val="16"/>
          <w:szCs w:val="16"/>
          <w:shd w:val="clear" w:color="auto" w:fill="FFFFFF"/>
          <w:lang w:val="en-US" w:eastAsia="zh-CN"/>
        </w:rPr>
        <w:t>参见</w:t>
      </w:r>
      <w:r>
        <w:rPr>
          <w:rFonts w:ascii="Segoe UI" w:hAnsi="Segoe UI" w:eastAsia="Segoe UI" w:cs="Segoe UI"/>
          <w:i w:val="0"/>
          <w:iCs w:val="0"/>
          <w:caps w:val="0"/>
          <w:color w:val="0F1115"/>
          <w:spacing w:val="0"/>
          <w:sz w:val="16"/>
          <w:szCs w:val="16"/>
          <w:shd w:val="clear" w:color="auto" w:fill="FFFFFF"/>
        </w:rPr>
        <w:t>施建辉：《以物抵债契约研究》，《法学研究》2014年第5期，第98-112页</w:t>
      </w:r>
      <w:r>
        <w:rPr>
          <w:rFonts w:hint="eastAsia" w:ascii="Segoe UI" w:hAnsi="Segoe UI" w:eastAsia="Segoe UI" w:cs="Segoe UI"/>
          <w:i w:val="0"/>
          <w:iCs w:val="0"/>
          <w:caps w:val="0"/>
          <w:color w:val="0F1115"/>
          <w:spacing w:val="0"/>
          <w:sz w:val="16"/>
          <w:szCs w:val="16"/>
          <w:shd w:val="clear" w:color="auto" w:fill="FFFFFF"/>
          <w:lang w:eastAsia="zh-CN"/>
        </w:rPr>
        <w:t>。</w:t>
      </w:r>
    </w:p>
  </w:footnote>
  <w:footnote w:id="1">
    <w:p w14:paraId="41519BFC">
      <w:pPr>
        <w:pStyle w:val="5"/>
        <w:snapToGrid w:val="0"/>
        <w:rPr>
          <w:rFonts w:hint="eastAsia" w:eastAsia="宋体"/>
          <w:lang w:val="en-US" w:eastAsia="zh-CN"/>
        </w:rPr>
      </w:pPr>
      <w:r>
        <w:rPr>
          <w:rStyle w:val="10"/>
        </w:rPr>
        <w:t>[</w:t>
      </w:r>
      <w:r>
        <w:rPr>
          <w:rStyle w:val="10"/>
        </w:rPr>
        <w:footnoteRef/>
      </w:r>
      <w:r>
        <w:rPr>
          <w:rStyle w:val="10"/>
        </w:rPr>
        <w:t>]</w:t>
      </w:r>
      <w:r>
        <w:rPr>
          <w:rFonts w:hint="eastAsia" w:ascii="Segoe UI" w:hAnsi="Segoe UI" w:eastAsia="Segoe UI" w:cs="Segoe UI"/>
          <w:i w:val="0"/>
          <w:iCs w:val="0"/>
          <w:caps w:val="0"/>
          <w:color w:val="0F1115"/>
          <w:spacing w:val="0"/>
          <w:sz w:val="16"/>
          <w:szCs w:val="16"/>
          <w:shd w:val="clear" w:color="auto" w:fill="FFFFFF"/>
          <w:lang w:val="en-US" w:eastAsia="zh-CN"/>
        </w:rPr>
        <w:t>参见</w:t>
      </w:r>
      <w:r>
        <w:rPr>
          <w:rFonts w:ascii="Segoe UI" w:hAnsi="Segoe UI" w:eastAsia="Segoe UI" w:cs="Segoe UI"/>
          <w:i w:val="0"/>
          <w:iCs w:val="0"/>
          <w:caps w:val="0"/>
          <w:color w:val="0F1115"/>
          <w:spacing w:val="0"/>
          <w:sz w:val="16"/>
          <w:szCs w:val="16"/>
          <w:shd w:val="clear" w:color="auto" w:fill="FFFFFF"/>
        </w:rPr>
        <w:t>姚辉、顾梓冰：《从逻辑到价值：以物抵债协议性质的探究》，《学术研究》2020年第8期，第71-74，97页。</w:t>
      </w:r>
    </w:p>
  </w:footnote>
  <w:footnote w:id="2">
    <w:p w14:paraId="085DD9AC">
      <w:pPr>
        <w:pStyle w:val="5"/>
        <w:snapToGrid w:val="0"/>
        <w:rPr>
          <w:rFonts w:hint="eastAsia" w:eastAsia="宋体"/>
          <w:lang w:val="en-US" w:eastAsia="zh-CN"/>
        </w:rPr>
      </w:pPr>
      <w:r>
        <w:rPr>
          <w:rStyle w:val="10"/>
        </w:rPr>
        <w:t>[</w:t>
      </w:r>
      <w:r>
        <w:rPr>
          <w:rStyle w:val="10"/>
        </w:rPr>
        <w:footnoteRef/>
      </w:r>
      <w:r>
        <w:rPr>
          <w:rStyle w:val="10"/>
        </w:rPr>
        <w:t>]</w:t>
      </w:r>
      <w:r>
        <w:rPr>
          <w:rFonts w:hint="eastAsia" w:ascii="Segoe UI" w:hAnsi="Segoe UI" w:eastAsia="Segoe UI" w:cs="Segoe UI"/>
          <w:i w:val="0"/>
          <w:iCs w:val="0"/>
          <w:caps w:val="0"/>
          <w:color w:val="0F1115"/>
          <w:spacing w:val="0"/>
          <w:sz w:val="16"/>
          <w:szCs w:val="16"/>
          <w:shd w:val="clear" w:color="auto" w:fill="FFFFFF"/>
          <w:lang w:val="en-US" w:eastAsia="zh-CN"/>
        </w:rPr>
        <w:t>参见</w:t>
      </w:r>
      <w:r>
        <w:rPr>
          <w:rFonts w:ascii="Segoe UI" w:hAnsi="Segoe UI" w:eastAsia="Segoe UI" w:cs="Segoe UI"/>
          <w:i w:val="0"/>
          <w:iCs w:val="0"/>
          <w:caps w:val="0"/>
          <w:color w:val="0F1115"/>
          <w:spacing w:val="0"/>
          <w:sz w:val="16"/>
          <w:szCs w:val="16"/>
          <w:shd w:val="clear" w:color="auto" w:fill="FFFFFF"/>
        </w:rPr>
        <w:t>高圣平：《论以物抵债的法律构造》，《法商研究》2025年第2期，第3-21页。杨立新：《以物抵债的类型及其法律适用规则——〈合同编通则司法解释〉第27条和第28条规定解读》，《上海政法学院学报（法治论丛）》2024年第3期，第1-13页。</w:t>
      </w:r>
    </w:p>
  </w:footnote>
  <w:footnote w:id="3">
    <w:p w14:paraId="2E2DC245">
      <w:pPr>
        <w:pStyle w:val="5"/>
        <w:snapToGrid w:val="0"/>
        <w:rPr>
          <w:rFonts w:hint="eastAsia" w:eastAsia="宋体"/>
          <w:lang w:val="en-US" w:eastAsia="zh-CN"/>
        </w:rPr>
      </w:pPr>
      <w:r>
        <w:rPr>
          <w:rStyle w:val="10"/>
        </w:rPr>
        <w:t>[</w:t>
      </w:r>
      <w:r>
        <w:rPr>
          <w:rStyle w:val="10"/>
        </w:rPr>
        <w:footnoteRef/>
      </w:r>
      <w:r>
        <w:rPr>
          <w:rStyle w:val="10"/>
        </w:rPr>
        <w:t>]</w:t>
      </w:r>
      <w:r>
        <w:rPr>
          <w:rFonts w:hint="eastAsia" w:ascii="Segoe UI" w:hAnsi="Segoe UI" w:eastAsia="Segoe UI" w:cs="Segoe UI"/>
          <w:i w:val="0"/>
          <w:iCs w:val="0"/>
          <w:caps w:val="0"/>
          <w:color w:val="0F1115"/>
          <w:spacing w:val="0"/>
          <w:sz w:val="16"/>
          <w:szCs w:val="16"/>
          <w:shd w:val="clear" w:color="auto" w:fill="FFFFFF"/>
          <w:lang w:val="en-US" w:eastAsia="zh-CN"/>
        </w:rPr>
        <w:t>参见</w:t>
      </w:r>
      <w:r>
        <w:rPr>
          <w:rFonts w:ascii="Segoe UI" w:hAnsi="Segoe UI" w:eastAsia="Segoe UI" w:cs="Segoe UI"/>
          <w:i w:val="0"/>
          <w:iCs w:val="0"/>
          <w:caps w:val="0"/>
          <w:color w:val="0F1115"/>
          <w:spacing w:val="0"/>
          <w:sz w:val="16"/>
          <w:szCs w:val="16"/>
          <w:shd w:val="clear" w:color="auto" w:fill="FFFFFF"/>
        </w:rPr>
        <w:t>崔建远：《以物抵债的理论与实践》，《河北法学》2012年第3期，第12-18页。王洪亮：《债法总论》，北京大学出版社2016年版，第215-217页。</w:t>
      </w:r>
    </w:p>
  </w:footnote>
  <w:footnote w:id="4">
    <w:p w14:paraId="548645B1">
      <w:pPr>
        <w:pStyle w:val="4"/>
        <w:keepNext w:val="0"/>
        <w:keepLines w:val="0"/>
        <w:pageBreakBefore w:val="0"/>
        <w:widowControl w:val="0"/>
        <w:kinsoku/>
        <w:wordWrap/>
        <w:overflowPunct/>
        <w:topLinePunct w:val="0"/>
        <w:bidi w:val="0"/>
        <w:adjustRightInd/>
        <w:snapToGrid/>
        <w:spacing w:line="400" w:lineRule="exact"/>
        <w:textAlignment w:val="auto"/>
        <w:rPr>
          <w:rFonts w:ascii="Segoe UI" w:hAnsi="Segoe UI" w:eastAsia="Segoe UI" w:cs="Segoe UI"/>
          <w:bCs/>
          <w:i w:val="0"/>
          <w:iCs w:val="0"/>
          <w:caps w:val="0"/>
          <w:color w:val="0F1115"/>
          <w:spacing w:val="0"/>
          <w:kern w:val="2"/>
          <w:sz w:val="16"/>
          <w:szCs w:val="16"/>
          <w:shd w:val="clear" w:color="auto" w:fill="FFFFFF"/>
          <w:lang w:val="en-US" w:eastAsia="zh-CN" w:bidi="ar-SA"/>
        </w:rPr>
      </w:pPr>
      <w:r>
        <w:rPr>
          <w:rStyle w:val="10"/>
        </w:rPr>
        <w:t>[</w:t>
      </w:r>
      <w:r>
        <w:rPr>
          <w:rStyle w:val="10"/>
        </w:rPr>
        <w:footnoteRef/>
      </w:r>
      <w:r>
        <w:rPr>
          <w:rStyle w:val="10"/>
        </w:rPr>
        <w:t>]</w:t>
      </w:r>
      <w:r>
        <w:rPr>
          <w:rFonts w:hint="eastAsia" w:ascii="Segoe UI" w:hAnsi="Segoe UI" w:eastAsia="Segoe UI" w:cs="Segoe UI"/>
          <w:bCs/>
          <w:i w:val="0"/>
          <w:iCs w:val="0"/>
          <w:caps w:val="0"/>
          <w:color w:val="0F1115"/>
          <w:spacing w:val="0"/>
          <w:kern w:val="2"/>
          <w:sz w:val="16"/>
          <w:szCs w:val="16"/>
          <w:shd w:val="clear" w:color="auto" w:fill="FFFFFF"/>
          <w:lang w:val="en-US" w:eastAsia="zh-CN" w:bidi="ar-SA"/>
        </w:rPr>
        <w:t>《最高人民法院关于适用《中华人民共和国民法典》有关担保制度的解释》第68条规定，债务人或者第三人与债权人约定将财产形式上转移至债权人名下，债务人不履行到期债务，债权人有权对财产折价或者以拍卖、变卖该财产所得价款偿还债务的，人民法院应当认定该约定有效。当事人已经完成财产权利变动的公示，债务人不履行到期债务，债权人请求参照民法典关于担保物权的有关规定就该财产优先受偿的，人民法院应予支持。</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10"/>
    <w:footnote w:id="1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FE347C"/>
    <w:rsid w:val="0A851645"/>
    <w:rsid w:val="17A547AE"/>
    <w:rsid w:val="207215AC"/>
    <w:rsid w:val="22540309"/>
    <w:rsid w:val="27D843EB"/>
    <w:rsid w:val="2C6638C6"/>
    <w:rsid w:val="40871321"/>
    <w:rsid w:val="48871E42"/>
    <w:rsid w:val="52E15A7E"/>
    <w:rsid w:val="546A070F"/>
    <w:rsid w:val="5838665C"/>
    <w:rsid w:val="7D2E6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spacing w:line="400" w:lineRule="exact"/>
      <w:ind w:firstLine="480" w:firstLineChars="200"/>
      <w:jc w:val="both"/>
    </w:pPr>
    <w:rPr>
      <w:rFonts w:ascii="宋体" w:hAnsi="宋体" w:eastAsia="宋体" w:cs="宋体"/>
      <w:bCs/>
      <w:kern w:val="2"/>
      <w:sz w:val="24"/>
      <w:szCs w:val="24"/>
      <w:lang w:val="en-US" w:eastAsia="zh-CN" w:bidi="ar-SA"/>
    </w:rPr>
  </w:style>
  <w:style w:type="paragraph" w:styleId="2">
    <w:name w:val="heading 1"/>
    <w:basedOn w:val="1"/>
    <w:next w:val="1"/>
    <w:link w:val="11"/>
    <w:qFormat/>
    <w:uiPriority w:val="0"/>
    <w:pPr>
      <w:ind w:firstLine="0" w:firstLineChars="0"/>
      <w:jc w:val="center"/>
      <w:outlineLvl w:val="0"/>
    </w:pPr>
    <w:rPr>
      <w:bCs w:val="0"/>
      <w:sz w:val="28"/>
      <w:szCs w:val="28"/>
    </w:rPr>
  </w:style>
  <w:style w:type="paragraph" w:styleId="3">
    <w:name w:val="heading 2"/>
    <w:basedOn w:val="1"/>
    <w:next w:val="1"/>
    <w:qFormat/>
    <w:uiPriority w:val="0"/>
    <w:pPr>
      <w:keepNext/>
      <w:keepLines/>
      <w:spacing w:before="260" w:after="260" w:line="413" w:lineRule="auto"/>
      <w:outlineLvl w:val="1"/>
    </w:pPr>
    <w:rPr>
      <w:rFonts w:ascii="Arial" w:hAnsi="Arial" w:eastAsia="宋体"/>
      <w:b/>
    </w:rPr>
  </w:style>
  <w:style w:type="character" w:default="1" w:styleId="8">
    <w:name w:val="Default Paragraph Font"/>
    <w:qFormat/>
    <w:uiPriority w:val="0"/>
  </w:style>
  <w:style w:type="table" w:default="1" w:styleId="7">
    <w:name w:val="Normal Table"/>
    <w:qFormat/>
    <w:uiPriority w:val="0"/>
    <w:tblPr>
      <w:tblCellMar>
        <w:top w:w="0" w:type="dxa"/>
        <w:left w:w="108" w:type="dxa"/>
        <w:bottom w:w="0" w:type="dxa"/>
        <w:right w:w="108" w:type="dxa"/>
      </w:tblCellMar>
    </w:tblPr>
  </w:style>
  <w:style w:type="paragraph" w:styleId="4">
    <w:name w:val="Plain Text"/>
    <w:basedOn w:val="1"/>
    <w:qFormat/>
    <w:uiPriority w:val="99"/>
    <w:rPr>
      <w:rFonts w:ascii="宋体" w:hAnsi="Courier New" w:cs="Courier New"/>
      <w:szCs w:val="21"/>
    </w:rPr>
  </w:style>
  <w:style w:type="paragraph" w:styleId="5">
    <w:name w:val="footnote text"/>
    <w:basedOn w:val="1"/>
    <w:qFormat/>
    <w:uiPriority w:val="0"/>
    <w:pPr>
      <w:snapToGrid w:val="0"/>
      <w:jc w:val="left"/>
    </w:pPr>
    <w:rPr>
      <w:sz w:val="18"/>
    </w:r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character" w:styleId="9">
    <w:name w:val="Strong"/>
    <w:basedOn w:val="8"/>
    <w:qFormat/>
    <w:uiPriority w:val="0"/>
    <w:rPr>
      <w:b/>
    </w:rPr>
  </w:style>
  <w:style w:type="character" w:styleId="10">
    <w:name w:val="footnote reference"/>
    <w:basedOn w:val="8"/>
    <w:qFormat/>
    <w:uiPriority w:val="0"/>
    <w:rPr>
      <w:vertAlign w:val="superscript"/>
    </w:rPr>
  </w:style>
  <w:style w:type="character" w:customStyle="1" w:styleId="11">
    <w:name w:val="标题 1 Char"/>
    <w:link w:val="2"/>
    <w:qFormat/>
    <w:uiPriority w:val="0"/>
    <w:rPr>
      <w:rFonts w:ascii="宋体" w:hAnsi="宋体" w:eastAsia="宋体" w:cs="宋体"/>
      <w:kern w:val="2"/>
      <w:sz w:val="28"/>
      <w:szCs w:val="28"/>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9570</Words>
  <Characters>9742</Characters>
  <Paragraphs>64</Paragraphs>
  <TotalTime>8</TotalTime>
  <ScaleCrop>false</ScaleCrop>
  <LinksUpToDate>false</LinksUpToDate>
  <CharactersWithSpaces>9750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2025-10-13T23:45:00Z</dcterms:created>
  <dc:creator>clearlove</dc:creator>
  <cp:lastModifiedBy>我的请求权基础呢</cp:lastModifiedBy>
  <dcterms:modified xsi:type="dcterms:W3CDTF">2026-05-25T09:36:13Z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936896BCC647405C8B584DE71C8CA4B4_13</vt:lpwstr>
  </property>
  <property fmtid="{D5CDD505-2E9C-101B-9397-08002B2CF9AE}" pid="4" name="KSOTemplateDocerSaveRecord">
    <vt:lpwstr>eyJoZGlkIjoiYTY0NWU5YzU4NzY2YjVhMjU2MTk3NDI0YTA0NTI1NzIiLCJ1c2VySWQiOiI2MjA3NjE0ODYifQ==</vt:lpwstr>
  </property>
</Properties>
</file>