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7513B">
      <w:pPr>
        <w:pStyle w:val="2"/>
        <w:bidi w:val="0"/>
        <w:jc w:val="center"/>
        <w:rPr>
          <w:rFonts w:hint="default"/>
          <w:b/>
          <w:bCs/>
          <w:lang w:val="en-US" w:eastAsia="zh-CN"/>
        </w:rPr>
        <w:spacing w:line="240" w:lineRule="auto" w:before="0" w:after="0" w:beforeLines="0" w:afterLines="0"/>
      </w:pPr>
      <w:r>
        <w:rPr>
          <w:rFonts w:hint="eastAsia" w:eastAsia="黑体" w:ascii="宋体" w:hAnsi="宋体" w:cs="宋体"/>
          <w:b w:val="0"/>
          <w:bCs/>
          <w:i w:val="0"/>
          <w:sz w:val="28"/>
          <w:lang w:val="en-US" w:eastAsia="zh-CN"/>
        </w:rPr>
        <w:t>适用规则之争</w:t>
      </w:r>
    </w:p>
    <w:p w14:paraId="2D160A73">
      <w:pPr>
        <w:pStyle w:val="2"/>
        <w:bidi w:val="0"/>
        <w:jc w:val="center"/>
        <w:rPr>
          <w:rFonts w:hint="default"/>
          <w:b/>
          <w:bCs/>
          <w:lang w:val="en-US" w:eastAsia="zh-CN"/>
        </w:rPr>
        <w:spacing w:line="240" w:lineRule="auto" w:before="0" w:after="0" w:beforeLines="0" w:afterLines="0"/>
      </w:pPr>
      <w:r>
        <w:rPr>
          <w:rFonts w:hint="eastAsia" w:eastAsia="黑体" w:ascii="宋体" w:hAnsi="宋体" w:cs="宋体"/>
          <w:b w:val="0"/>
          <w:bCs/>
          <w:i w:val="0"/>
          <w:sz w:val="28"/>
          <w:lang w:val="en-US" w:eastAsia="zh-CN"/>
        </w:rPr>
        <w:t>调整规则中65条123款之间是何关系</w:t>
      </w:r>
    </w:p>
    <w:p w14:paraId="77842F2F">
      <w:pPr>
        <w:pStyle w:val="2"/>
        <w:bidi w:val="0"/>
        <w:jc w:val="left"/>
        <w:rPr>
          <w:rFonts w:hint="eastAsia"/>
          <w:b/>
          <w:bCs/>
          <w:lang w:val="en-US" w:eastAsia="zh-CN"/>
        </w:rPr>
        <w:spacing w:line="240" w:lineRule="auto" w:before="0" w:after="0" w:beforeLines="0" w:afterLines="0"/>
        <w:ind w:firstLineChars="200" w:leftChars="0" w:hangingChars="0"/>
      </w:pPr>
      <w:r>
        <w:rPr>
          <w:rFonts w:hint="eastAsia" w:eastAsia="宋体" w:ascii="宋体" w:hAnsi="宋体" w:cs="宋体"/>
          <w:b w:val="0"/>
          <w:bCs/>
          <w:i w:val="0"/>
          <w:sz w:val="21"/>
          <w:lang w:val="en-US" w:eastAsia="zh-CN"/>
        </w:rPr>
        <w:t>65中损失的界定，跟584中损失的可预见性是否一样</w:t>
      </w:r>
    </w:p>
    <w:p w14:paraId="05BD47F9">
      <w:pPr>
        <w:jc w:val="left"/>
        <w:rPr>
          <w:rFonts w:hint="eastAsia"/>
          <w:b/>
          <w:bCs/>
          <w:lang w:val="en-US" w:eastAsia="zh-CN"/>
        </w:rPr>
        <w:spacing w:line="240" w:lineRule="auto" w:before="0" w:after="0" w:beforeLines="0" w:afterLines="0"/>
        <w:ind w:firstLineChars="200" w:leftChars="0" w:hangingChars="0"/>
      </w:pPr>
      <w:r>
        <w:rPr>
          <w:rFonts w:hint="eastAsia" w:eastAsia="宋体" w:ascii="宋体" w:hAnsi="宋体" w:cs="宋体"/>
          <w:b w:val="0"/>
          <w:bCs/>
          <w:i w:val="0"/>
          <w:sz w:val="21"/>
          <w:lang w:val="en-US" w:eastAsia="zh-CN"/>
        </w:rPr>
        <w:t>用不用区分补偿性违约金与惩罚性违约金，补偿违约金是损害赔偿额预定，惩罚性的不是？违约金的损害赔偿额预定是不是等于584中的损害赔偿额</w:t>
      </w:r>
    </w:p>
    <w:p w14:paraId="7C2240FA">
      <w:pPr>
        <w:jc w:val="left"/>
        <w:rPr>
          <w:rFonts w:hint="default"/>
          <w:b/>
          <w:bCs/>
          <w:lang w:val="en-US" w:eastAsia="zh-CN"/>
        </w:rPr>
        <w:spacing w:line="240" w:lineRule="auto" w:before="0" w:after="0" w:beforeLines="0" w:afterLines="0"/>
        <w:ind w:firstLineChars="200" w:leftChars="0" w:hangingChars="0"/>
      </w:pPr>
      <w:r>
        <w:rPr>
          <w:rFonts w:hint="eastAsia" w:eastAsia="宋体" w:ascii="宋体" w:hAnsi="宋体" w:cs="宋体"/>
          <w:b w:val="0"/>
          <w:bCs/>
          <w:i w:val="0"/>
          <w:sz w:val="21"/>
          <w:lang w:val="en-US" w:eastAsia="zh-CN"/>
        </w:rPr>
        <w:t>65条三款与违约方解除权的关系</w:t>
      </w:r>
      <w:bookmarkStart w:id="0" w:name="_GoBack"/>
      <w:bookmarkEnd w:id="0"/>
    </w:p>
    <w:p w14:paraId="41B855DF">
      <w:pPr>
        <w:pStyle w:val="2"/>
        <w:bidi w:val="0"/>
        <w:jc w:val="center"/>
        <w:rPr>
          <w:rFonts w:hint="eastAsia"/>
          <w:b/>
          <w:bCs/>
          <w:lang w:val="en-US" w:eastAsia="zh-CN"/>
        </w:rPr>
      </w:pPr>
    </w:p>
    <w:p w14:paraId="1E1E4E8C">
      <w:pPr>
        <w:pStyle w:val="2"/>
        <w:bidi w:val="0"/>
        <w:jc w:val="left"/>
        <w:rPr>
          <w:rFonts w:hint="eastAsia"/>
          <w:b/>
          <w:bCs/>
          <w:lang w:val="en-US" w:eastAsia="zh-CN"/>
        </w:rPr>
        <w:spacing w:line="240" w:lineRule="auto" w:before="0" w:after="0" w:beforeLines="0" w:afterLines="0"/>
        <w:ind w:firstLineChars="200" w:leftChars="0" w:hangingChars="0"/>
      </w:pPr>
      <w:r>
        <w:rPr>
          <w:rFonts w:hint="eastAsia" w:eastAsia="宋体" w:ascii="宋体" w:hAnsi="宋体" w:cs="宋体"/>
          <w:b w:val="0"/>
          <w:bCs/>
          <w:i w:val="0"/>
          <w:sz w:val="21"/>
          <w:lang w:val="en-US" w:eastAsia="zh-CN"/>
        </w:rPr>
        <w:t>竞业限制合同的违约金调整规则研究</w:t>
      </w:r>
    </w:p>
    <w:p w14:paraId="70FDD123">
      <w:pPr>
        <w:bidi w:val="0"/>
        <w:ind w:leftChars="0" w:firstLineChars="200" w:hangingChars="0"/>
        <w:jc w:val="left"/>
        <w:rPr>
          <w:rFonts w:hint="default" w:ascii="楷体" w:hAnsi="楷体" w:eastAsia="楷体" w:cs="楷体"/>
          <w:b w:val="0"/>
          <w:bCs w:val="0"/>
          <w:lang w:val="en-US" w:eastAsia="zh-CN"/>
        </w:rPr>
        <w:spacing w:line="240" w:lineRule="auto" w:before="0" w:after="0" w:beforeLines="0" w:afterLines="0"/>
      </w:pPr>
      <w:r>
        <w:rPr>
          <w:rFonts w:hint="eastAsia" w:ascii="宋体" w:hAnsi="宋体" w:eastAsia="宋体" w:cs="宋体"/>
          <w:b w:val="0"/>
          <w:i w:val="0"/>
          <w:sz w:val="21"/>
        </w:rPr>
        <w:t>[摘要]</w:t>
      </w:r>
      <w:r>
        <w:rPr>
          <w:rFonts w:hint="default" w:ascii="宋体" w:hAnsi="宋体" w:eastAsia="宋体" w:cs="宋体"/>
          <w:b w:val="0"/>
          <w:bCs w:val="0"/>
          <w:i w:val="0"/>
          <w:sz w:val="21"/>
          <w:lang w:val="en-US" w:eastAsia="zh-CN"/>
        </w:rPr>
        <w:t>竞业限制制度以保护用人单位商业秘密与知识产权相关保密事项为规范目的。《劳动合同法》第23条第2款虽明定劳动者违反竞业限制约定时“应当按照约定向用人单位支付违约金”，然对违约金的调整标准、调整限度及考量因素均未设明文，由此将违约金调整问题引向《民法典》第585条第2款之一般规则，而各地法院在适用该款时呈现出调整标准的多元并存与调整幅度的显著悬殊</w:t>
      </w:r>
      <w:r>
        <w:rPr>
          <w:rFonts w:hint="eastAsia" w:ascii="宋体" w:hAnsi="宋体" w:eastAsia="宋体" w:cs="宋体"/>
          <w:b w:val="0"/>
          <w:bCs w:val="0"/>
          <w:i w:val="0"/>
          <w:sz w:val="21"/>
          <w:lang w:val="en-US" w:eastAsia="zh-CN"/>
        </w:rPr>
        <w:t>。分歧在于</w:t>
      </w:r>
      <w:r>
        <w:rPr>
          <w:rFonts w:hint="default" w:ascii="宋体" w:hAnsi="宋体" w:eastAsia="宋体" w:cs="宋体"/>
          <w:b w:val="0"/>
          <w:bCs w:val="0"/>
          <w:i w:val="0"/>
          <w:sz w:val="21"/>
          <w:lang w:val="en-US" w:eastAsia="zh-CN"/>
        </w:rPr>
        <w:t>“过分高于造成的损失”在以不作为义务为标的的合同类型中缺乏统一的解释框架与具体化标准。竞业限制违约金在规范类型中属于“压力性违约金”，其核心功能在于担保不作为义务之履行而非填补实际损害；在此功能定性下，《民法典》第585条第2款“过分高于造成的损失”在竞业限制领域的适用，应对“损失”作目的解释，将用人单位竞争利益的“非典型损害”纳入其规范含义；司法调整之规范逻辑应以约定数额为基准展开动态比例权衡，通过正向因素与负向因素的系统互动，在用人单位竞争利益与劳动者职业自由之间寻求个案的具体均衡，并以结构性说理义务确保权衡过程的可检验性与可上诉性。</w:t>
      </w:r>
    </w:p>
    <w:p w14:paraId="61CF2242">
      <w:pPr>
        <w:bidi w:val="0"/>
        <w:ind w:leftChars="0" w:firstLineChars="200" w:hangingChars="0"/>
        <w:jc w:val="left"/>
        <w:rPr>
          <w:rFonts w:hint="eastAsia" w:ascii="楷体" w:hAnsi="楷体" w:eastAsia="宋体" w:cs="楷体"/>
          <w:b w:val="0"/>
          <w:bCs w:val="0"/>
          <w:lang w:val="en-US" w:eastAsia="zh-CN"/>
        </w:rPr>
        <w:spacing w:line="240" w:lineRule="auto" w:before="0" w:after="0" w:beforeLines="0" w:afterLines="0"/>
      </w:pPr>
      <w:r>
        <w:rPr>
          <w:rFonts w:hint="eastAsia" w:ascii="宋体" w:hAnsi="宋体" w:eastAsia="宋体" w:cs="宋体"/>
          <w:b w:val="0"/>
          <w:i w:val="0"/>
          <w:sz w:val="21"/>
        </w:rPr>
        <w:t>【关键词】</w:t>
      </w:r>
      <w:r>
        <w:rPr>
          <w:rFonts w:hint="eastAsia" w:ascii="宋体" w:hAnsi="宋体" w:eastAsia="宋体" w:cs="宋体"/>
          <w:b w:val="0"/>
          <w:bCs w:val="0"/>
          <w:i w:val="0"/>
          <w:sz w:val="21"/>
          <w:lang w:val="en-US" w:eastAsia="zh-CN"/>
        </w:rPr>
        <w:t>竞业限制违约金；压力功能；非典型损害；动态比例</w:t>
      </w:r>
    </w:p>
    <w:p w14:paraId="6F3B73CD">
      <w:pPr>
        <w:pStyle w:val="2"/>
        <w:bidi w:val="0"/>
        <w:jc w:val="center"/>
        <w:rPr>
          <w:rFonts w:hint="eastAsia"/>
          <w:b/>
          <w:bCs/>
          <w:lang w:val="en-US" w:eastAsia="zh-CN"/>
        </w:rPr>
        <w:spacing w:line="240" w:lineRule="auto" w:before="0" w:after="0" w:beforeLines="0" w:afterLines="0"/>
      </w:pPr>
      <w:r>
        <w:rPr>
          <w:rFonts w:hint="eastAsia" w:eastAsia="宋体" w:ascii="宋体" w:hAnsi="宋体" w:cs="宋体"/>
          <w:b/>
          <w:bCs/>
          <w:i w:val="0"/>
          <w:sz w:val="24"/>
          <w:lang w:val="en-US" w:eastAsia="zh-CN"/>
        </w:rPr>
        <w:t>引言</w:t>
      </w:r>
    </w:p>
    <w:p w14:paraId="5F955CA0">
      <w:pPr>
        <w:pStyle w:val="2"/>
        <w:bidi w:val="0"/>
        <w:jc w:val="left"/>
        <w:rPr>
          <w:rFonts w:hint="eastAsia"/>
          <w:lang w:val="en-US" w:eastAsia="zh-CN"/>
        </w:rPr>
        <w:spacing w:line="240" w:lineRule="auto" w:before="0" w:after="0" w:beforeLines="0" w:afterLines="0"/>
        <w:ind w:firstLineChars="200" w:leftChars="0" w:hangingChars="0"/>
      </w:pPr>
      <w:r>
        <w:rPr>
          <w:rFonts w:hint="eastAsia" w:cs="宋体" w:eastAsia="楷体" w:ascii="宋体" w:hAnsi="宋体"/>
          <w:b/>
          <w:bCs w:val="0"/>
          <w:i w:val="0"/>
          <w:kern w:val="2"/>
          <w:sz w:val="24"/>
          <w:szCs w:val="24"/>
          <w:lang w:val="en-US" w:eastAsia="zh-CN" w:bidi="ar-SA"/>
        </w:rPr>
        <w:t>（一）</w:t>
      </w:r>
      <w:r>
        <w:rPr>
          <w:rFonts w:hint="eastAsia" w:ascii="宋体" w:hAnsi="宋体" w:eastAsia="楷体" w:cs="宋体"/>
          <w:b/>
          <w:bCs w:val="0"/>
          <w:i w:val="0"/>
          <w:kern w:val="2"/>
          <w:sz w:val="24"/>
          <w:szCs w:val="24"/>
          <w:lang w:val="en-US" w:eastAsia="zh-CN" w:bidi="ar-SA"/>
        </w:rPr>
        <w:t>竞业限制违约金调整的裁判分歧</w:t>
      </w:r>
    </w:p>
    <w:p w14:paraId="752C81AC">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《劳动合同法》第23条第2款仅规定劳动者违反竞业限制约定时</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应当按照约定向用人单位支付违约金</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对违约金的性质、调整标准及调整限度未设明文，由此将违约金调整问题引向《民法典》第585条第2款的一般规则，然而该款在竞业限制领域的适用中，呈现出调整标准的多元并存与调整幅度的显著悬殊。实务中部分法院以实际损失为基准进行比较，部分法院以竞业限制补偿金的倍数作为违约金上限，另有法院采用综合权衡模式，一并考量多项因素后裁量确定数额，三种路径并存于同一条文之下却彼此缺乏统一的解释框架。</w:t>
      </w:r>
      <w:r>
        <w:rPr>
          <w:rFonts w:hint="eastAsia" w:cs="宋体" w:eastAsia="宋体" w:ascii="宋体" w:hAnsi="宋体"/>
          <w:b w:val="0"/>
          <w:bCs w:val="0"/>
          <w:i w:val="0"/>
          <w:sz w:val="21"/>
          <w:szCs w:val="24"/>
          <w:lang w:val="en-US" w:eastAsia="zh-CN"/>
        </w:rPr>
        <w:t>例如在实践中，有的</w:t>
      </w:r>
      <w:r>
        <w:rPr>
          <w:rFonts w:ascii="宋体" w:hAnsi="宋体" w:eastAsia="宋体" w:cs="宋体"/>
          <w:b w:val="0"/>
          <w:bCs w:val="0"/>
          <w:i w:val="0"/>
          <w:sz w:val="21"/>
          <w:szCs w:val="24"/>
        </w:rPr>
        <w:t>法院以年补偿金标准的二倍为基准将违约金调整为6,960元，调减幅度高达92.3%</w:t>
      </w:r>
      <w:r>
        <w:rPr>
          <w:rStyle w:val="10"/>
          <w:rFonts w:ascii="宋体" w:hAnsi="宋体" w:eastAsia="宋体" w:cs="宋体"/>
          <w:b w:val="0"/>
          <w:bCs w:val="0"/>
          <w:i w:val="0"/>
          <w:sz w:val="21"/>
          <w:szCs w:val="24"/>
        </w:rPr>
        <w:footnoteReference w:id="0"/>
      </w:r>
      <w:r>
        <w:rPr>
          <w:rFonts w:ascii="宋体" w:hAnsi="宋体" w:eastAsia="宋体" w:cs="宋体"/>
          <w:b w:val="0"/>
          <w:bCs w:val="0"/>
          <w:i w:val="0"/>
          <w:sz w:val="21"/>
          <w:szCs w:val="24"/>
        </w:rPr>
        <w:t>；</w:t>
      </w:r>
      <w:r>
        <w:rPr>
          <w:rFonts w:hint="eastAsia" w:cs="宋体" w:eastAsia="宋体" w:ascii="宋体" w:hAnsi="宋体"/>
          <w:b w:val="0"/>
          <w:bCs w:val="0"/>
          <w:i w:val="0"/>
          <w:sz w:val="21"/>
          <w:szCs w:val="24"/>
          <w:lang w:val="en-US" w:eastAsia="zh-CN"/>
        </w:rPr>
        <w:t>有的</w:t>
      </w:r>
      <w:r>
        <w:rPr>
          <w:rFonts w:ascii="宋体" w:hAnsi="宋体" w:eastAsia="宋体" w:cs="宋体"/>
          <w:b w:val="0"/>
          <w:bCs w:val="0"/>
          <w:i w:val="0"/>
          <w:sz w:val="21"/>
          <w:szCs w:val="24"/>
        </w:rPr>
        <w:t>法院将违约金</w:t>
      </w:r>
      <w:r>
        <w:rPr>
          <w:rFonts w:hint="eastAsia" w:cs="宋体" w:eastAsia="宋体" w:ascii="宋体" w:hAnsi="宋体"/>
          <w:b w:val="0"/>
          <w:bCs w:val="0"/>
          <w:i w:val="0"/>
          <w:sz w:val="21"/>
          <w:szCs w:val="24"/>
          <w:lang w:val="en-US" w:eastAsia="zh-CN"/>
        </w:rPr>
        <w:t>从150万元</w:t>
      </w:r>
      <w:r>
        <w:rPr>
          <w:rFonts w:ascii="宋体" w:hAnsi="宋体" w:eastAsia="宋体" w:cs="宋体"/>
          <w:b w:val="0"/>
          <w:bCs w:val="0"/>
          <w:i w:val="0"/>
          <w:sz w:val="21"/>
          <w:szCs w:val="24"/>
        </w:rPr>
        <w:t>调减至100万元，调减幅度约33%</w:t>
      </w:r>
      <w:r>
        <w:rPr>
          <w:rStyle w:val="10"/>
          <w:rFonts w:ascii="宋体" w:hAnsi="宋体" w:eastAsia="宋体" w:cs="宋体"/>
          <w:b w:val="0"/>
          <w:bCs w:val="0"/>
          <w:i w:val="0"/>
          <w:sz w:val="21"/>
          <w:szCs w:val="24"/>
        </w:rPr>
        <w:footnoteReference w:id="1"/>
      </w:r>
      <w:r>
        <w:rPr>
          <w:rFonts w:ascii="宋体" w:hAnsi="宋体" w:eastAsia="宋体" w:cs="宋体"/>
          <w:b w:val="0"/>
          <w:bCs w:val="0"/>
          <w:i w:val="0"/>
          <w:sz w:val="21"/>
          <w:szCs w:val="24"/>
        </w:rPr>
        <w:t>。两案均涉及不作为义务之违反，调整幅度却从不足三成到近乎全额调减，悬殊之巨折射出裁判标准的结构性分歧。</w:t>
      </w:r>
      <w:r>
        <w:rPr>
          <w:rFonts w:eastAsia="宋体" w:ascii="宋体" w:hAnsi="宋体" w:cs="宋体"/>
          <w:rStyle w:val="10"/>
          <w:b w:val="0"/>
          <w:i w:val="0"/>
          <w:sz w:val="21"/>
        </w:rPr>
        <w:footnoteReference w:id="2"/>
      </w:r>
    </w:p>
    <w:p w14:paraId="1D9B86A9">
      <w:pPr>
        <w:spacing w:line="240" w:lineRule="auto" w:before="0" w:after="0" w:beforeLines="0" w:afterLines="0"/>
        <w:ind w:firstLineChars="200" w:leftChars="0" w:hangingChars="0"/>
        <w:jc w:val="left"/>
      </w:pPr>
      <w:r>
        <w:rPr>
          <w:rFonts w:ascii="宋体" w:hAnsi="宋体" w:eastAsia="宋体" w:cs="宋体"/>
          <w:b w:val="0"/>
          <w:bCs w:val="0"/>
          <w:i w:val="0"/>
          <w:sz w:val="21"/>
          <w:szCs w:val="24"/>
        </w:rPr>
        <w:t>黄冠基于607份竞业限制违约金裁判文书的实证分析则进一步揭示竞业限制违约金案件中的酌减支持率显著高于一般合同纠纷，在超过70%的劳动竞业限制案件中，法院以补偿金总额的1-3倍为调整基准，呈现出对补偿金倍数的强烈路径依赖。此种</w:t>
      </w:r>
      <w:r>
        <w:rPr>
          <w:rFonts w:hint="eastAsia" w:cs="宋体" w:eastAsia="宋体" w:ascii="宋体" w:hAnsi="宋体"/>
          <w:b w:val="0"/>
          <w:bCs w:val="0"/>
          <w:i w:val="0"/>
          <w:sz w:val="21"/>
          <w:szCs w:val="24"/>
          <w:lang w:val="en-US" w:eastAsia="zh-CN"/>
        </w:rPr>
        <w:t>锚定</w:t>
      </w:r>
      <w:r>
        <w:rPr>
          <w:rFonts w:ascii="宋体" w:hAnsi="宋体" w:eastAsia="宋体" w:cs="宋体"/>
          <w:b w:val="0"/>
          <w:bCs w:val="0"/>
          <w:i w:val="0"/>
          <w:sz w:val="21"/>
          <w:szCs w:val="24"/>
        </w:rPr>
        <w:t>在规范层面缺乏充分依据——《民法典》第585条第2款以</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造成的损失</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为调整基准而非以</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合同对价</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为基准——裁判实践却以一种缺乏规范论证的习惯性做法，将补偿金这一合同对价作为损失的代理变量。</w:t>
      </w:r>
      <w:r>
        <w:rPr>
          <w:rFonts w:eastAsia="宋体" w:ascii="宋体" w:hAnsi="宋体" w:cs="宋体"/>
          <w:rStyle w:val="10"/>
          <w:b w:val="0"/>
          <w:i w:val="0"/>
          <w:sz w:val="21"/>
        </w:rPr>
        <w:footnoteReference w:id="3"/>
      </w:r>
    </w:p>
    <w:p w14:paraId="2224D62A">
      <w:pPr>
        <w:spacing w:line="240" w:lineRule="auto" w:before="0" w:after="0" w:beforeLines="0" w:afterLines="0"/>
        <w:ind w:firstLineChars="200" w:leftChars="0" w:hangingChars="0"/>
        <w:jc w:val="left"/>
      </w:pPr>
      <w:r>
        <w:rPr>
          <w:rFonts w:hint="eastAsia" w:cs="宋体" w:eastAsia="宋体" w:ascii="宋体" w:hAnsi="宋体"/>
          <w:b w:val="0"/>
          <w:bCs w:val="0"/>
          <w:i w:val="0"/>
          <w:sz w:val="21"/>
          <w:szCs w:val="24"/>
          <w:lang w:val="en-US" w:eastAsia="zh-CN"/>
        </w:rPr>
        <w:t>此外</w:t>
      </w:r>
      <w:r>
        <w:rPr>
          <w:rFonts w:ascii="宋体" w:hAnsi="宋体" w:eastAsia="宋体" w:cs="宋体"/>
          <w:b w:val="0"/>
          <w:bCs w:val="0"/>
          <w:i w:val="0"/>
          <w:sz w:val="21"/>
          <w:szCs w:val="24"/>
        </w:rPr>
        <w:t>劳动竞业限制与商事竞业禁止在调整逻辑上存在系统性差异。在劳动竞业限制案件中，补偿金标准过低</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部分案件月补偿金不足300元</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与竞业范围泛化共同构成法院大幅调减的主要推动因素；而在商事竞业禁止案件中，股权转让对价、双方的商业谈判能力及交易的整体公平性成为法院考量的核心。然而这一区分目前停留于裁判直觉层面，尚未上升为自觉的类型化方法，法院在适用法律时往往凭经验感知两种类型之差异，却未能在规范论证层面明确区分标准与调整强度的对应关系。</w:t>
      </w:r>
    </w:p>
    <w:p w14:paraId="0F3B9916">
      <w:pPr>
        <w:spacing w:line="240" w:lineRule="auto" w:before="0" w:after="0" w:beforeLines="0" w:afterLines="0"/>
        <w:ind w:firstLineChars="200" w:leftChars="0" w:hangingChars="0"/>
        <w:jc w:val="left"/>
        <w:rPr>
          <w:rFonts w:hint="eastAsia" w:eastAsia="宋体"/>
          <w:lang w:eastAsia="zh-CN"/>
        </w:rPr>
      </w:pPr>
      <w:r>
        <w:rPr>
          <w:rFonts w:ascii="宋体" w:hAnsi="宋体" w:eastAsia="宋体" w:cs="宋体"/>
          <w:b w:val="0"/>
          <w:bCs w:val="0"/>
          <w:i w:val="0"/>
          <w:sz w:val="21"/>
          <w:szCs w:val="24"/>
        </w:rPr>
        <w:t>上述分歧的根源在于两项规范问题未获共识</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《劳动合同法》第23条第2款的沉默与《民法典》第585条第2款之间究竟构成何种规范联系——前者是对后者的特别法修正，抑或仅是引致性条款；</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过分高于造成的损失</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在以不作为义务为标的的合同类型中应如何具体化</w:t>
      </w:r>
      <w:r>
        <w:rPr>
          <w:rFonts w:hint="eastAsia" w:cs="宋体" w:eastAsia="宋体" w:ascii="宋体" w:hAnsi="宋体"/>
          <w:b w:val="0"/>
          <w:bCs w:val="0"/>
          <w:i w:val="0"/>
          <w:sz w:val="21"/>
          <w:szCs w:val="24"/>
          <w:lang w:eastAsia="zh-CN"/>
        </w:rPr>
        <w:t>。</w:t>
      </w:r>
    </w:p>
    <w:p w14:paraId="2B099ED3">
      <w:pPr>
        <w:pStyle w:val="2"/>
        <w:bidi w:val="0"/>
        <w:jc w:val="left"/>
        <w:rPr>
          <w:rFonts w:hint="eastAsia"/>
          <w:lang w:val="en-US" w:eastAsia="zh-CN"/>
        </w:rPr>
        <w:spacing w:line="240" w:lineRule="auto" w:before="0" w:after="0" w:beforeLines="0" w:afterLines="0"/>
        <w:ind w:firstLineChars="200" w:leftChars="0" w:hangingChars="0"/>
      </w:pPr>
      <w:r>
        <w:rPr>
          <w:rFonts w:hint="eastAsia" w:eastAsia="楷体" w:ascii="宋体" w:hAnsi="宋体" w:cs="宋体"/>
          <w:b/>
          <w:bCs/>
          <w:i w:val="0"/>
          <w:sz w:val="24"/>
          <w:lang w:val="en-US" w:eastAsia="zh-CN"/>
        </w:rPr>
        <w:t>（二）</w:t>
      </w:r>
      <w:r>
        <w:rPr>
          <w:rFonts w:hint="eastAsia" w:cs="宋体" w:eastAsia="楷体" w:ascii="宋体" w:hAnsi="宋体"/>
          <w:b/>
          <w:bCs w:val="0"/>
          <w:i w:val="0"/>
          <w:kern w:val="2"/>
          <w:sz w:val="24"/>
          <w:szCs w:val="24"/>
          <w:lang w:val="en-US" w:eastAsia="zh-CN" w:bidi="ar-SA"/>
        </w:rPr>
        <w:t>文献综述</w:t>
      </w:r>
    </w:p>
    <w:p w14:paraId="1C0FC4E2">
      <w:pPr>
        <w:ind w:firstLineChars="200" w:leftChars="0" w:hangingChars="0"/>
        <w:jc w:val="left"/>
        <w:rPr>
          <w:rFonts w:ascii="宋体" w:hAnsi="宋体" w:eastAsia="宋体"/>
          <w:sz w:val="24"/>
        </w:rPr>
        <w:spacing w:line="240" w:lineRule="auto" w:before="0" w:after="0" w:beforeLines="0" w:afterLines="0"/>
      </w:pPr>
      <w:r>
        <w:rPr>
          <w:rFonts w:ascii="宋体" w:hAnsi="宋体" w:eastAsia="宋体" w:cs="宋体"/>
          <w:b w:val="0"/>
          <w:i w:val="0"/>
          <w:sz w:val="21"/>
        </w:rPr>
        <w:t>违约金制度是合同法违约责任体系的核心。《民法典》第585条延续了原《合同法》第114条的基本框架，但违约金的功能定位与司法调整规则始终存在理论争议。</w:t>
      </w:r>
    </w:p>
    <w:p w14:paraId="1E957016">
      <w:pPr>
        <w:ind w:firstLineChars="200" w:leftChars="0" w:hangingChars="0"/>
        <w:jc w:val="left"/>
        <w:rPr>
          <w:rFonts w:ascii="宋体" w:hAnsi="宋体" w:eastAsia="宋体"/>
          <w:sz w:val="24"/>
        </w:rPr>
        <w:spacing w:line="240" w:lineRule="auto" w:before="0" w:after="0" w:beforeLines="0" w:afterLines="0"/>
      </w:pPr>
      <w:r>
        <w:rPr>
          <w:rFonts w:ascii="宋体" w:hAnsi="宋体" w:eastAsia="宋体" w:cs="宋体"/>
          <w:b w:val="0"/>
          <w:i w:val="0"/>
          <w:sz w:val="21"/>
        </w:rPr>
        <w:t>姚明斌在《〈合同法〉第114条（约定违约金）评注》及专著《违约金论》中系统建构了违约金的“双重功能论”，认为违约金兼具补偿功能与</w:t>
      </w:r>
      <w:r>
        <w:rPr>
          <w:rFonts w:hint="eastAsia" w:eastAsia="宋体" w:ascii="宋体" w:hAnsi="宋体" w:cs="宋体"/>
          <w:b w:val="0"/>
          <w:i w:val="0"/>
          <w:sz w:val="21"/>
          <w:lang w:val="en-US" w:eastAsia="zh-CN"/>
        </w:rPr>
        <w:t>压力</w:t>
      </w:r>
      <w:r>
        <w:rPr>
          <w:rFonts w:ascii="宋体" w:hAnsi="宋体" w:eastAsia="宋体" w:cs="宋体"/>
          <w:b w:val="0"/>
          <w:i w:val="0"/>
          <w:sz w:val="21"/>
        </w:rPr>
        <w:t>功能，其功能配置取决于当事人约定意图而非事后与实际损害的比较，为后续研究奠定了教义学基础。</w:t>
      </w:r>
      <w:r>
        <w:rPr>
          <w:rStyle w:val="10"/>
          <w:rFonts w:ascii="宋体" w:hAnsi="宋体" w:eastAsia="宋体" w:cs="宋体"/>
          <w:b w:val="0"/>
          <w:i w:val="0"/>
          <w:sz w:val="21"/>
        </w:rPr>
        <w:footnoteReference w:id="4"/>
      </w:r>
      <w:r>
        <w:rPr>
          <w:rFonts w:ascii="宋体" w:hAnsi="宋体" w:eastAsia="宋体" w:cs="宋体"/>
          <w:b w:val="0"/>
          <w:i w:val="0"/>
          <w:sz w:val="21"/>
        </w:rPr>
        <w:t>邓辉、王浩然通过162个案例的实证分析，揭示司法实践普遍采用“补偿为主、惩罚为辅”的模式导致担保功能弱化，主张构建“担保为主、赔偿为辅”的价值体系</w:t>
      </w:r>
      <w:r>
        <w:rPr>
          <w:rStyle w:val="10"/>
          <w:rFonts w:ascii="宋体" w:hAnsi="宋体" w:eastAsia="宋体" w:cs="宋体"/>
          <w:b w:val="0"/>
          <w:i w:val="0"/>
          <w:sz w:val="21"/>
        </w:rPr>
        <w:footnoteReference w:id="5"/>
      </w:r>
      <w:r>
        <w:rPr>
          <w:rFonts w:ascii="宋体" w:hAnsi="宋体" w:eastAsia="宋体" w:cs="宋体"/>
          <w:b w:val="0"/>
          <w:i w:val="0"/>
          <w:sz w:val="21"/>
        </w:rPr>
        <w:t>。覃榆翔进一步提出功能主义路径，以“压力功能”与“补偿功能”替代传统二分，借助附条件法律行为理论，通过观察违约金生效条件的内部构造识别功能类型，为酌减规则的差异化适用提供了方案。</w:t>
      </w:r>
      <w:r>
        <w:rPr>
          <w:rStyle w:val="10"/>
          <w:rFonts w:ascii="宋体" w:hAnsi="宋体" w:eastAsia="宋体" w:cs="宋体"/>
          <w:b w:val="0"/>
          <w:i w:val="0"/>
          <w:sz w:val="21"/>
        </w:rPr>
        <w:footnoteReference w:id="6"/>
      </w:r>
      <w:r>
        <w:rPr>
          <w:rFonts w:ascii="宋体" w:hAnsi="宋体" w:eastAsia="宋体" w:cs="宋体"/>
          <w:b w:val="0"/>
          <w:i w:val="0"/>
          <w:sz w:val="21"/>
        </w:rPr>
        <w:t>许德风从本给付义务与次给付义务的区分入手，论证司法酌减应以公序良俗与诚实信用为最终目的，强调私法不当然排斥惩罚，裁判者应重视违约金预防和惩罚违约行为的社会功能。</w:t>
      </w:r>
      <w:r>
        <w:rPr>
          <w:rStyle w:val="10"/>
          <w:rFonts w:ascii="宋体" w:hAnsi="宋体" w:eastAsia="宋体" w:cs="宋体"/>
          <w:b w:val="0"/>
          <w:i w:val="0"/>
          <w:sz w:val="21"/>
        </w:rPr>
        <w:footnoteReference w:id="7"/>
      </w:r>
      <w:r>
        <w:rPr>
          <w:rFonts w:ascii="宋体" w:hAnsi="宋体" w:eastAsia="宋体" w:cs="宋体"/>
          <w:b w:val="0"/>
          <w:i w:val="0"/>
          <w:sz w:val="21"/>
        </w:rPr>
        <w:t>覃榆翔</w:t>
      </w:r>
      <w:r>
        <w:rPr>
          <w:rFonts w:hint="eastAsia" w:eastAsia="宋体" w:ascii="宋体" w:hAnsi="宋体" w:cs="宋体"/>
          <w:b w:val="0"/>
          <w:i w:val="0"/>
          <w:sz w:val="21"/>
          <w:lang w:val="en-US" w:eastAsia="zh-CN"/>
        </w:rPr>
        <w:t>还认为</w:t>
      </w:r>
      <w:r>
        <w:rPr>
          <w:rFonts w:ascii="宋体" w:hAnsi="宋体" w:eastAsia="宋体" w:cs="宋体"/>
          <w:b w:val="0"/>
          <w:i w:val="0"/>
          <w:sz w:val="21"/>
        </w:rPr>
        <w:t>司法酌减规则因混合继受德法模式已异化为以损失≤130%为核心的数字型酌减，主张回归至以“合意度”与“均衡度”为分析工具的合同效力控制框架。</w:t>
      </w:r>
      <w:r>
        <w:rPr>
          <w:rStyle w:val="10"/>
          <w:rFonts w:ascii="宋体" w:hAnsi="宋体" w:eastAsia="宋体" w:cs="宋体"/>
          <w:b w:val="0"/>
          <w:i w:val="0"/>
          <w:sz w:val="21"/>
        </w:rPr>
        <w:footnoteReference w:id="8"/>
      </w:r>
    </w:p>
    <w:p w14:paraId="22ED926D">
      <w:pPr>
        <w:ind w:firstLineChars="200" w:leftChars="0" w:hangingChars="0"/>
        <w:jc w:val="left"/>
        <w:rPr>
          <w:rFonts w:ascii="宋体" w:hAnsi="宋体" w:eastAsia="宋体"/>
          <w:sz w:val="24"/>
        </w:rPr>
        <w:spacing w:line="240" w:lineRule="auto" w:before="0" w:after="0" w:beforeLines="0" w:afterLines="0"/>
      </w:pPr>
      <w:r>
        <w:rPr>
          <w:rFonts w:ascii="宋体" w:hAnsi="宋体" w:eastAsia="宋体" w:cs="宋体"/>
          <w:b w:val="0"/>
          <w:i w:val="0"/>
          <w:sz w:val="21"/>
        </w:rPr>
        <w:t>刘承韪肯定了司法解释在明确恶意违约不得酌减、扩充考量因素等方面的进步，同时指出民商事合同区分对待的立法缺位。</w:t>
      </w:r>
      <w:r>
        <w:rPr>
          <w:rStyle w:val="10"/>
          <w:rFonts w:ascii="宋体" w:hAnsi="宋体" w:eastAsia="宋体" w:cs="宋体"/>
          <w:b w:val="0"/>
          <w:i w:val="0"/>
          <w:sz w:val="21"/>
        </w:rPr>
        <w:footnoteReference w:id="9"/>
      </w:r>
      <w:r>
        <w:rPr>
          <w:rFonts w:ascii="宋体" w:hAnsi="宋体" w:eastAsia="宋体" w:cs="宋体"/>
          <w:b w:val="0"/>
          <w:i w:val="0"/>
          <w:sz w:val="21"/>
        </w:rPr>
        <w:t>黄冠、邹爱华基于607份裁判文书的实证分析</w:t>
      </w:r>
      <w:r>
        <w:rPr>
          <w:rFonts w:hint="eastAsia" w:eastAsia="宋体" w:ascii="宋体" w:hAnsi="宋体" w:cs="宋体"/>
          <w:b w:val="0"/>
          <w:i w:val="0"/>
          <w:sz w:val="21"/>
          <w:lang w:val="en-US" w:eastAsia="zh-CN"/>
        </w:rPr>
        <w:t>指出了</w:t>
      </w:r>
      <w:r>
        <w:rPr>
          <w:rFonts w:ascii="宋体" w:hAnsi="宋体" w:eastAsia="宋体" w:cs="宋体"/>
          <w:b w:val="0"/>
          <w:i w:val="0"/>
          <w:sz w:val="21"/>
        </w:rPr>
        <w:t>65.9%的地方人民法院在认定违约金明显高于实际损失后仍予支持，80.6%的法院支持违约金与继续履行并用，83.6%的法院支持与返还经济补偿并用。该文据此论证竞业限制违约金惩罚性定位的规范正当性，建议设定数额上限、提高经济补偿最低标准。</w:t>
      </w:r>
      <w:r>
        <w:rPr>
          <w:rStyle w:val="10"/>
          <w:rFonts w:ascii="宋体" w:hAnsi="宋体" w:eastAsia="宋体" w:cs="宋体"/>
          <w:b w:val="0"/>
          <w:i w:val="0"/>
          <w:sz w:val="21"/>
        </w:rPr>
        <w:footnoteReference w:id="10"/>
      </w:r>
    </w:p>
    <w:p w14:paraId="6E72F5C6">
      <w:pPr>
        <w:ind w:firstLineChars="200" w:leftChars="0" w:hangingChars="0"/>
        <w:jc w:val="left"/>
        <w:spacing w:line="240" w:lineRule="auto" w:before="0" w:after="0" w:beforeLines="0" w:afterLines="0"/>
      </w:pPr>
      <w:r>
        <w:rPr>
          <w:rFonts w:ascii="宋体" w:hAnsi="宋体" w:eastAsia="宋体" w:cs="宋体"/>
          <w:b w:val="0"/>
          <w:bCs w:val="0"/>
          <w:i w:val="0"/>
          <w:sz w:val="21"/>
          <w:szCs w:val="24"/>
        </w:rPr>
        <w:t>本文在方法论上共享上述学者对</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以损失为酌减唯一基准</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的批判立场，但在核心结论上持不同看法</w:t>
      </w:r>
      <w:r>
        <w:rPr>
          <w:rFonts w:hint="eastAsia" w:cs="宋体" w:eastAsia="宋体" w:ascii="宋体" w:hAnsi="宋体"/>
          <w:b w:val="0"/>
          <w:bCs w:val="0"/>
          <w:i w:val="0"/>
          <w:sz w:val="21"/>
          <w:szCs w:val="24"/>
          <w:lang w:val="en-US" w:eastAsia="zh-CN"/>
        </w:rPr>
        <w:t>,</w:t>
      </w:r>
      <w:r>
        <w:rPr>
          <w:rFonts w:ascii="宋体" w:hAnsi="宋体" w:eastAsia="宋体" w:cs="宋体"/>
          <w:b w:val="0"/>
          <w:bCs w:val="0"/>
          <w:i w:val="0"/>
          <w:sz w:val="21"/>
          <w:szCs w:val="24"/>
        </w:rPr>
        <w:t>压力功能不排除司法调整之可能，因为第585条第2款以</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约定的违约金</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为调整对象，文义上未区分违约金的功能类型，以功能类型决定规则适用的解释路径缺乏文义基础；压力功能违约金同样可能导致不公平结果，尤其在劳动契约中缔约地位不对等的情形下，排除调整反而使结构性不对等固化于约定数额之中。</w:t>
      </w:r>
    </w:p>
    <w:p w14:paraId="1FDAB9F3">
      <w:pPr>
        <w:pStyle w:val="2"/>
        <w:bidi w:val="0"/>
        <w:jc w:val="center"/>
        <w:rPr>
          <w:rFonts w:hint="default"/>
          <w:lang w:val="en-US" w:eastAsia="zh-CN"/>
        </w:rPr>
        <w:spacing w:line="240" w:lineRule="auto" w:before="0" w:after="0" w:beforeLines="0" w:afterLines="0"/>
      </w:pPr>
      <w:r>
        <w:rPr>
          <w:rFonts w:hint="eastAsia" w:eastAsia="宋体" w:ascii="宋体" w:hAnsi="宋体" w:cs="宋体"/>
          <w:b/>
          <w:bCs/>
          <w:i w:val="0"/>
          <w:sz w:val="24"/>
          <w:lang w:val="en-US" w:eastAsia="zh-CN"/>
        </w:rPr>
        <w:t>二、竞业限制违约金的定位（585.1）</w:t>
      </w:r>
    </w:p>
    <w:p w14:paraId="36967985">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default" w:ascii="宋体" w:hAnsi="宋体" w:eastAsia="宋体" w:cs="宋体"/>
          <w:b/>
          <w:bCs w:val="0"/>
          <w:kern w:val="2"/>
          <w:sz w:val="24"/>
          <w:szCs w:val="24"/>
          <w:lang w:val="en-US" w:eastAsia="zh-CN" w:bidi="ar-SA"/>
        </w:rPr>
      </w:pPr>
      <w:r>
        <w:rPr>
          <w:rFonts w:hint="eastAsia" w:ascii="宋体" w:hAnsi="宋体" w:cs="宋体" w:eastAsia="楷体"/>
          <w:b/>
          <w:bCs w:val="0"/>
          <w:i w:val="0"/>
          <w:kern w:val="2"/>
          <w:sz w:val="24"/>
          <w:szCs w:val="24"/>
          <w:lang w:val="en-US" w:eastAsia="zh-CN" w:bidi="ar-SA"/>
        </w:rPr>
        <w:t>（一）违约金的双重功能</w:t>
      </w:r>
    </w:p>
    <w:p w14:paraId="45A81B54">
      <w:pPr>
        <w:spacing w:line="240" w:lineRule="auto" w:before="0" w:after="0" w:beforeLines="0" w:afterLines="0"/>
        <w:ind w:firstLineChars="200" w:leftChars="0" w:hangingChars="0"/>
        <w:jc w:val="left"/>
        <w:rPr>
          <w:rFonts w:ascii="宋体" w:hAnsi="宋体" w:eastAsia="宋体" w:cs="宋体"/>
          <w:b w:val="0"/>
          <w:bCs w:val="0"/>
          <w:sz w:val="24"/>
          <w:szCs w:val="24"/>
        </w:rPr>
      </w:pPr>
      <w:r>
        <w:rPr>
          <w:rFonts w:ascii="宋体" w:hAnsi="宋体" w:eastAsia="宋体" w:cs="宋体"/>
          <w:b w:val="0"/>
          <w:bCs w:val="0"/>
          <w:i w:val="0"/>
          <w:sz w:val="21"/>
          <w:szCs w:val="24"/>
        </w:rPr>
        <w:t>《民法典》第585条第1款将</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违约金</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与</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损失赔偿额的计算方法</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并列，表明违约金是独立于损害赔偿计算方法的约定给付。从结构</w:t>
      </w:r>
      <w:r>
        <w:rPr>
          <w:rFonts w:hint="eastAsia" w:cs="宋体" w:eastAsia="宋体" w:ascii="宋体" w:hAnsi="宋体"/>
          <w:b w:val="0"/>
          <w:bCs w:val="0"/>
          <w:i w:val="0"/>
          <w:sz w:val="21"/>
          <w:szCs w:val="24"/>
          <w:lang w:val="en-US" w:eastAsia="zh-CN"/>
        </w:rPr>
        <w:t>上看</w:t>
      </w:r>
      <w:r>
        <w:rPr>
          <w:rFonts w:ascii="宋体" w:hAnsi="宋体" w:eastAsia="宋体" w:cs="宋体"/>
          <w:b w:val="0"/>
          <w:bCs w:val="0"/>
          <w:i w:val="0"/>
          <w:sz w:val="21"/>
          <w:szCs w:val="24"/>
        </w:rPr>
        <w:t>，第585条位于</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违约责任</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章，但结构位置所反映的仅是规范所规制的法律效果类型而非功能定性</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第585条第3款规定迟延履行违约金可与继续履行并用，正是担保功能在违约责任架构内部的规范表达。</w:t>
      </w:r>
    </w:p>
    <w:p w14:paraId="676197EE">
      <w:pPr>
        <w:spacing w:line="240" w:lineRule="auto" w:before="0" w:after="0" w:beforeLines="0" w:afterLines="0"/>
        <w:ind w:firstLineChars="200" w:leftChars="0" w:hangingChars="0"/>
        <w:jc w:val="left"/>
      </w:pPr>
      <w:r>
        <w:rPr>
          <w:rFonts w:hint="eastAsia" w:cs="宋体" w:eastAsia="宋体" w:ascii="宋体" w:hAnsi="宋体"/>
          <w:b w:val="0"/>
          <w:bCs w:val="0"/>
          <w:i w:val="0"/>
          <w:sz w:val="21"/>
          <w:szCs w:val="24"/>
          <w:lang w:val="en-US" w:eastAsia="zh-CN"/>
        </w:rPr>
        <w:t>违约金作为一种意定违约责任，当事人可以根据其双重功能而创设多种类型，</w:t>
      </w:r>
      <w:r>
        <w:rPr>
          <w:rFonts w:ascii="宋体" w:hAnsi="宋体" w:eastAsia="宋体" w:cs="宋体"/>
          <w:b w:val="0"/>
          <w:bCs w:val="0"/>
          <w:i w:val="0"/>
          <w:sz w:val="21"/>
          <w:szCs w:val="24"/>
        </w:rPr>
        <w:t>个案中</w:t>
      </w:r>
      <w:r>
        <w:rPr>
          <w:rFonts w:hint="eastAsia" w:cs="宋体" w:eastAsia="宋体" w:ascii="宋体" w:hAnsi="宋体"/>
          <w:b w:val="0"/>
          <w:bCs w:val="0"/>
          <w:i w:val="0"/>
          <w:sz w:val="21"/>
          <w:szCs w:val="24"/>
          <w:lang w:val="en-US" w:eastAsia="zh-CN"/>
        </w:rPr>
        <w:t>类型</w:t>
      </w:r>
      <w:r>
        <w:rPr>
          <w:rFonts w:ascii="宋体" w:hAnsi="宋体" w:eastAsia="宋体" w:cs="宋体"/>
          <w:b w:val="0"/>
          <w:bCs w:val="0"/>
          <w:i w:val="0"/>
          <w:sz w:val="21"/>
          <w:szCs w:val="24"/>
        </w:rPr>
        <w:t>的确定取决于合同类型特征与当事人的约定意图。在以不作为义务为标的的竞业限制合同中，担保功能必然居于主导地位，因为不作为义务违反所造成的损害在事后几乎无从证明与量化，这一特征使补偿功能在竞业限制领域的适用空间受到客观限制。邓辉、王浩然基于162个有效案例的统计表明，57.41%的案件中法院支持了当事人关于违约金具有惩罚性的主张，但同时在调整幅度上又普遍以“实际损失”为基准，这种“定性上承认惩罚性、定量上回归补偿性”的矛盾，恰恰说明功能定位的模糊直接导致了调整逻辑的混乱——法院在两个不可通约的判断框架间来回摇摆，未意识到定性判断与定量方法的错配。</w:t>
      </w:r>
      <w:r>
        <w:rPr>
          <w:rFonts w:eastAsia="宋体" w:ascii="宋体" w:hAnsi="宋体" w:cs="宋体"/>
          <w:rStyle w:val="10"/>
          <w:b w:val="0"/>
          <w:i w:val="0"/>
          <w:sz w:val="21"/>
        </w:rPr>
        <w:footnoteReference w:id="11"/>
      </w:r>
    </w:p>
    <w:p w14:paraId="43A94992">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eastAsia" w:ascii="宋体" w:hAnsi="宋体" w:cs="宋体"/>
          <w:b/>
          <w:bCs w:val="0"/>
          <w:kern w:val="2"/>
          <w:sz w:val="24"/>
          <w:szCs w:val="24"/>
          <w:lang w:val="en-US" w:eastAsia="zh-CN" w:bidi="ar-SA"/>
        </w:rPr>
      </w:pPr>
      <w:r>
        <w:rPr>
          <w:rFonts w:hint="eastAsia" w:ascii="宋体" w:hAnsi="宋体" w:cs="宋体" w:eastAsia="楷体"/>
          <w:b/>
          <w:bCs w:val="0"/>
          <w:i w:val="0"/>
          <w:kern w:val="2"/>
          <w:sz w:val="24"/>
          <w:szCs w:val="24"/>
          <w:lang w:val="en-US" w:eastAsia="zh-CN" w:bidi="ar-SA"/>
        </w:rPr>
        <w:t>（二）传统二分法在竞业限制中的解释困境</w:t>
      </w:r>
    </w:p>
    <w:p w14:paraId="625A841D">
      <w:pPr>
        <w:spacing w:line="240" w:lineRule="auto" w:before="0" w:after="0" w:beforeLines="0" w:afterLines="0"/>
        <w:ind w:firstLineChars="200" w:leftChars="0" w:hangingChars="0"/>
        <w:jc w:val="left"/>
        <w:rPr>
          <w:rFonts w:hint="default" w:cs="宋体"/>
          <w:b w:val="0"/>
          <w:bCs w:val="0"/>
          <w:sz w:val="24"/>
          <w:szCs w:val="24"/>
          <w:lang w:val="en-US" w:eastAsia="zh-CN"/>
        </w:rPr>
      </w:pPr>
      <w:r>
        <w:rPr>
          <w:rFonts w:hint="eastAsia" w:cs="宋体" w:eastAsia="宋体" w:ascii="宋体" w:hAnsi="宋体"/>
          <w:b w:val="0"/>
          <w:bCs w:val="0"/>
          <w:i w:val="0"/>
          <w:sz w:val="21"/>
          <w:szCs w:val="24"/>
          <w:lang w:val="en-US" w:eastAsia="zh-CN"/>
        </w:rPr>
        <w:t>我国学界主流观点认为违约金可以分为补偿性违约金和惩罚性违约金，根据二者分类标准的不同进一步产生了“损害比较说”和“责任关系说”。“损失比较说”,是将违约金的惩罚性与补偿性之区别立基于违约金与实际损失的比较上。若违约金过分高于损失的,那么构成惩罚性违约金;若违约金没有过分高于实际损失的,则属于补偿性违约金。“责任关系说”建立在违约金责任能否与其他违约责任同时存在的关系上,即当违约方承担违约金责任后,非违约方能否要求违约方承担继续履行、损害赔偿的责任。倘若违约金可以与其他法定违约责任并存,那么就构成惩罚性违约金,若不能并存则是则是补偿性违约金。补偿性违约金和惩罚性违约金所侧重实现的利益不同,导致违约金司法酌减规则究竟应以何者作为适用对象渐生分歧。</w:t>
      </w:r>
    </w:p>
    <w:p w14:paraId="28DE1896">
      <w:pPr>
        <w:spacing w:line="240" w:lineRule="auto" w:before="0" w:after="0" w:beforeLines="0" w:afterLines="0"/>
        <w:ind w:firstLineChars="200" w:leftChars="0" w:hangingChars="0"/>
        <w:jc w:val="left"/>
        <w:rPr>
          <w:rFonts w:hint="eastAsia" w:cs="宋体"/>
          <w:b w:val="0"/>
          <w:bCs w:val="0"/>
          <w:sz w:val="24"/>
          <w:szCs w:val="24"/>
          <w:lang w:val="en-US" w:eastAsia="zh-CN"/>
        </w:rPr>
      </w:pPr>
      <w:r>
        <w:rPr>
          <w:rFonts w:hint="eastAsia" w:cs="宋体" w:eastAsia="宋体" w:ascii="宋体" w:hAnsi="宋体"/>
          <w:b w:val="0"/>
          <w:bCs w:val="0"/>
          <w:i w:val="0"/>
          <w:sz w:val="21"/>
          <w:szCs w:val="24"/>
          <w:lang w:val="en-US" w:eastAsia="zh-CN"/>
        </w:rPr>
        <w:t>若采取补偿性违约金与惩罚性违约金的二分法，并且在违约金调整阶段对不同类型的违约金是否调整以及调整幅度存在差异异化适用。二分法下的规则适用中，有观点认为我国实证法上的违约金从本质上看是补偿性违约金,因此需要通过违约金司法酌减规则将过高的违约金调整至债权人的实际损失相当,也即惩罚性违约金并不适用于违约金司法酌减规则。</w:t>
      </w:r>
      <w:r>
        <w:rPr>
          <w:rStyle w:val="10"/>
          <w:rFonts w:hint="eastAsia" w:cs="宋体" w:eastAsia="宋体" w:ascii="宋体" w:hAnsi="宋体"/>
          <w:b w:val="0"/>
          <w:bCs w:val="0"/>
          <w:i w:val="0"/>
          <w:sz w:val="21"/>
          <w:szCs w:val="24"/>
          <w:lang w:val="en-US" w:eastAsia="zh-CN"/>
        </w:rPr>
        <w:footnoteReference w:id="12"/>
      </w:r>
      <w:r>
        <w:rPr>
          <w:rFonts w:hint="eastAsia" w:cs="宋体" w:eastAsia="宋体" w:ascii="宋体" w:hAnsi="宋体"/>
          <w:b w:val="0"/>
          <w:bCs w:val="0"/>
          <w:i w:val="0"/>
          <w:sz w:val="21"/>
          <w:szCs w:val="24"/>
          <w:lang w:val="en-US" w:eastAsia="zh-CN"/>
        </w:rPr>
        <w:t>而有的学者却提出截然相反的观点，认为补偿性违约金作为当事人对损害赔偿额的预定，不适用违约金的司法酌减规则，而惩罚性违约金通过司法调整规则来达到其所担保的利益与实际遭受损失相当的结果。</w:t>
      </w:r>
      <w:r>
        <w:rPr>
          <w:rStyle w:val="10"/>
          <w:rFonts w:hint="eastAsia" w:cs="宋体" w:eastAsia="宋体" w:ascii="宋体" w:hAnsi="宋体"/>
          <w:b w:val="0"/>
          <w:bCs w:val="0"/>
          <w:i w:val="0"/>
          <w:sz w:val="21"/>
          <w:szCs w:val="24"/>
          <w:lang w:val="en-US" w:eastAsia="zh-CN"/>
        </w:rPr>
        <w:footnoteReference w:id="13"/>
      </w:r>
      <w:r>
        <w:rPr>
          <w:rFonts w:hint="eastAsia" w:cs="宋体" w:eastAsia="宋体" w:ascii="宋体" w:hAnsi="宋体"/>
          <w:b w:val="0"/>
          <w:bCs w:val="0"/>
          <w:i w:val="0"/>
          <w:sz w:val="21"/>
          <w:szCs w:val="24"/>
          <w:lang w:val="en-US" w:eastAsia="zh-CN"/>
        </w:rPr>
        <w:t>此外，“惩罚性违约金”概念本身就存在疑问，有学者主张违约金不属于民法上的惩罚，根本就不具有惩罚性的正当基础。</w:t>
      </w:r>
      <w:r>
        <w:rPr>
          <w:rStyle w:val="10"/>
          <w:rFonts w:hint="eastAsia" w:cs="宋体" w:eastAsia="宋体" w:ascii="宋体" w:hAnsi="宋体"/>
          <w:b w:val="0"/>
          <w:bCs w:val="0"/>
          <w:i w:val="0"/>
          <w:sz w:val="21"/>
          <w:szCs w:val="24"/>
          <w:lang w:val="en-US" w:eastAsia="zh-CN"/>
        </w:rPr>
        <w:footnoteReference w:id="14"/>
      </w:r>
      <w:r>
        <w:rPr>
          <w:rFonts w:hint="eastAsia" w:cs="宋体" w:eastAsia="宋体" w:ascii="宋体" w:hAnsi="宋体"/>
          <w:b w:val="0"/>
          <w:bCs w:val="0"/>
          <w:i w:val="0"/>
          <w:sz w:val="21"/>
          <w:szCs w:val="24"/>
          <w:lang w:val="en-US" w:eastAsia="zh-CN"/>
        </w:rPr>
        <w:t>在学理上适用对象尚不统一的情况下，实践中面对当事人基于意思自治设定的类型各异的违约金时，法官就需要先对当事人约定的违约金进行分类，决定哪种类型的违约金应适用调整规则，哪种违约金不适用调整规则。因此，将违约金的调整规则与违约金的类型识别挂钩，并不能为违约金司法调整规则提供明晰的适用路径。</w:t>
      </w:r>
    </w:p>
    <w:p w14:paraId="78FAC152">
      <w:pPr>
        <w:spacing w:line="240" w:lineRule="auto" w:before="0" w:after="0" w:beforeLines="0" w:afterLines="0"/>
        <w:ind w:firstLineChars="200" w:leftChars="0" w:hangingChars="0"/>
        <w:jc w:val="left"/>
        <w:rPr>
          <w:rFonts w:hint="default" w:cs="宋体"/>
          <w:b w:val="0"/>
          <w:bCs w:val="0"/>
          <w:sz w:val="24"/>
          <w:szCs w:val="24"/>
          <w:lang w:val="en-US" w:eastAsia="zh-CN"/>
        </w:rPr>
      </w:pPr>
      <w:r>
        <w:rPr>
          <w:rFonts w:hint="eastAsia" w:cs="宋体" w:eastAsia="宋体" w:ascii="宋体" w:hAnsi="宋体"/>
          <w:b w:val="0"/>
          <w:bCs w:val="0"/>
          <w:i w:val="0"/>
          <w:sz w:val="21"/>
          <w:szCs w:val="24"/>
          <w:lang w:val="en-US" w:eastAsia="zh-CN"/>
        </w:rPr>
        <w:t>此外，</w:t>
      </w:r>
      <w:r>
        <w:rPr>
          <w:rFonts w:ascii="宋体" w:hAnsi="宋体" w:eastAsia="宋体" w:cs="宋体"/>
          <w:b w:val="0"/>
          <w:bCs w:val="0"/>
          <w:i w:val="0"/>
          <w:sz w:val="21"/>
          <w:szCs w:val="24"/>
        </w:rPr>
        <w:t>“惩罚性违约金”与“补偿性违约金”的传统二分在竞业限制领域均面临解释障碍</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损失比较说”预设损害可量化之前提，而竞业限制违约所造成的商业秘密使用程度、客户流失数量和竞争优势减损均难以精确定量，作为比较基准的损害本身就缺乏可靠的计算方法；“责任并存说”以违约金是否可与法定违约责任并存为区分标准，但法定损害赔偿在竞业限制中本就几乎无从实现。两种标准的共同缺陷在于均采用“事后视角”，试图从违约发生后的状态反推违约金的功能属性而非从违约金约定本身的目的和结构进行事前判断</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而违约金的特点就在于其“预定性”</w:t>
      </w:r>
      <w:r>
        <w:rPr>
          <w:rFonts w:ascii="宋体" w:hAnsi="宋体" w:eastAsia="宋体" w:cs="宋体"/>
          <w:b w:val="0"/>
          <w:bCs w:val="0"/>
          <w:i w:val="0"/>
          <w:sz w:val="21"/>
          <w:szCs w:val="24"/>
        </w:rPr>
        <w:t>。</w:t>
      </w:r>
    </w:p>
    <w:p w14:paraId="39704F0C">
      <w:pPr>
        <w:spacing w:line="240" w:lineRule="auto" w:before="0" w:after="0" w:beforeLines="0" w:afterLines="0"/>
        <w:ind w:firstLineChars="200" w:leftChars="0" w:hangingChars="0"/>
        <w:jc w:val="left"/>
        <w:rPr>
          <w:rFonts w:hint="default" w:eastAsia="宋体"/>
          <w:lang w:val="en-US" w:eastAsia="zh-CN"/>
        </w:rPr>
      </w:pPr>
      <w:r>
        <w:rPr>
          <w:rFonts w:hint="eastAsia" w:cs="宋体" w:eastAsia="宋体" w:ascii="宋体" w:hAnsi="宋体"/>
          <w:b w:val="0"/>
          <w:bCs w:val="0"/>
          <w:i w:val="0"/>
          <w:sz w:val="21"/>
          <w:szCs w:val="24"/>
          <w:lang w:val="en-US" w:eastAsia="zh-CN"/>
        </w:rPr>
        <w:t>本文也认为纠结违约金的类型并无意义，应</w:t>
      </w:r>
      <w:r>
        <w:rPr>
          <w:rFonts w:ascii="宋体" w:hAnsi="宋体" w:eastAsia="宋体" w:cs="宋体"/>
          <w:b w:val="0"/>
          <w:bCs w:val="0"/>
          <w:i w:val="0"/>
          <w:sz w:val="21"/>
          <w:szCs w:val="24"/>
        </w:rPr>
        <w:t>将视角从“类型归类”转向“功能解释”</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法院在适用第585条第2款时不必先对违约金进行非此即彼的类型标签化，</w:t>
      </w:r>
      <w:r>
        <w:rPr>
          <w:rFonts w:hint="eastAsia" w:cs="宋体" w:eastAsia="宋体" w:ascii="宋体" w:hAnsi="宋体"/>
          <w:b w:val="0"/>
          <w:bCs w:val="0"/>
          <w:i w:val="0"/>
          <w:sz w:val="21"/>
          <w:szCs w:val="24"/>
          <w:lang w:val="en-US" w:eastAsia="zh-CN"/>
        </w:rPr>
        <w:t>违约金作为当事人之间合意的产物，不应局限于约定金额与实际损失之间的多少，而是着眼于当事人希望通过违约金约定来实现相应的合同利益的安排，</w:t>
      </w:r>
      <w:r>
        <w:rPr>
          <w:rFonts w:ascii="宋体" w:hAnsi="宋体" w:eastAsia="宋体" w:cs="宋体"/>
          <w:b w:val="0"/>
          <w:bCs w:val="0"/>
          <w:i w:val="0"/>
          <w:sz w:val="21"/>
          <w:szCs w:val="24"/>
        </w:rPr>
        <w:t>通过</w:t>
      </w:r>
      <w:r>
        <w:rPr>
          <w:rFonts w:hint="eastAsia" w:cs="宋体" w:eastAsia="宋体" w:ascii="宋体" w:hAnsi="宋体"/>
          <w:b w:val="0"/>
          <w:bCs w:val="0"/>
          <w:i w:val="0"/>
          <w:sz w:val="21"/>
          <w:szCs w:val="24"/>
          <w:lang w:val="en-US" w:eastAsia="zh-CN"/>
        </w:rPr>
        <w:t>当事人之间的约定以及</w:t>
      </w:r>
      <w:r>
        <w:rPr>
          <w:rFonts w:ascii="宋体" w:hAnsi="宋体" w:eastAsia="宋体" w:cs="宋体"/>
          <w:b w:val="0"/>
          <w:bCs w:val="0"/>
          <w:i w:val="0"/>
          <w:sz w:val="21"/>
          <w:szCs w:val="24"/>
        </w:rPr>
        <w:t>权衡双方利益决定是否调整及如何调整。</w:t>
      </w:r>
    </w:p>
    <w:p w14:paraId="0F6F9A6B">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default" w:ascii="宋体" w:hAnsi="宋体" w:eastAsia="宋体" w:cs="宋体"/>
          <w:b/>
          <w:bCs w:val="0"/>
          <w:kern w:val="2"/>
          <w:sz w:val="24"/>
          <w:szCs w:val="24"/>
          <w:lang w:val="en-US" w:eastAsia="zh-CN" w:bidi="ar-SA"/>
        </w:rPr>
      </w:pPr>
      <w:r>
        <w:rPr>
          <w:rFonts w:hint="eastAsia" w:ascii="宋体" w:hAnsi="宋体" w:cs="宋体" w:eastAsia="楷体"/>
          <w:b/>
          <w:bCs w:val="0"/>
          <w:i w:val="0"/>
          <w:kern w:val="2"/>
          <w:sz w:val="24"/>
          <w:szCs w:val="24"/>
          <w:lang w:val="en-US" w:eastAsia="zh-CN" w:bidi="ar-SA"/>
        </w:rPr>
        <w:t>（</w:t>
      </w:r>
      <w:r>
        <w:rPr>
          <w:rFonts w:hint="eastAsia" w:ascii="宋体" w:hAnsi="宋体" w:eastAsia="楷体" w:cs="宋体"/>
          <w:b/>
          <w:bCs w:val="0"/>
          <w:i w:val="0"/>
          <w:kern w:val="2"/>
          <w:sz w:val="24"/>
          <w:szCs w:val="24"/>
          <w:lang w:val="en-US" w:eastAsia="zh-CN" w:bidi="ar-SA"/>
        </w:rPr>
        <w:t>三</w:t>
      </w:r>
      <w:r>
        <w:rPr>
          <w:rFonts w:hint="eastAsia" w:ascii="宋体" w:hAnsi="宋体" w:cs="宋体" w:eastAsia="楷体"/>
          <w:b/>
          <w:bCs w:val="0"/>
          <w:i w:val="0"/>
          <w:kern w:val="2"/>
          <w:sz w:val="24"/>
          <w:szCs w:val="24"/>
          <w:lang w:val="en-US" w:eastAsia="zh-CN" w:bidi="ar-SA"/>
        </w:rPr>
        <w:t>）</w:t>
      </w:r>
      <w:r>
        <w:rPr>
          <w:rFonts w:hint="eastAsia" w:ascii="宋体" w:hAnsi="宋体" w:eastAsia="楷体" w:cs="宋体"/>
          <w:b/>
          <w:bCs w:val="0"/>
          <w:i w:val="0"/>
          <w:kern w:val="2"/>
          <w:sz w:val="24"/>
          <w:szCs w:val="24"/>
          <w:lang w:val="en-US" w:eastAsia="zh-CN" w:bidi="ar-SA"/>
        </w:rPr>
        <w:t>竞业限制违约金的</w:t>
      </w:r>
      <w:r>
        <w:rPr>
          <w:rFonts w:hint="eastAsia" w:ascii="宋体" w:hAnsi="宋体" w:cs="宋体" w:eastAsia="楷体"/>
          <w:b/>
          <w:bCs w:val="0"/>
          <w:i w:val="0"/>
          <w:kern w:val="2"/>
          <w:sz w:val="24"/>
          <w:szCs w:val="24"/>
          <w:lang w:val="en-US" w:eastAsia="zh-CN" w:bidi="ar-SA"/>
        </w:rPr>
        <w:t>压力属性</w:t>
      </w:r>
    </w:p>
    <w:p w14:paraId="4F57DA73">
      <w:pPr>
        <w:spacing w:line="240" w:lineRule="auto" w:before="0" w:after="0" w:beforeLines="0" w:afterLines="0"/>
        <w:ind w:firstLineChars="200" w:leftChars="0" w:hangingChars="0"/>
        <w:jc w:val="left"/>
        <w:rPr>
          <w:rFonts w:ascii="宋体" w:hAnsi="宋体" w:eastAsia="宋体" w:cs="宋体"/>
          <w:b w:val="0"/>
          <w:bCs w:val="0"/>
          <w:sz w:val="24"/>
          <w:szCs w:val="24"/>
        </w:rPr>
      </w:pPr>
      <w:r>
        <w:rPr>
          <w:rFonts w:hint="eastAsia" w:cs="宋体" w:eastAsia="宋体" w:ascii="宋体" w:hAnsi="宋体"/>
          <w:b w:val="0"/>
          <w:bCs w:val="0"/>
          <w:i w:val="0"/>
          <w:sz w:val="21"/>
          <w:szCs w:val="24"/>
          <w:lang w:val="en-US" w:eastAsia="zh-CN"/>
        </w:rPr>
        <w:t>违约金的压力功能</w:t>
      </w:r>
      <w:r>
        <w:rPr>
          <w:rFonts w:ascii="宋体" w:hAnsi="宋体" w:eastAsia="宋体" w:cs="宋体"/>
          <w:b w:val="0"/>
          <w:bCs w:val="0"/>
          <w:i w:val="0"/>
          <w:sz w:val="21"/>
          <w:szCs w:val="24"/>
        </w:rPr>
        <w:t>是指合同当事人预先约定，通过在违约前设定高额给付义务，对债务人施加心理与经济双重履约压力，以担保合同义务履行的违约金类型。</w:t>
      </w:r>
      <w:r>
        <w:rPr>
          <w:rFonts w:hint="eastAsia" w:cs="宋体" w:eastAsia="宋体" w:ascii="宋体" w:hAnsi="宋体"/>
          <w:b w:val="0"/>
          <w:bCs w:val="0"/>
          <w:i w:val="0"/>
          <w:sz w:val="21"/>
          <w:szCs w:val="24"/>
          <w:lang w:val="en-US" w:eastAsia="zh-CN"/>
        </w:rPr>
        <w:t>如果说惩罚性违约金是从事后债权人可以获得的金额上来看，那么压力性违约金则是从违约事项发生前债务人的角度来进行描述，二者互为一体但侧重面有所不同。这种</w:t>
      </w:r>
      <w:r>
        <w:rPr>
          <w:rFonts w:ascii="宋体" w:hAnsi="宋体" w:eastAsia="宋体" w:cs="宋体"/>
          <w:b w:val="0"/>
          <w:bCs w:val="0"/>
          <w:i w:val="0"/>
          <w:sz w:val="21"/>
          <w:szCs w:val="24"/>
        </w:rPr>
        <w:t>“压力”描述的是违约金在违约前对债务人产生的行为激励效果。竞业限制合同的基本结构</w:t>
      </w:r>
      <w:r>
        <w:rPr>
          <w:rFonts w:hint="eastAsia" w:ascii="宋体" w:hAnsi="宋体" w:eastAsia="宋体" w:cs="宋体"/>
          <w:b w:val="0"/>
          <w:bCs w:val="0"/>
          <w:i w:val="0"/>
          <w:sz w:val="21"/>
          <w:szCs w:val="24"/>
          <w:lang w:val="en-US" w:eastAsia="zh-CN"/>
        </w:rPr>
        <w:t>为</w:t>
      </w:r>
      <w:r>
        <w:rPr>
          <w:rFonts w:ascii="宋体" w:hAnsi="宋体" w:eastAsia="宋体" w:cs="宋体"/>
          <w:b w:val="0"/>
          <w:bCs w:val="0"/>
          <w:i w:val="0"/>
          <w:sz w:val="21"/>
          <w:szCs w:val="24"/>
        </w:rPr>
        <w:t>用人单位负担积极给付义务（</w:t>
      </w:r>
      <w:r>
        <w:rPr>
          <w:rFonts w:hint="eastAsia" w:ascii="宋体" w:hAnsi="宋体" w:eastAsia="宋体" w:cs="宋体"/>
          <w:b w:val="0"/>
          <w:bCs w:val="0"/>
          <w:i w:val="0"/>
          <w:sz w:val="21"/>
          <w:szCs w:val="24"/>
          <w:lang w:val="en-US" w:eastAsia="zh-CN"/>
        </w:rPr>
        <w:t>支付</w:t>
      </w:r>
      <w:r>
        <w:rPr>
          <w:rFonts w:ascii="宋体" w:hAnsi="宋体" w:eastAsia="宋体" w:cs="宋体"/>
          <w:b w:val="0"/>
          <w:bCs w:val="0"/>
          <w:i w:val="0"/>
          <w:sz w:val="21"/>
          <w:szCs w:val="24"/>
        </w:rPr>
        <w:t>补偿金），劳动者负担消极不作为义务（不从事竞业活动</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这一类型</w:t>
      </w:r>
      <w:r>
        <w:rPr>
          <w:rFonts w:ascii="宋体" w:hAnsi="宋体" w:eastAsia="宋体" w:cs="宋体"/>
          <w:b w:val="0"/>
          <w:bCs w:val="0"/>
          <w:i w:val="0"/>
          <w:sz w:val="21"/>
          <w:szCs w:val="24"/>
        </w:rPr>
        <w:t>决定了违约行为的发生无法通过恢复原状</w:t>
      </w:r>
      <w:r>
        <w:rPr>
          <w:rFonts w:hint="eastAsia" w:cs="宋体" w:eastAsia="宋体" w:ascii="宋体" w:hAnsi="宋体"/>
          <w:b w:val="0"/>
          <w:bCs w:val="0"/>
          <w:i w:val="0"/>
          <w:sz w:val="21"/>
          <w:szCs w:val="24"/>
          <w:lang w:val="en-US" w:eastAsia="zh-CN"/>
        </w:rPr>
        <w:t>和继续履行</w:t>
      </w:r>
      <w:r>
        <w:rPr>
          <w:rFonts w:ascii="宋体" w:hAnsi="宋体" w:eastAsia="宋体" w:cs="宋体"/>
          <w:b w:val="0"/>
          <w:bCs w:val="0"/>
          <w:i w:val="0"/>
          <w:sz w:val="21"/>
          <w:szCs w:val="24"/>
        </w:rPr>
        <w:t>来补救，</w:t>
      </w:r>
      <w:r>
        <w:rPr>
          <w:rFonts w:hint="eastAsia" w:cs="宋体" w:eastAsia="宋体" w:ascii="宋体" w:hAnsi="宋体"/>
          <w:b w:val="0"/>
          <w:bCs w:val="0"/>
          <w:i w:val="0"/>
          <w:sz w:val="21"/>
          <w:szCs w:val="24"/>
          <w:lang w:val="en-US" w:eastAsia="zh-CN"/>
        </w:rPr>
        <w:t>同样也无法求助于作为继续履行替代的赔偿损失。</w:t>
      </w:r>
      <w:r>
        <w:rPr>
          <w:rFonts w:ascii="宋体" w:hAnsi="宋体" w:eastAsia="宋体" w:cs="宋体"/>
          <w:b w:val="0"/>
          <w:bCs w:val="0"/>
          <w:i w:val="0"/>
          <w:sz w:val="21"/>
          <w:szCs w:val="24"/>
        </w:rPr>
        <w:t>法定损害赔偿在此领域几乎无从提供有效救济，</w:t>
      </w:r>
      <w:r>
        <w:rPr>
          <w:rFonts w:hint="eastAsia" w:cs="宋体" w:eastAsia="宋体" w:ascii="宋体" w:hAnsi="宋体"/>
          <w:b w:val="0"/>
          <w:bCs w:val="0"/>
          <w:i w:val="0"/>
          <w:sz w:val="21"/>
          <w:szCs w:val="24"/>
          <w:lang w:val="en-US" w:eastAsia="zh-CN"/>
        </w:rPr>
        <w:t>竞业限制合同中</w:t>
      </w:r>
      <w:r>
        <w:rPr>
          <w:rFonts w:ascii="宋体" w:hAnsi="宋体" w:eastAsia="宋体" w:cs="宋体"/>
          <w:b w:val="0"/>
          <w:bCs w:val="0"/>
          <w:i w:val="0"/>
          <w:sz w:val="21"/>
          <w:szCs w:val="24"/>
        </w:rPr>
        <w:t>违约金制度的功能在于弥补</w:t>
      </w:r>
      <w:r>
        <w:rPr>
          <w:rFonts w:hint="eastAsia" w:cs="宋体" w:eastAsia="宋体" w:ascii="宋体" w:hAnsi="宋体"/>
          <w:b w:val="0"/>
          <w:bCs w:val="0"/>
          <w:i w:val="0"/>
          <w:sz w:val="21"/>
          <w:szCs w:val="24"/>
          <w:lang w:val="en-US" w:eastAsia="zh-CN"/>
        </w:rPr>
        <w:t>法定违约责任的</w:t>
      </w:r>
      <w:r>
        <w:rPr>
          <w:rFonts w:ascii="宋体" w:hAnsi="宋体" w:eastAsia="宋体" w:cs="宋体"/>
          <w:b w:val="0"/>
          <w:bCs w:val="0"/>
          <w:i w:val="0"/>
          <w:sz w:val="21"/>
          <w:szCs w:val="24"/>
        </w:rPr>
        <w:t>不足。从目的解释角度，竞业限制违约金约定的合理目的</w:t>
      </w:r>
      <w:r>
        <w:rPr>
          <w:rFonts w:hint="eastAsia" w:cs="宋体" w:eastAsia="宋体" w:ascii="宋体" w:hAnsi="宋体"/>
          <w:b w:val="0"/>
          <w:bCs w:val="0"/>
          <w:i w:val="0"/>
          <w:sz w:val="21"/>
          <w:szCs w:val="24"/>
          <w:lang w:val="en-US" w:eastAsia="zh-CN"/>
        </w:rPr>
        <w:t>是</w:t>
      </w:r>
      <w:r>
        <w:rPr>
          <w:rFonts w:ascii="宋体" w:hAnsi="宋体" w:eastAsia="宋体" w:cs="宋体"/>
          <w:b w:val="0"/>
          <w:bCs w:val="0"/>
          <w:i w:val="0"/>
          <w:sz w:val="21"/>
          <w:szCs w:val="24"/>
        </w:rPr>
        <w:t>在法定损害赔偿难以计算的情形下以约定的经济不利益威慑</w:t>
      </w:r>
      <w:r>
        <w:rPr>
          <w:rFonts w:hint="eastAsia" w:cs="宋体" w:eastAsia="宋体" w:ascii="宋体" w:hAnsi="宋体"/>
          <w:b w:val="0"/>
          <w:bCs w:val="0"/>
          <w:i w:val="0"/>
          <w:sz w:val="21"/>
          <w:szCs w:val="24"/>
          <w:lang w:val="en-US" w:eastAsia="zh-CN"/>
        </w:rPr>
        <w:t>债务人</w:t>
      </w:r>
      <w:r>
        <w:rPr>
          <w:rFonts w:ascii="宋体" w:hAnsi="宋体" w:eastAsia="宋体" w:cs="宋体"/>
          <w:b w:val="0"/>
          <w:bCs w:val="0"/>
          <w:i w:val="0"/>
          <w:sz w:val="21"/>
          <w:szCs w:val="24"/>
        </w:rPr>
        <w:t>遵守不作为义务</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使得债务人能够更加明确、清楚地感知其违约可能引发的不利后果</w:t>
      </w:r>
      <w:r>
        <w:rPr>
          <w:rFonts w:ascii="宋体" w:hAnsi="宋体" w:eastAsia="宋体" w:cs="宋体"/>
          <w:b w:val="0"/>
          <w:bCs w:val="0"/>
          <w:i w:val="0"/>
          <w:sz w:val="21"/>
          <w:szCs w:val="24"/>
        </w:rPr>
        <w:t>。</w:t>
      </w:r>
      <w:r>
        <w:rPr>
          <w:rStyle w:val="10"/>
          <w:rFonts w:ascii="宋体" w:hAnsi="宋体" w:eastAsia="宋体" w:cs="宋体"/>
          <w:b w:val="0"/>
          <w:bCs w:val="0"/>
          <w:i w:val="0"/>
          <w:sz w:val="21"/>
          <w:szCs w:val="24"/>
        </w:rPr>
        <w:footnoteReference w:id="15"/>
      </w:r>
    </w:p>
    <w:p w14:paraId="5DA2E298">
      <w:pPr>
        <w:spacing w:line="240" w:lineRule="auto" w:before="0" w:after="0" w:beforeLines="0" w:afterLines="0"/>
        <w:ind w:firstLineChars="200" w:leftChars="0" w:hangingChars="0"/>
        <w:jc w:val="left"/>
      </w:pPr>
      <w:r>
        <w:rPr>
          <w:rFonts w:hint="eastAsia" w:cs="宋体" w:eastAsia="宋体" w:ascii="宋体" w:hAnsi="宋体"/>
          <w:b w:val="0"/>
          <w:bCs w:val="0"/>
          <w:i w:val="0"/>
          <w:sz w:val="21"/>
          <w:szCs w:val="24"/>
          <w:lang w:val="en-US" w:eastAsia="zh-CN"/>
        </w:rPr>
        <w:t>同时，</w:t>
      </w:r>
      <w:r>
        <w:rPr>
          <w:rFonts w:ascii="宋体" w:hAnsi="宋体" w:eastAsia="宋体" w:cs="宋体"/>
          <w:b w:val="0"/>
          <w:bCs w:val="0"/>
          <w:i w:val="0"/>
          <w:sz w:val="21"/>
          <w:szCs w:val="24"/>
        </w:rPr>
        <w:t>违约金事前施压</w:t>
      </w:r>
      <w:r>
        <w:rPr>
          <w:rFonts w:hint="eastAsia" w:cs="宋体" w:eastAsia="宋体" w:ascii="宋体" w:hAnsi="宋体"/>
          <w:b w:val="0"/>
          <w:bCs w:val="0"/>
          <w:i w:val="0"/>
          <w:sz w:val="21"/>
          <w:szCs w:val="24"/>
          <w:lang w:val="en-US" w:eastAsia="zh-CN"/>
        </w:rPr>
        <w:t>的压力功能</w:t>
      </w:r>
      <w:r>
        <w:rPr>
          <w:rFonts w:ascii="宋体" w:hAnsi="宋体" w:eastAsia="宋体" w:cs="宋体"/>
          <w:b w:val="0"/>
          <w:bCs w:val="0"/>
          <w:i w:val="0"/>
          <w:sz w:val="21"/>
          <w:szCs w:val="24"/>
        </w:rPr>
        <w:t>与事后调整</w:t>
      </w:r>
      <w:r>
        <w:rPr>
          <w:rFonts w:hint="eastAsia" w:cs="宋体" w:eastAsia="宋体" w:ascii="宋体" w:hAnsi="宋体"/>
          <w:b w:val="0"/>
          <w:bCs w:val="0"/>
          <w:i w:val="0"/>
          <w:sz w:val="21"/>
          <w:szCs w:val="24"/>
          <w:lang w:val="en-US" w:eastAsia="zh-CN"/>
        </w:rPr>
        <w:t>的补偿功能</w:t>
      </w:r>
      <w:r>
        <w:rPr>
          <w:rFonts w:ascii="宋体" w:hAnsi="宋体" w:eastAsia="宋体" w:cs="宋体"/>
          <w:b w:val="0"/>
          <w:bCs w:val="0"/>
          <w:i w:val="0"/>
          <w:sz w:val="21"/>
          <w:szCs w:val="24"/>
        </w:rPr>
        <w:t>应予以分离。</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民法典》</w:t>
      </w:r>
      <w:r>
        <w:rPr>
          <w:rFonts w:ascii="宋体" w:hAnsi="宋体" w:eastAsia="宋体" w:cs="宋体"/>
          <w:b w:val="0"/>
          <w:bCs w:val="0"/>
          <w:i w:val="0"/>
          <w:sz w:val="21"/>
          <w:szCs w:val="24"/>
        </w:rPr>
        <w:t>第585条第1款解决违约金是否产生的问题，第2款解决违约金应否调整的问题。在司法调整阶段，法院应首先确认违约金在竞业限制合同中属于压力性违约金，其次承认这一功能定位对调整逻辑的影响</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强调</w:t>
      </w:r>
      <w:r>
        <w:rPr>
          <w:rFonts w:ascii="宋体" w:hAnsi="宋体" w:eastAsia="宋体" w:cs="宋体"/>
          <w:b w:val="0"/>
          <w:bCs w:val="0"/>
          <w:i w:val="0"/>
          <w:sz w:val="21"/>
          <w:szCs w:val="24"/>
        </w:rPr>
        <w:t>压力功能违约金适用利益权衡而非</w:t>
      </w:r>
      <w:r>
        <w:rPr>
          <w:rFonts w:hint="eastAsia" w:cs="宋体" w:eastAsia="宋体" w:ascii="宋体" w:hAnsi="宋体"/>
          <w:b w:val="0"/>
          <w:bCs w:val="0"/>
          <w:i w:val="0"/>
          <w:sz w:val="21"/>
          <w:szCs w:val="24"/>
          <w:lang w:val="en-US" w:eastAsia="zh-CN"/>
        </w:rPr>
        <w:t>只是根据损害数额进行调整的</w:t>
      </w:r>
      <w:r>
        <w:rPr>
          <w:rFonts w:ascii="宋体" w:hAnsi="宋体" w:eastAsia="宋体" w:cs="宋体"/>
          <w:b w:val="0"/>
          <w:bCs w:val="0"/>
          <w:i w:val="0"/>
          <w:sz w:val="21"/>
          <w:szCs w:val="24"/>
        </w:rPr>
        <w:t>逻辑，最后在第585条第2款统一框架内完成调整。功能与数额的分离不意味着功能不影响数额，功能是决定调整逻辑选择的关键变量</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强调</w:t>
      </w:r>
      <w:r>
        <w:rPr>
          <w:rFonts w:ascii="宋体" w:hAnsi="宋体" w:eastAsia="宋体" w:cs="宋体"/>
          <w:b w:val="0"/>
          <w:bCs w:val="0"/>
          <w:i w:val="0"/>
          <w:sz w:val="21"/>
          <w:szCs w:val="24"/>
        </w:rPr>
        <w:t>压力功能</w:t>
      </w:r>
      <w:r>
        <w:rPr>
          <w:rFonts w:hint="eastAsia" w:cs="宋体" w:eastAsia="宋体" w:ascii="宋体" w:hAnsi="宋体"/>
          <w:b w:val="0"/>
          <w:bCs w:val="0"/>
          <w:i w:val="0"/>
          <w:sz w:val="21"/>
          <w:szCs w:val="24"/>
          <w:lang w:val="en-US" w:eastAsia="zh-CN"/>
        </w:rPr>
        <w:t>的</w:t>
      </w:r>
      <w:r>
        <w:rPr>
          <w:rFonts w:ascii="宋体" w:hAnsi="宋体" w:eastAsia="宋体" w:cs="宋体"/>
          <w:b w:val="0"/>
          <w:bCs w:val="0"/>
          <w:i w:val="0"/>
          <w:sz w:val="21"/>
          <w:szCs w:val="24"/>
        </w:rPr>
        <w:t>违约金</w:t>
      </w:r>
      <w:r>
        <w:rPr>
          <w:rFonts w:hint="eastAsia" w:cs="宋体" w:eastAsia="宋体" w:ascii="宋体" w:hAnsi="宋体"/>
          <w:b w:val="0"/>
          <w:bCs w:val="0"/>
          <w:i w:val="0"/>
          <w:sz w:val="21"/>
          <w:szCs w:val="24"/>
          <w:lang w:val="en-US" w:eastAsia="zh-CN"/>
        </w:rPr>
        <w:t>通过在违约前</w:t>
      </w:r>
      <w:r>
        <w:rPr>
          <w:rFonts w:ascii="宋体" w:hAnsi="宋体" w:eastAsia="宋体" w:cs="宋体"/>
          <w:b w:val="0"/>
          <w:bCs w:val="0"/>
          <w:i w:val="0"/>
          <w:sz w:val="21"/>
          <w:szCs w:val="24"/>
        </w:rPr>
        <w:t>以保持合理压力为目标，</w:t>
      </w:r>
      <w:r>
        <w:rPr>
          <w:rFonts w:hint="eastAsia" w:cs="宋体" w:eastAsia="宋体" w:ascii="宋体" w:hAnsi="宋体"/>
          <w:b w:val="0"/>
          <w:bCs w:val="0"/>
          <w:i w:val="0"/>
          <w:sz w:val="21"/>
          <w:szCs w:val="24"/>
          <w:lang w:val="en-US" w:eastAsia="zh-CN"/>
        </w:rPr>
        <w:t>为债权人提供履行担保的功能，</w:t>
      </w:r>
      <w:r>
        <w:rPr>
          <w:rFonts w:ascii="宋体" w:hAnsi="宋体" w:eastAsia="宋体" w:cs="宋体"/>
          <w:b w:val="0"/>
          <w:bCs w:val="0"/>
          <w:i w:val="0"/>
          <w:sz w:val="21"/>
          <w:szCs w:val="24"/>
        </w:rPr>
        <w:t>补偿功能违约金</w:t>
      </w:r>
      <w:r>
        <w:rPr>
          <w:rFonts w:hint="eastAsia" w:cs="宋体" w:eastAsia="宋体" w:ascii="宋体" w:hAnsi="宋体"/>
          <w:b w:val="0"/>
          <w:bCs w:val="0"/>
          <w:i w:val="0"/>
          <w:sz w:val="21"/>
          <w:szCs w:val="24"/>
          <w:lang w:val="en-US" w:eastAsia="zh-CN"/>
        </w:rPr>
        <w:t>更强调违约行为发生后</w:t>
      </w:r>
      <w:r>
        <w:rPr>
          <w:rFonts w:ascii="宋体" w:hAnsi="宋体" w:eastAsia="宋体" w:cs="宋体"/>
          <w:b w:val="0"/>
          <w:bCs w:val="0"/>
          <w:i w:val="0"/>
          <w:sz w:val="21"/>
          <w:szCs w:val="24"/>
        </w:rPr>
        <w:t>以填平损失为目标。</w:t>
      </w:r>
    </w:p>
    <w:p w14:paraId="509BFEA5">
      <w:pPr>
        <w:pStyle w:val="2"/>
        <w:bidi w:val="0"/>
        <w:jc w:val="left"/>
        <w:rPr>
          <w:rFonts w:hint="default" w:ascii="宋体" w:hAnsi="宋体" w:cs="宋体"/>
          <w:b/>
          <w:kern w:val="2"/>
          <w:sz w:val="24"/>
          <w:szCs w:val="24"/>
          <w:lang w:val="en-US" w:eastAsia="zh-CN" w:bidi="ar-SA"/>
        </w:rPr>
        <w:spacing w:line="240" w:lineRule="auto" w:before="0" w:after="0" w:beforeLines="0" w:afterLines="0"/>
        <w:ind w:firstLineChars="200" w:leftChars="0" w:hangingChars="0"/>
      </w:pPr>
      <w:r>
        <w:rPr>
          <w:rFonts w:hint="eastAsia" w:eastAsia="宋体" w:ascii="宋体" w:hAnsi="宋体" w:cs="宋体"/>
          <w:b w:val="0"/>
          <w:bCs/>
          <w:i w:val="0"/>
          <w:sz w:val="21"/>
          <w:lang w:val="en-US" w:eastAsia="zh-CN"/>
        </w:rPr>
        <w:t>三、司法调整的规范基础（585.2）价值基础，适用对象，启动模式，判断方式（65.123）关系</w:t>
      </w:r>
    </w:p>
    <w:p w14:paraId="12059BBB">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eastAsia"/>
          <w:lang w:val="en-US" w:eastAsia="zh-CN"/>
        </w:rPr>
      </w:pPr>
      <w:r>
        <w:rPr>
          <w:rFonts w:hint="eastAsia" w:ascii="宋体" w:hAnsi="宋体" w:cs="宋体" w:eastAsia="楷体"/>
          <w:b/>
          <w:i w:val="0"/>
          <w:kern w:val="2"/>
          <w:sz w:val="24"/>
          <w:szCs w:val="24"/>
          <w:lang w:val="en-US" w:eastAsia="zh-CN" w:bidi="ar-SA"/>
        </w:rPr>
        <w:t>（</w:t>
      </w:r>
      <w:r>
        <w:rPr>
          <w:rFonts w:hint="eastAsia" w:ascii="宋体" w:hAnsi="宋体" w:eastAsia="楷体" w:cs="宋体"/>
          <w:b/>
          <w:i w:val="0"/>
          <w:kern w:val="2"/>
          <w:sz w:val="24"/>
          <w:szCs w:val="24"/>
          <w:lang w:val="en-US" w:eastAsia="zh-CN" w:bidi="ar-SA"/>
        </w:rPr>
        <w:t>一</w:t>
      </w:r>
      <w:r>
        <w:rPr>
          <w:rFonts w:hint="eastAsia" w:ascii="宋体" w:hAnsi="宋体" w:cs="宋体" w:eastAsia="楷体"/>
          <w:b/>
          <w:i w:val="0"/>
          <w:kern w:val="2"/>
          <w:sz w:val="24"/>
          <w:szCs w:val="24"/>
          <w:lang w:val="en-US" w:eastAsia="zh-CN" w:bidi="ar-SA"/>
        </w:rPr>
        <w:t>）《</w:t>
      </w:r>
      <w:r>
        <w:rPr>
          <w:rFonts w:hint="eastAsia" w:ascii="宋体" w:hAnsi="宋体" w:eastAsia="楷体" w:cs="宋体"/>
          <w:b/>
          <w:bCs w:val="0"/>
          <w:i w:val="0"/>
          <w:kern w:val="2"/>
          <w:sz w:val="24"/>
          <w:szCs w:val="24"/>
          <w:lang w:val="en-US" w:eastAsia="zh-CN" w:bidi="ar-SA"/>
        </w:rPr>
        <w:t>民法典》第585条第2款中“损失”的目的解释</w:t>
      </w:r>
    </w:p>
    <w:p w14:paraId="6CBA7851">
      <w:pPr>
        <w:spacing w:line="240" w:lineRule="auto" w:before="0" w:after="0" w:beforeLines="0" w:afterLines="0"/>
        <w:ind w:firstLineChars="200" w:leftChars="0" w:hangingChars="0"/>
        <w:jc w:val="left"/>
        <w:rPr>
          <w:rFonts w:ascii="宋体" w:hAnsi="宋体" w:eastAsia="宋体" w:cs="宋体"/>
          <w:b w:val="0"/>
          <w:bCs w:val="0"/>
          <w:sz w:val="24"/>
          <w:szCs w:val="24"/>
        </w:rPr>
      </w:pPr>
      <w:r>
        <w:rPr>
          <w:rFonts w:ascii="宋体" w:hAnsi="宋体" w:eastAsia="宋体" w:cs="宋体"/>
          <w:b w:val="0"/>
          <w:bCs w:val="0"/>
          <w:i w:val="0"/>
          <w:sz w:val="21"/>
          <w:szCs w:val="24"/>
        </w:rPr>
        <w:t>竞业限制中“损失”的特殊性在一般财产合同中，损失可以在经济上量化</w:t>
      </w:r>
      <w:r>
        <w:rPr>
          <w:rFonts w:hint="eastAsia" w:cs="宋体" w:eastAsia="宋体" w:ascii="宋体" w:hAnsi="宋体"/>
          <w:b w:val="0"/>
          <w:bCs w:val="0"/>
          <w:i w:val="0"/>
          <w:sz w:val="21"/>
          <w:szCs w:val="24"/>
          <w:lang w:val="en-US" w:eastAsia="zh-CN"/>
        </w:rPr>
        <w:t>例如，</w:t>
      </w:r>
      <w:r>
        <w:rPr>
          <w:rFonts w:ascii="宋体" w:hAnsi="宋体" w:eastAsia="宋体" w:cs="宋体"/>
          <w:b w:val="0"/>
          <w:bCs w:val="0"/>
          <w:i w:val="0"/>
          <w:sz w:val="21"/>
          <w:szCs w:val="24"/>
        </w:rPr>
        <w:t>货物的转售差价、工程延误的额外费用、利润的减少</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这些</w:t>
      </w:r>
      <w:r>
        <w:rPr>
          <w:rFonts w:ascii="宋体" w:hAnsi="宋体" w:eastAsia="宋体" w:cs="宋体"/>
          <w:b w:val="0"/>
          <w:bCs w:val="0"/>
          <w:i w:val="0"/>
          <w:sz w:val="21"/>
          <w:szCs w:val="24"/>
        </w:rPr>
        <w:t>均有客观的计算基准可供参照。然而竞业限制以不作为义务为给付标的，其违约所造成的损害呈现出与一般财产合同截然不同的特殊性。</w:t>
      </w:r>
    </w:p>
    <w:p w14:paraId="39E28C5F">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劳动者入职竞争企业后，其在原用人单位所获取的商业秘密和技术信息可能被使用，但这种使用是在竞争企业内部、以隐蔽方式进行的，原用人单位几乎不可能获取直接证据。哪怕劳动者本人无意泄露，其在竞争企业的工作本身就会产生</w:t>
      </w:r>
      <w:r>
        <w:rPr>
          <w:rFonts w:hint="eastAsia" w:cs="宋体" w:eastAsia="宋体" w:ascii="宋体" w:hAnsi="宋体"/>
          <w:b w:val="0"/>
          <w:bCs w:val="0"/>
          <w:i w:val="0"/>
          <w:sz w:val="21"/>
          <w:szCs w:val="24"/>
          <w:lang w:val="en-US" w:eastAsia="zh-CN"/>
        </w:rPr>
        <w:t>知</w:t>
      </w:r>
      <w:r>
        <w:rPr>
          <w:rFonts w:ascii="宋体" w:hAnsi="宋体" w:eastAsia="宋体" w:cs="宋体"/>
          <w:b w:val="0"/>
          <w:bCs w:val="0"/>
          <w:i w:val="0"/>
          <w:sz w:val="21"/>
          <w:szCs w:val="24"/>
        </w:rPr>
        <w:t>识溢出效应</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劳动者不可避免地将原用人单位的商业思维、技术判断和行业洞察带入新的工作环境，这些无形的知识转移同样构成竞争损害，但</w:t>
      </w:r>
      <w:r>
        <w:rPr>
          <w:rFonts w:hint="eastAsia" w:cs="宋体" w:eastAsia="宋体" w:ascii="宋体" w:hAnsi="宋体"/>
          <w:b w:val="0"/>
          <w:bCs w:val="0"/>
          <w:i w:val="0"/>
          <w:sz w:val="21"/>
          <w:szCs w:val="24"/>
          <w:lang w:val="en-US" w:eastAsia="zh-CN"/>
        </w:rPr>
        <w:t>这些无形损害</w:t>
      </w:r>
      <w:r>
        <w:rPr>
          <w:rFonts w:ascii="宋体" w:hAnsi="宋体" w:eastAsia="宋体" w:cs="宋体"/>
          <w:b w:val="0"/>
          <w:bCs w:val="0"/>
          <w:i w:val="0"/>
          <w:sz w:val="21"/>
          <w:szCs w:val="24"/>
        </w:rPr>
        <w:t>在经济学意义上几乎无法被分离和计量。正如美国第七巡回上诉法院在Redmond案中所指出的，“除非被告具有完美地分隔其知识的超凡能力，否则他必然会依靠在原告处获得的商业秘密来做出决定”</w:t>
      </w:r>
      <w:r>
        <w:rPr>
          <w:rStyle w:val="10"/>
          <w:rFonts w:ascii="宋体" w:hAnsi="宋体" w:eastAsia="宋体" w:cs="宋体"/>
          <w:b w:val="0"/>
          <w:bCs w:val="0"/>
          <w:i w:val="0"/>
          <w:sz w:val="21"/>
          <w:szCs w:val="24"/>
        </w:rPr>
        <w:footnoteReference w:id="16"/>
      </w:r>
      <w:r>
        <w:rPr>
          <w:rFonts w:ascii="宋体" w:hAnsi="宋体" w:eastAsia="宋体" w:cs="宋体"/>
          <w:b w:val="0"/>
          <w:bCs w:val="0"/>
          <w:i w:val="0"/>
          <w:sz w:val="21"/>
          <w:szCs w:val="24"/>
        </w:rPr>
        <w:t>。</w:t>
      </w:r>
      <w:r>
        <w:rPr>
          <w:rFonts w:hint="eastAsia" w:cs="宋体" w:eastAsia="宋体" w:ascii="宋体" w:hAnsi="宋体"/>
          <w:b w:val="0"/>
          <w:bCs w:val="0"/>
          <w:i w:val="0"/>
          <w:sz w:val="21"/>
          <w:szCs w:val="24"/>
          <w:lang w:val="en-US" w:eastAsia="zh-CN"/>
        </w:rPr>
        <w:t>有学者通过分析</w:t>
      </w:r>
      <w:r>
        <w:rPr>
          <w:rFonts w:ascii="宋体" w:hAnsi="宋体" w:eastAsia="宋体" w:cs="宋体"/>
          <w:b w:val="0"/>
          <w:bCs w:val="0"/>
          <w:i w:val="0"/>
          <w:sz w:val="21"/>
          <w:szCs w:val="24"/>
        </w:rPr>
        <w:t>607份竞业限制违约金裁判文书，</w:t>
      </w:r>
      <w:r>
        <w:rPr>
          <w:rFonts w:hint="eastAsia" w:cs="宋体" w:eastAsia="宋体" w:ascii="宋体" w:hAnsi="宋体"/>
          <w:b w:val="0"/>
          <w:bCs w:val="0"/>
          <w:i w:val="0"/>
          <w:sz w:val="21"/>
          <w:szCs w:val="24"/>
          <w:lang w:val="en-US" w:eastAsia="zh-CN"/>
        </w:rPr>
        <w:t>发现</w:t>
      </w:r>
      <w:r>
        <w:rPr>
          <w:rFonts w:ascii="宋体" w:hAnsi="宋体" w:eastAsia="宋体" w:cs="宋体"/>
          <w:b w:val="0"/>
          <w:bCs w:val="0"/>
          <w:i w:val="0"/>
          <w:sz w:val="21"/>
          <w:szCs w:val="24"/>
        </w:rPr>
        <w:t>超过80%的用人单位未能就具体损失数额举出充分证据，但这并不妨碍法院在大多数案件中认定违约行为“必然造成一定损害”。法院在实际操作中已经默示承认了损害的存在独立于损害的量化证明。</w:t>
      </w:r>
      <w:r>
        <w:rPr>
          <w:rFonts w:eastAsia="宋体" w:ascii="宋体" w:hAnsi="宋体" w:cs="宋体"/>
          <w:rStyle w:val="10"/>
          <w:b w:val="0"/>
          <w:i w:val="0"/>
          <w:sz w:val="21"/>
        </w:rPr>
        <w:footnoteReference w:id="17"/>
      </w:r>
    </w:p>
    <w:p w14:paraId="5720BD51">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竞争利益的减损不是一次性事件，而是在劳动者离职后的相当长时间内持续发生的。一个核心技术人员离职后，原用人单位的研发进度可能延迟，产品的市场窗口可能错过，客户可能逐渐转向竞争对手，这些损害在短期内难以察觉，在长期内难以归因到具体的违约行为。在技术迭代极快的行业中，六个月的市场窗口错失可能导致一个产品线的彻底失败；在以客户资源为核心的行业中，一个关键销售人员离职带走的客户资源可能在离职后持续产生订单流失，而这些流失往往无法与正常的客户流动区分开来。正是这种累积性与远期性，使得法院在事后以实际已发生的损失为基准来进行违约金调整时，系低估了违约的真实损害，裁判时能够被看到的损害只是全部损害的一小部分</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而难以准确界定预期风险</w:t>
      </w:r>
      <w:r>
        <w:rPr>
          <w:rFonts w:ascii="宋体" w:hAnsi="宋体" w:eastAsia="宋体" w:cs="宋体"/>
          <w:b w:val="0"/>
          <w:bCs w:val="0"/>
          <w:i w:val="0"/>
          <w:sz w:val="21"/>
          <w:szCs w:val="24"/>
        </w:rPr>
        <w:t>。</w:t>
      </w:r>
    </w:p>
    <w:p w14:paraId="410E5E71">
      <w:pPr>
        <w:spacing w:line="240" w:lineRule="auto" w:before="0" w:after="0" w:beforeLines="0" w:afterLines="0"/>
        <w:ind w:firstLineChars="200" w:leftChars="0" w:hangingChars="0"/>
        <w:jc w:val="left"/>
        <w:rPr>
          <w:rFonts w:hint="eastAsia" w:cs="宋体"/>
          <w:b w:val="0"/>
          <w:bCs w:val="0"/>
          <w:sz w:val="24"/>
          <w:szCs w:val="24"/>
          <w:lang w:eastAsia="zh-CN"/>
        </w:rPr>
      </w:pPr>
      <w:r>
        <w:rPr>
          <w:rFonts w:hint="eastAsia" w:cs="宋体" w:eastAsia="宋体" w:ascii="宋体" w:hAnsi="宋体"/>
          <w:b w:val="0"/>
          <w:bCs w:val="0"/>
          <w:i w:val="0"/>
          <w:sz w:val="21"/>
          <w:szCs w:val="24"/>
          <w:lang w:val="en-US" w:eastAsia="zh-CN"/>
        </w:rPr>
        <w:t>同时，</w:t>
      </w:r>
      <w:r>
        <w:rPr>
          <w:rFonts w:ascii="宋体" w:hAnsi="宋体" w:eastAsia="宋体" w:cs="宋体"/>
          <w:b w:val="0"/>
          <w:bCs w:val="0"/>
          <w:i w:val="0"/>
          <w:sz w:val="21"/>
          <w:szCs w:val="24"/>
        </w:rPr>
        <w:t>一旦商业秘密被泄露或被竞争对手知悉，“恢复原状”便永远不可</w:t>
      </w:r>
      <w:r>
        <w:rPr>
          <w:rFonts w:hint="eastAsia" w:cs="宋体" w:eastAsia="宋体" w:ascii="宋体" w:hAnsi="宋体"/>
          <w:b w:val="0"/>
          <w:bCs w:val="0"/>
          <w:i w:val="0"/>
          <w:sz w:val="21"/>
          <w:szCs w:val="24"/>
          <w:lang w:val="en-US" w:eastAsia="zh-CN"/>
        </w:rPr>
        <w:t>能。虽然</w:t>
      </w:r>
      <w:r>
        <w:rPr>
          <w:rFonts w:ascii="宋体" w:hAnsi="宋体" w:eastAsia="宋体" w:cs="宋体"/>
          <w:b w:val="0"/>
          <w:bCs w:val="0"/>
          <w:i w:val="0"/>
          <w:sz w:val="21"/>
          <w:szCs w:val="24"/>
        </w:rPr>
        <w:t>制度上存在通过替代履行恢复至损害前状态的路径，但商业秘密一旦进入竞争对手的知识结构便无法被有效收回。竞业限制违约金在功能上是禁令救济在合同层面的等价物，通过事前威慑来防止损害发生，其植根于损害一旦发生便无法有效救济这一特征。</w:t>
      </w:r>
      <w:r>
        <w:rPr>
          <w:rFonts w:hint="eastAsia" w:cs="宋体" w:eastAsia="宋体" w:ascii="宋体" w:hAnsi="宋体"/>
          <w:b w:val="0"/>
          <w:bCs w:val="0"/>
          <w:i w:val="0"/>
          <w:sz w:val="21"/>
          <w:szCs w:val="24"/>
          <w:lang w:val="en-US" w:eastAsia="zh-CN"/>
        </w:rPr>
        <w:t>因此以</w:t>
      </w:r>
      <w:r>
        <w:rPr>
          <w:rFonts w:ascii="宋体" w:hAnsi="宋体" w:eastAsia="宋体" w:cs="宋体"/>
          <w:b w:val="0"/>
          <w:bCs w:val="0"/>
          <w:i w:val="0"/>
          <w:sz w:val="21"/>
          <w:szCs w:val="24"/>
        </w:rPr>
        <w:t>“</w:t>
      </w:r>
      <w:r>
        <w:rPr>
          <w:rFonts w:hint="eastAsia" w:cs="宋体" w:eastAsia="宋体" w:ascii="宋体" w:hAnsi="宋体"/>
          <w:b w:val="0"/>
          <w:bCs w:val="0"/>
          <w:i w:val="0"/>
          <w:sz w:val="21"/>
          <w:szCs w:val="24"/>
          <w:lang w:val="en-US" w:eastAsia="zh-CN"/>
        </w:rPr>
        <w:t>造成的损失</w:t>
      </w:r>
      <w:r>
        <w:rPr>
          <w:rFonts w:ascii="宋体" w:hAnsi="宋体" w:eastAsia="宋体" w:cs="宋体"/>
          <w:b w:val="0"/>
          <w:bCs w:val="0"/>
          <w:i w:val="0"/>
          <w:sz w:val="21"/>
          <w:szCs w:val="24"/>
        </w:rPr>
        <w:t>”为核心的违约金调整方法在竞业限制领域从逻辑起点上就已偏离了制度的功能定位</w:t>
      </w:r>
      <w:r>
        <w:rPr>
          <w:rFonts w:hint="eastAsia" w:cs="宋体" w:eastAsia="宋体" w:ascii="宋体" w:hAnsi="宋体"/>
          <w:b w:val="0"/>
          <w:bCs w:val="0"/>
          <w:i w:val="0"/>
          <w:sz w:val="21"/>
          <w:szCs w:val="24"/>
          <w:lang w:eastAsia="zh-CN"/>
        </w:rPr>
        <w:t>。</w:t>
      </w:r>
    </w:p>
    <w:p w14:paraId="1AA0C43B">
      <w:pPr>
        <w:spacing w:line="240" w:lineRule="auto" w:before="0" w:after="0" w:beforeLines="0" w:afterLines="0"/>
        <w:ind w:firstLineChars="200" w:leftChars="0" w:hangingChars="0"/>
        <w:jc w:val="left"/>
        <w:rPr>
          <w:rFonts w:hint="eastAsia" w:ascii="宋体" w:hAnsi="宋体" w:eastAsia="宋体" w:cs="宋体"/>
          <w:b w:val="0"/>
          <w:bCs w:val="0"/>
          <w:sz w:val="24"/>
          <w:szCs w:val="24"/>
          <w:lang w:val="en-US" w:eastAsia="zh-CN"/>
        </w:rPr>
      </w:pPr>
      <w:r>
        <w:rPr>
          <w:rFonts w:ascii="宋体" w:hAnsi="宋体" w:eastAsia="楷体" w:cs="宋体"/>
          <w:b/>
          <w:bCs/>
          <w:i w:val="0"/>
          <w:sz w:val="24"/>
          <w:szCs w:val="24"/>
        </w:rPr>
        <w:t>（二）</w:t>
      </w:r>
      <w:r>
        <w:rPr>
          <w:rFonts w:hint="eastAsia" w:ascii="宋体" w:hAnsi="宋体" w:eastAsia="楷体" w:cs="宋体"/>
          <w:b/>
          <w:bCs w:val="0"/>
          <w:i w:val="0"/>
          <w:sz w:val="24"/>
          <w:szCs w:val="24"/>
          <w:lang w:val="en-US" w:eastAsia="zh-CN"/>
        </w:rPr>
        <w:t>劳动竞业限制与商事竞业禁止的类型区分</w:t>
      </w:r>
    </w:p>
    <w:p w14:paraId="6BBAC593">
      <w:pPr>
        <w:spacing w:line="240" w:lineRule="auto" w:before="0" w:after="0" w:beforeLines="0" w:afterLines="0"/>
        <w:ind w:firstLineChars="200" w:leftChars="0" w:hangingChars="0"/>
        <w:jc w:val="left"/>
      </w:pPr>
      <w:r>
        <w:rPr>
          <w:rFonts w:hint="eastAsia" w:ascii="宋体" w:hAnsi="宋体" w:eastAsia="宋体" w:cs="宋体"/>
          <w:b w:val="0"/>
          <w:bCs w:val="0"/>
          <w:i w:val="0"/>
          <w:sz w:val="21"/>
          <w:szCs w:val="24"/>
          <w:lang w:val="en-US" w:eastAsia="zh-CN"/>
        </w:rPr>
        <w:t>在进一步展开“非典型损害”概念之前，有必要对两种竞业限制进行类型化区分。这一区分在裁判实践中已经存在，但尚未被充分理论化。从现行法体系来看，竞业限制存在两种法律基础迥异的类型</w:t>
      </w:r>
      <w:r>
        <w:rPr>
          <w:rFonts w:hint="eastAsia" w:cs="宋体" w:eastAsia="宋体" w:ascii="宋体" w:hAnsi="宋体"/>
          <w:b w:val="0"/>
          <w:bCs w:val="0"/>
          <w:i w:val="0"/>
          <w:sz w:val="21"/>
          <w:szCs w:val="24"/>
          <w:lang w:val="en-US" w:eastAsia="zh-CN"/>
        </w:rPr>
        <w:t>.</w:t>
      </w:r>
      <w:r>
        <w:rPr>
          <w:rFonts w:hint="eastAsia" w:ascii="宋体" w:hAnsi="宋体" w:eastAsia="宋体" w:cs="宋体"/>
          <w:b w:val="0"/>
          <w:bCs w:val="0"/>
          <w:i w:val="0"/>
          <w:sz w:val="21"/>
          <w:szCs w:val="24"/>
          <w:lang w:val="en-US" w:eastAsia="zh-CN"/>
        </w:rPr>
        <w:t>以《劳动合同法》第23-24条为基础的劳动</w:t>
      </w:r>
      <w:r>
        <w:rPr>
          <w:rFonts w:hint="eastAsia" w:cs="宋体" w:eastAsia="宋体" w:ascii="宋体" w:hAnsi="宋体"/>
          <w:b w:val="0"/>
          <w:bCs w:val="0"/>
          <w:i w:val="0"/>
          <w:sz w:val="21"/>
          <w:szCs w:val="24"/>
          <w:lang w:val="en-US" w:eastAsia="zh-CN"/>
        </w:rPr>
        <w:t>合同</w:t>
      </w:r>
      <w:r>
        <w:rPr>
          <w:rFonts w:hint="eastAsia" w:ascii="宋体" w:hAnsi="宋体" w:eastAsia="宋体" w:cs="宋体"/>
          <w:b w:val="0"/>
          <w:bCs w:val="0"/>
          <w:i w:val="0"/>
          <w:sz w:val="21"/>
          <w:szCs w:val="24"/>
          <w:lang w:val="en-US" w:eastAsia="zh-CN"/>
        </w:rPr>
        <w:t>中的竞业限制，以及以《民法典》合同编为基础的股权转让等商事交易中的竞业禁止。两种类型在缔约主体地位、义务对价结构和司法调整逻辑上均存在差异，将二者混同处理是导致裁判标准不一的重要根源</w:t>
      </w:r>
      <w:r>
        <w:rPr>
          <w:rFonts w:ascii="宋体" w:hAnsi="宋体" w:eastAsia="宋体" w:cs="宋体"/>
          <w:b w:val="0"/>
          <w:bCs w:val="0"/>
          <w:i w:val="0"/>
          <w:sz w:val="21"/>
          <w:szCs w:val="24"/>
        </w:rPr>
        <w:t>。</w:t>
      </w:r>
      <w:r>
        <w:rPr>
          <w:rFonts w:eastAsia="宋体" w:ascii="宋体" w:hAnsi="宋体" w:cs="宋体"/>
          <w:rStyle w:val="10"/>
          <w:b w:val="0"/>
          <w:i w:val="0"/>
          <w:sz w:val="21"/>
        </w:rPr>
        <w:footnoteReference w:id="18"/>
      </w:r>
    </w:p>
    <w:p w14:paraId="7891D92F">
      <w:pPr>
        <w:spacing w:line="240" w:lineRule="auto" w:before="0" w:after="0" w:beforeLines="0" w:afterLines="0"/>
        <w:ind w:firstLineChars="200" w:leftChars="0" w:hangingChars="0"/>
        <w:jc w:val="left"/>
        <w:rPr>
          <w:rFonts w:ascii="宋体" w:hAnsi="宋体" w:eastAsia="宋体" w:cs="宋体"/>
          <w:b w:val="0"/>
          <w:bCs w:val="0"/>
          <w:sz w:val="24"/>
          <w:szCs w:val="24"/>
        </w:rPr>
      </w:pPr>
      <w:r>
        <w:rPr>
          <w:rFonts w:ascii="宋体" w:hAnsi="宋体" w:eastAsia="宋体" w:cs="宋体"/>
          <w:b w:val="0"/>
          <w:bCs w:val="0"/>
          <w:i w:val="0"/>
          <w:sz w:val="21"/>
          <w:szCs w:val="24"/>
        </w:rPr>
        <w:t>第一类是劳动</w:t>
      </w:r>
      <w:r>
        <w:rPr>
          <w:rFonts w:hint="eastAsia" w:cs="宋体" w:eastAsia="宋体" w:ascii="宋体" w:hAnsi="宋体"/>
          <w:b w:val="0"/>
          <w:bCs w:val="0"/>
          <w:i w:val="0"/>
          <w:sz w:val="21"/>
          <w:szCs w:val="24"/>
          <w:lang w:val="en-US" w:eastAsia="zh-CN"/>
        </w:rPr>
        <w:t>合同</w:t>
      </w:r>
      <w:r>
        <w:rPr>
          <w:rFonts w:ascii="宋体" w:hAnsi="宋体" w:eastAsia="宋体" w:cs="宋体"/>
          <w:b w:val="0"/>
          <w:bCs w:val="0"/>
          <w:i w:val="0"/>
          <w:sz w:val="21"/>
          <w:szCs w:val="24"/>
        </w:rPr>
        <w:t>中的竞业限制。此类竞业限制以劳动关系为基础，缔约双方地位不对等，劳动者在签约时通常处于“要么全盘接受、要么放弃工作机会”的境地。补偿金制度是此类竞业限制的法定构成要素，用人单位必须为劳动者的不作为义务支付对价，且补偿金标准受到最低工资标准的间接约束。从案例实证来看，此类竞业限制中的违约金调整幅度最大。</w:t>
      </w:r>
      <w:r>
        <w:rPr>
          <w:rFonts w:hint="eastAsia" w:cs="宋体" w:eastAsia="宋体" w:ascii="宋体" w:hAnsi="宋体"/>
          <w:b w:val="0"/>
          <w:bCs w:val="0"/>
          <w:i w:val="0"/>
          <w:sz w:val="21"/>
          <w:szCs w:val="24"/>
          <w:lang w:val="en-US" w:eastAsia="zh-CN"/>
        </w:rPr>
        <w:t>例如在有的案例中，双方</w:t>
      </w:r>
      <w:r>
        <w:rPr>
          <w:rFonts w:ascii="宋体" w:hAnsi="宋体" w:eastAsia="宋体" w:cs="宋体"/>
          <w:b w:val="0"/>
          <w:bCs w:val="0"/>
          <w:i w:val="0"/>
          <w:sz w:val="21"/>
          <w:szCs w:val="24"/>
        </w:rPr>
        <w:t>约定了补偿金300元/月</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低于最低工资标准）但是却将</w:t>
      </w:r>
      <w:r>
        <w:rPr>
          <w:rFonts w:ascii="宋体" w:hAnsi="宋体" w:eastAsia="宋体" w:cs="宋体"/>
          <w:b w:val="0"/>
          <w:bCs w:val="0"/>
          <w:i w:val="0"/>
          <w:sz w:val="21"/>
          <w:szCs w:val="24"/>
        </w:rPr>
        <w:t>违约金</w:t>
      </w:r>
      <w:r>
        <w:rPr>
          <w:rFonts w:hint="eastAsia" w:cs="宋体" w:eastAsia="宋体" w:ascii="宋体" w:hAnsi="宋体"/>
          <w:b w:val="0"/>
          <w:bCs w:val="0"/>
          <w:i w:val="0"/>
          <w:sz w:val="21"/>
          <w:szCs w:val="24"/>
          <w:lang w:val="en-US" w:eastAsia="zh-CN"/>
        </w:rPr>
        <w:t>的金额定为</w:t>
      </w:r>
      <w:r>
        <w:rPr>
          <w:rFonts w:ascii="宋体" w:hAnsi="宋体" w:eastAsia="宋体" w:cs="宋体"/>
          <w:b w:val="0"/>
          <w:bCs w:val="0"/>
          <w:i w:val="0"/>
          <w:sz w:val="21"/>
          <w:szCs w:val="24"/>
        </w:rPr>
        <w:t>30万元，</w:t>
      </w:r>
      <w:r>
        <w:rPr>
          <w:rFonts w:hint="eastAsia" w:cs="宋体" w:eastAsia="宋体" w:ascii="宋体" w:hAnsi="宋体"/>
          <w:b w:val="0"/>
          <w:bCs w:val="0"/>
          <w:i w:val="0"/>
          <w:sz w:val="21"/>
          <w:szCs w:val="24"/>
          <w:lang w:val="en-US" w:eastAsia="zh-CN"/>
        </w:rPr>
        <w:t>并且</w:t>
      </w:r>
      <w:r>
        <w:rPr>
          <w:rFonts w:ascii="宋体" w:hAnsi="宋体" w:eastAsia="宋体" w:cs="宋体"/>
          <w:b w:val="0"/>
          <w:bCs w:val="0"/>
          <w:i w:val="0"/>
          <w:sz w:val="21"/>
          <w:szCs w:val="24"/>
        </w:rPr>
        <w:t>用人单位从未实际支付补偿金，法院调减99.4%</w:t>
      </w:r>
      <w:r>
        <w:rPr>
          <w:rStyle w:val="10"/>
          <w:rFonts w:ascii="宋体" w:hAnsi="宋体" w:eastAsia="宋体" w:cs="宋体"/>
          <w:b w:val="0"/>
          <w:bCs w:val="0"/>
          <w:i w:val="0"/>
          <w:sz w:val="21"/>
          <w:szCs w:val="24"/>
        </w:rPr>
        <w:footnoteReference w:id="19"/>
      </w:r>
      <w:r>
        <w:rPr>
          <w:rFonts w:ascii="宋体" w:hAnsi="宋体" w:eastAsia="宋体" w:cs="宋体"/>
          <w:b w:val="0"/>
          <w:bCs w:val="0"/>
          <w:i w:val="0"/>
          <w:sz w:val="21"/>
          <w:szCs w:val="24"/>
        </w:rPr>
        <w:t>。</w:t>
      </w:r>
      <w:r>
        <w:rPr>
          <w:rFonts w:hint="eastAsia" w:cs="宋体" w:eastAsia="宋体" w:ascii="宋体" w:hAnsi="宋体"/>
          <w:b w:val="0"/>
          <w:bCs w:val="0"/>
          <w:i w:val="0"/>
          <w:sz w:val="21"/>
          <w:szCs w:val="24"/>
          <w:lang w:val="en-US" w:eastAsia="zh-CN"/>
        </w:rPr>
        <w:t>这种极端下调违约金的案件特点是</w:t>
      </w:r>
      <w:r>
        <w:rPr>
          <w:rFonts w:ascii="宋体" w:hAnsi="宋体" w:eastAsia="宋体" w:cs="宋体"/>
          <w:b w:val="0"/>
          <w:bCs w:val="0"/>
          <w:i w:val="0"/>
          <w:sz w:val="21"/>
          <w:szCs w:val="24"/>
        </w:rPr>
        <w:t>补偿金水平极低，违约金数额极高，两者之间的比例悬殊构成调整的主要推动力。</w:t>
      </w:r>
      <w:r>
        <w:rPr>
          <w:rFonts w:hint="eastAsia" w:cs="宋体" w:eastAsia="宋体" w:ascii="宋体" w:hAnsi="宋体"/>
          <w:b w:val="0"/>
          <w:bCs w:val="0"/>
          <w:i w:val="0"/>
          <w:sz w:val="21"/>
          <w:szCs w:val="24"/>
          <w:lang w:val="en-US" w:eastAsia="zh-CN"/>
        </w:rPr>
        <w:t>这种劳动合同中的竞业限制条款实际上是</w:t>
      </w:r>
      <w:r>
        <w:rPr>
          <w:rFonts w:ascii="宋体" w:hAnsi="宋体" w:eastAsia="宋体" w:cs="宋体"/>
          <w:b w:val="0"/>
          <w:bCs w:val="0"/>
          <w:i w:val="0"/>
          <w:sz w:val="21"/>
          <w:szCs w:val="24"/>
        </w:rPr>
        <w:t>部分用人单位将竞业限制作为格式条款适用于根本不接触商业秘密的普通员工，</w:t>
      </w:r>
      <w:r>
        <w:rPr>
          <w:rFonts w:hint="eastAsia" w:cs="宋体" w:eastAsia="宋体" w:ascii="宋体" w:hAnsi="宋体"/>
          <w:b w:val="0"/>
          <w:bCs w:val="0"/>
          <w:i w:val="0"/>
          <w:sz w:val="21"/>
          <w:szCs w:val="24"/>
          <w:lang w:val="en-US" w:eastAsia="zh-CN"/>
        </w:rPr>
        <w:t>劳</w:t>
      </w:r>
      <w:r>
        <w:rPr>
          <w:rFonts w:ascii="宋体" w:hAnsi="宋体" w:eastAsia="宋体" w:cs="宋体"/>
          <w:b w:val="0"/>
          <w:bCs w:val="0"/>
          <w:i w:val="0"/>
          <w:sz w:val="21"/>
          <w:szCs w:val="24"/>
        </w:rPr>
        <w:t>动者实际上被剥夺了在相关行业中的就业机会</w:t>
      </w:r>
      <w:r>
        <w:rPr>
          <w:rFonts w:hint="eastAsia" w:cs="宋体" w:eastAsia="宋体" w:ascii="宋体" w:hAnsi="宋体"/>
          <w:b w:val="0"/>
          <w:bCs w:val="0"/>
          <w:i w:val="0"/>
          <w:sz w:val="21"/>
          <w:szCs w:val="24"/>
          <w:lang w:eastAsia="zh-CN"/>
        </w:rPr>
        <w:t>，</w:t>
      </w:r>
      <w:r>
        <w:rPr>
          <w:rFonts w:eastAsia="宋体" w:ascii="宋体" w:hAnsi="宋体" w:cs="宋体"/>
          <w:rStyle w:val="10"/>
          <w:b w:val="0"/>
          <w:i w:val="0"/>
          <w:sz w:val="21"/>
        </w:rPr>
        <w:footnoteReference w:id="20"/>
      </w:r>
      <w:r>
        <w:rPr>
          <w:rFonts w:ascii="宋体" w:hAnsi="宋体" w:eastAsia="宋体" w:cs="宋体"/>
          <w:b w:val="0"/>
          <w:bCs w:val="0"/>
          <w:i w:val="0"/>
          <w:sz w:val="21"/>
          <w:szCs w:val="24"/>
        </w:rPr>
        <w:t>此类情形下违约金的正当性基础从根本上被削弱。</w:t>
      </w:r>
    </w:p>
    <w:p w14:paraId="44C6BAB3">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第二类是股权转让等商事交易中的竞业禁止。此类竞业禁止以股权转让、资产收购等商业交易为基础，缔约双方为平等商事主体，竞业禁止义务是交易对价的一部分，转让方通过承诺不竞争来换取股权转让款。此类竞业禁止的调整幅度明显低于劳动竞业限制。</w:t>
      </w:r>
      <w:r>
        <w:rPr>
          <w:rFonts w:hint="eastAsia" w:cs="宋体" w:eastAsia="宋体" w:ascii="宋体" w:hAnsi="宋体"/>
          <w:b w:val="0"/>
          <w:bCs w:val="0"/>
          <w:i w:val="0"/>
          <w:sz w:val="21"/>
          <w:szCs w:val="24"/>
          <w:lang w:val="en-US" w:eastAsia="zh-CN"/>
        </w:rPr>
        <w:t>例如</w:t>
      </w:r>
      <w:r>
        <w:rPr>
          <w:rFonts w:ascii="宋体" w:hAnsi="宋体" w:eastAsia="宋体" w:cs="宋体"/>
          <w:b w:val="0"/>
          <w:bCs w:val="0"/>
          <w:i w:val="0"/>
          <w:sz w:val="21"/>
          <w:szCs w:val="24"/>
        </w:rPr>
        <w:t>在（2016）黔01民终440号案中，转让方以18万元转让股权并承诺不竞争，违约金150万元</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最后</w:t>
      </w:r>
      <w:r>
        <w:rPr>
          <w:rFonts w:ascii="宋体" w:hAnsi="宋体" w:eastAsia="宋体" w:cs="宋体"/>
          <w:b w:val="0"/>
          <w:bCs w:val="0"/>
          <w:i w:val="0"/>
          <w:sz w:val="21"/>
          <w:szCs w:val="24"/>
        </w:rPr>
        <w:t>法院调减至100万元。</w:t>
      </w:r>
      <w:r>
        <w:rPr>
          <w:rStyle w:val="10"/>
          <w:rFonts w:ascii="宋体" w:hAnsi="宋体" w:eastAsia="宋体" w:cs="宋体"/>
          <w:b w:val="0"/>
          <w:bCs w:val="0"/>
          <w:i w:val="0"/>
          <w:sz w:val="21"/>
          <w:szCs w:val="24"/>
        </w:rPr>
        <w:footnoteReference w:id="21"/>
      </w:r>
      <w:r>
        <w:rPr>
          <w:rFonts w:ascii="宋体" w:hAnsi="宋体" w:eastAsia="宋体" w:cs="宋体"/>
          <w:b w:val="0"/>
          <w:bCs w:val="0"/>
          <w:i w:val="0"/>
          <w:sz w:val="21"/>
          <w:szCs w:val="24"/>
        </w:rPr>
        <w:t>法院</w:t>
      </w:r>
      <w:r>
        <w:rPr>
          <w:rFonts w:hint="eastAsia" w:cs="宋体" w:eastAsia="宋体" w:ascii="宋体" w:hAnsi="宋体"/>
          <w:b w:val="0"/>
          <w:bCs w:val="0"/>
          <w:i w:val="0"/>
          <w:sz w:val="21"/>
          <w:szCs w:val="24"/>
          <w:lang w:val="en-US" w:eastAsia="zh-CN"/>
        </w:rPr>
        <w:t>在论证过程中</w:t>
      </w:r>
      <w:r>
        <w:rPr>
          <w:rFonts w:ascii="宋体" w:hAnsi="宋体" w:eastAsia="宋体" w:cs="宋体"/>
          <w:b w:val="0"/>
          <w:bCs w:val="0"/>
          <w:i w:val="0"/>
          <w:sz w:val="21"/>
          <w:szCs w:val="24"/>
        </w:rPr>
        <w:t>首先明确区分了商事竞业禁止与劳动竞业限制的法律适用</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前者适用《民法典》合同编而非《劳动合同法》</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其次强调了违约金制度“避免举证困难”的功能，最后以股权转让对价18万元为参照认定150万元“显属过高”。</w:t>
      </w:r>
      <w:r>
        <w:rPr>
          <w:rFonts w:hint="eastAsia" w:cs="宋体" w:eastAsia="宋体" w:ascii="宋体" w:hAnsi="宋体"/>
          <w:b w:val="0"/>
          <w:bCs w:val="0"/>
          <w:i w:val="0"/>
          <w:sz w:val="21"/>
          <w:szCs w:val="24"/>
          <w:lang w:val="en-US" w:eastAsia="zh-CN"/>
        </w:rPr>
        <w:t>但是，</w:t>
      </w:r>
      <w:r>
        <w:rPr>
          <w:rFonts w:ascii="宋体" w:hAnsi="宋体" w:eastAsia="宋体" w:cs="宋体"/>
          <w:b w:val="0"/>
          <w:bCs w:val="0"/>
          <w:i w:val="0"/>
          <w:sz w:val="21"/>
          <w:szCs w:val="24"/>
        </w:rPr>
        <w:t>法院将股权转让对价作为调整的主要参照，而未系统考量违约造成的竞争利益损害。18万元是股权转让的市场价格而非“不竞争义务”的独立定价，将二者等同可能低估了竞业禁止义务在股权转让交易中的独立价值。</w:t>
      </w:r>
    </w:p>
    <w:p w14:paraId="591EC75D">
      <w:pPr>
        <w:spacing w:line="240" w:lineRule="auto" w:before="0" w:after="0" w:beforeLines="0" w:afterLines="0"/>
        <w:ind w:firstLineChars="200" w:leftChars="0" w:hangingChars="0"/>
        <w:jc w:val="left"/>
        <w:rPr>
          <w:rFonts w:ascii="宋体" w:hAnsi="宋体" w:eastAsia="宋体" w:cs="宋体"/>
          <w:b w:val="0"/>
          <w:bCs w:val="0"/>
          <w:sz w:val="24"/>
          <w:szCs w:val="24"/>
        </w:rPr>
      </w:pPr>
      <w:r>
        <w:rPr>
          <w:rFonts w:ascii="宋体" w:hAnsi="宋体" w:eastAsia="宋体" w:cs="宋体"/>
          <w:b w:val="0"/>
          <w:bCs w:val="0"/>
          <w:i w:val="0"/>
          <w:sz w:val="21"/>
          <w:szCs w:val="24"/>
        </w:rPr>
        <w:t>两种类型的区分对“损失”的解释具有直接意义。在劳动竞业限制中，缔约地位的不对等要求法院对“损失”采取更为审慎的解释，不能以当事人约定的违约金数额反推损失的大小，因为该约定可能并非平等协商的产物；补偿金</w:t>
      </w:r>
      <w:r>
        <w:rPr>
          <w:rFonts w:hint="eastAsia" w:cs="宋体" w:eastAsia="宋体" w:ascii="宋体" w:hAnsi="宋体"/>
          <w:b w:val="0"/>
          <w:bCs w:val="0"/>
          <w:i w:val="0"/>
          <w:sz w:val="21"/>
          <w:szCs w:val="24"/>
          <w:lang w:val="en-US" w:eastAsia="zh-CN"/>
        </w:rPr>
        <w:t>的数额</w:t>
      </w:r>
      <w:r>
        <w:rPr>
          <w:rFonts w:ascii="宋体" w:hAnsi="宋体" w:eastAsia="宋体" w:cs="宋体"/>
          <w:b w:val="0"/>
          <w:bCs w:val="0"/>
          <w:i w:val="0"/>
          <w:sz w:val="21"/>
          <w:szCs w:val="24"/>
        </w:rPr>
        <w:t>作为用人单位对“保护必要性”的估价，应成为调整的重要参照。在商事竞业禁止中，缔约双方的平等地位赋予约定数额更强的推定效力，在无相反证据时，约定数额本身可以被视为双方对“不竞争义务价值”的事前估价，法院调整时应更为节制。</w:t>
      </w:r>
    </w:p>
    <w:p w14:paraId="174A175D">
      <w:pPr>
        <w:spacing w:line="240" w:lineRule="auto" w:before="0" w:after="0" w:beforeLines="0" w:afterLines="0"/>
        <w:ind w:firstLineChars="200" w:leftChars="0" w:hangingChars="0"/>
        <w:jc w:val="left"/>
        <w:rPr>
          <w:rFonts w:hint="eastAsia" w:cs="宋体"/>
          <w:b/>
          <w:bCs/>
          <w:sz w:val="24"/>
          <w:szCs w:val="24"/>
          <w:lang w:val="en-US" w:eastAsia="zh-CN"/>
        </w:rPr>
      </w:pPr>
      <w:r>
        <w:rPr>
          <w:rFonts w:ascii="宋体" w:hAnsi="宋体" w:eastAsia="楷体" w:cs="宋体"/>
          <w:b/>
          <w:bCs/>
          <w:i w:val="0"/>
          <w:sz w:val="24"/>
          <w:szCs w:val="24"/>
        </w:rPr>
        <w:t>（三）</w:t>
      </w:r>
      <w:r>
        <w:rPr>
          <w:rFonts w:hint="eastAsia" w:cs="宋体" w:eastAsia="楷体" w:ascii="宋体" w:hAnsi="宋体"/>
          <w:b/>
          <w:bCs/>
          <w:i w:val="0"/>
          <w:sz w:val="24"/>
          <w:szCs w:val="24"/>
          <w:lang w:val="en-US" w:eastAsia="zh-CN"/>
        </w:rPr>
        <w:t>违约金制度中损失的范围</w:t>
      </w:r>
    </w:p>
    <w:p w14:paraId="592A72D8">
      <w:pPr>
        <w:spacing w:line="240" w:lineRule="auto" w:before="0" w:after="0" w:beforeLines="0" w:afterLines="0"/>
        <w:ind w:firstLineChars="200" w:leftChars="0" w:hangingChars="0"/>
        <w:jc w:val="left"/>
      </w:pPr>
      <w:r>
        <w:rPr>
          <w:rFonts w:hint="eastAsia" w:ascii="宋体" w:hAnsi="宋体" w:eastAsia="宋体" w:cs="宋体"/>
          <w:b w:val="0"/>
          <w:bCs w:val="0"/>
          <w:i w:val="0"/>
          <w:sz w:val="21"/>
          <w:szCs w:val="24"/>
          <w:lang w:val="en-US" w:eastAsia="zh-CN"/>
        </w:rPr>
        <w:t>如果违约金仅能在“</w:t>
      </w:r>
      <w:r>
        <w:rPr>
          <w:rFonts w:hint="eastAsia" w:cs="宋体" w:eastAsia="宋体" w:ascii="宋体" w:hAnsi="宋体"/>
          <w:b w:val="0"/>
          <w:bCs w:val="0"/>
          <w:i w:val="0"/>
          <w:sz w:val="21"/>
          <w:szCs w:val="24"/>
          <w:lang w:val="en-US" w:eastAsia="zh-CN"/>
        </w:rPr>
        <w:t>造成的损失</w:t>
      </w:r>
      <w:r>
        <w:rPr>
          <w:rFonts w:hint="eastAsia" w:ascii="宋体" w:hAnsi="宋体" w:eastAsia="宋体" w:cs="宋体"/>
          <w:b w:val="0"/>
          <w:bCs w:val="0"/>
          <w:i w:val="0"/>
          <w:sz w:val="21"/>
          <w:szCs w:val="24"/>
          <w:lang w:val="en-US" w:eastAsia="zh-CN"/>
        </w:rPr>
        <w:t>”范围内被支持，而</w:t>
      </w:r>
      <w:r>
        <w:rPr>
          <w:rFonts w:hint="eastAsia" w:cs="宋体" w:eastAsia="宋体" w:ascii="宋体" w:hAnsi="宋体"/>
          <w:b w:val="0"/>
          <w:bCs w:val="0"/>
          <w:i w:val="0"/>
          <w:sz w:val="21"/>
          <w:szCs w:val="24"/>
          <w:lang w:val="en-US" w:eastAsia="zh-CN"/>
        </w:rPr>
        <w:t>在这种不作为义务合同中，不作为义务违反的</w:t>
      </w:r>
      <w:r>
        <w:rPr>
          <w:rFonts w:hint="eastAsia" w:ascii="宋体" w:hAnsi="宋体" w:eastAsia="宋体" w:cs="宋体"/>
          <w:b w:val="0"/>
          <w:bCs w:val="0"/>
          <w:i w:val="0"/>
          <w:sz w:val="21"/>
          <w:szCs w:val="24"/>
          <w:lang w:val="en-US" w:eastAsia="zh-CN"/>
        </w:rPr>
        <w:t>实际损失又几乎无从证明</w:t>
      </w:r>
      <w:r>
        <w:rPr>
          <w:rFonts w:hint="eastAsia" w:cs="宋体" w:eastAsia="宋体" w:ascii="宋体" w:hAnsi="宋体"/>
          <w:b w:val="0"/>
          <w:bCs w:val="0"/>
          <w:i w:val="0"/>
          <w:sz w:val="21"/>
          <w:szCs w:val="24"/>
          <w:lang w:val="en-US" w:eastAsia="zh-CN"/>
        </w:rPr>
        <w:t>。违约金作为一种意定违约责任</w:t>
      </w:r>
      <w:r>
        <w:rPr>
          <w:rFonts w:hint="eastAsia" w:ascii="宋体" w:hAnsi="宋体" w:eastAsia="宋体" w:cs="宋体"/>
          <w:b w:val="0"/>
          <w:bCs w:val="0"/>
          <w:i w:val="0"/>
          <w:sz w:val="21"/>
          <w:szCs w:val="24"/>
          <w:lang w:val="en-US" w:eastAsia="zh-CN"/>
        </w:rPr>
        <w:t>，</w:t>
      </w:r>
      <w:r>
        <w:rPr>
          <w:rFonts w:hint="eastAsia" w:cs="宋体" w:eastAsia="宋体" w:ascii="宋体" w:hAnsi="宋体"/>
          <w:b w:val="0"/>
          <w:bCs w:val="0"/>
          <w:i w:val="0"/>
          <w:sz w:val="21"/>
          <w:szCs w:val="24"/>
          <w:lang w:val="en-US" w:eastAsia="zh-CN"/>
        </w:rPr>
        <w:t>本身就有简化损害举证的功能，</w:t>
      </w:r>
      <w:r>
        <w:rPr>
          <w:rFonts w:hint="eastAsia" w:ascii="宋体" w:hAnsi="宋体" w:eastAsia="宋体" w:cs="宋体"/>
          <w:b w:val="0"/>
          <w:bCs w:val="0"/>
          <w:i w:val="0"/>
          <w:sz w:val="21"/>
          <w:szCs w:val="24"/>
          <w:lang w:val="en-US" w:eastAsia="zh-CN"/>
        </w:rPr>
        <w:t>如果违约金只能在损害被充分证明的前提下获支持，救济效率优势便荡然无存</w:t>
      </w:r>
      <w:r>
        <w:rPr>
          <w:rFonts w:ascii="宋体" w:hAnsi="宋体" w:eastAsia="宋体" w:cs="宋体"/>
          <w:b w:val="0"/>
          <w:bCs/>
          <w:i w:val="0"/>
          <w:sz w:val="21"/>
          <w:szCs w:val="24"/>
        </w:rPr>
        <w:t>。</w:t>
      </w:r>
      <w:r>
        <w:rPr>
          <w:rFonts w:eastAsia="宋体" w:ascii="宋体" w:hAnsi="宋体" w:cs="宋体"/>
          <w:rStyle w:val="10"/>
          <w:b w:val="0"/>
          <w:i w:val="0"/>
          <w:sz w:val="21"/>
        </w:rPr>
        <w:footnoteReference w:id="22"/>
      </w:r>
    </w:p>
    <w:p w14:paraId="4A495C4B">
      <w:pPr>
        <w:spacing w:line="240" w:lineRule="auto" w:before="0" w:after="0" w:beforeLines="0" w:afterLines="0"/>
        <w:ind w:firstLineChars="200" w:leftChars="0" w:hangingChars="0"/>
        <w:jc w:val="left"/>
      </w:pPr>
      <w:r>
        <w:rPr>
          <w:rFonts w:hint="eastAsia" w:ascii="宋体" w:hAnsi="宋体" w:eastAsia="宋体" w:cs="宋体"/>
          <w:b w:val="0"/>
          <w:bCs w:val="0"/>
          <w:i w:val="0"/>
          <w:sz w:val="21"/>
          <w:szCs w:val="24"/>
          <w:lang w:val="en-US" w:eastAsia="zh-CN"/>
        </w:rPr>
        <w:t>在竞业限制领域，《民法典》第585条第2款</w:t>
      </w:r>
      <w:r>
        <w:rPr>
          <w:rFonts w:hint="eastAsia" w:cs="宋体" w:eastAsia="宋体" w:ascii="宋体" w:hAnsi="宋体"/>
          <w:b w:val="0"/>
          <w:bCs w:val="0"/>
          <w:i w:val="0"/>
          <w:sz w:val="21"/>
          <w:szCs w:val="24"/>
          <w:lang w:val="en-US" w:eastAsia="zh-CN"/>
        </w:rPr>
        <w:t>“</w:t>
      </w:r>
      <w:r>
        <w:rPr>
          <w:rFonts w:hint="eastAsia" w:ascii="宋体" w:hAnsi="宋体" w:eastAsia="宋体" w:cs="宋体"/>
          <w:b w:val="0"/>
          <w:bCs w:val="0"/>
          <w:i w:val="0"/>
          <w:sz w:val="21"/>
          <w:szCs w:val="24"/>
          <w:lang w:val="en-US" w:eastAsia="zh-CN"/>
        </w:rPr>
        <w:t>造成的损失</w:t>
      </w:r>
      <w:r>
        <w:rPr>
          <w:rFonts w:hint="eastAsia" w:cs="宋体" w:eastAsia="宋体" w:ascii="宋体" w:hAnsi="宋体"/>
          <w:b w:val="0"/>
          <w:bCs w:val="0"/>
          <w:i w:val="0"/>
          <w:sz w:val="21"/>
          <w:szCs w:val="24"/>
          <w:lang w:val="en-US" w:eastAsia="zh-CN"/>
        </w:rPr>
        <w:t>”</w:t>
      </w:r>
      <w:r>
        <w:rPr>
          <w:rFonts w:hint="eastAsia" w:ascii="宋体" w:hAnsi="宋体" w:eastAsia="宋体" w:cs="宋体"/>
          <w:b w:val="0"/>
          <w:bCs w:val="0"/>
          <w:i w:val="0"/>
          <w:sz w:val="21"/>
          <w:szCs w:val="24"/>
          <w:lang w:val="en-US" w:eastAsia="zh-CN"/>
        </w:rPr>
        <w:t>应作实质解释，它不仅包括可量化的财产损失，还应涵盖对用人单位竞争利益的非典型损害。非典型损害不是第585条第2款</w:t>
      </w:r>
      <w:r>
        <w:rPr>
          <w:rFonts w:hint="eastAsia" w:cs="宋体" w:eastAsia="宋体" w:ascii="宋体" w:hAnsi="宋体"/>
          <w:b w:val="0"/>
          <w:bCs w:val="0"/>
          <w:i w:val="0"/>
          <w:sz w:val="21"/>
          <w:szCs w:val="24"/>
          <w:lang w:val="en-US" w:eastAsia="zh-CN"/>
        </w:rPr>
        <w:t>“损失”</w:t>
      </w:r>
      <w:r>
        <w:rPr>
          <w:rFonts w:hint="eastAsia" w:ascii="宋体" w:hAnsi="宋体" w:eastAsia="宋体" w:cs="宋体"/>
          <w:b w:val="0"/>
          <w:bCs w:val="0"/>
          <w:i w:val="0"/>
          <w:sz w:val="21"/>
          <w:szCs w:val="24"/>
          <w:lang w:val="en-US" w:eastAsia="zh-CN"/>
        </w:rPr>
        <w:t>之外的独立范畴，而是损失在竞业限制这一特定合同类型中的具体表现形式。</w:t>
      </w:r>
      <w:r>
        <w:rPr>
          <w:rFonts w:hint="eastAsia" w:cs="宋体" w:eastAsia="宋体" w:ascii="宋体" w:hAnsi="宋体"/>
          <w:b w:val="0"/>
          <w:bCs w:val="0"/>
          <w:i w:val="0"/>
          <w:sz w:val="21"/>
          <w:szCs w:val="24"/>
          <w:lang w:val="en-US" w:eastAsia="zh-CN"/>
        </w:rPr>
        <w:t>将根据法定规则本来无法填补的非典型损害通过违约金约定来将其纳入可以避免债权因损害那里计算或者因果关系较远而无法获得救济。</w:t>
      </w:r>
      <w:r>
        <w:rPr>
          <w:rStyle w:val="10"/>
          <w:rFonts w:hint="eastAsia" w:cs="宋体" w:eastAsia="宋体" w:ascii="宋体" w:hAnsi="宋体"/>
          <w:b w:val="0"/>
          <w:bCs w:val="0"/>
          <w:i w:val="0"/>
          <w:sz w:val="21"/>
          <w:szCs w:val="24"/>
          <w:lang w:val="en-US" w:eastAsia="zh-CN"/>
        </w:rPr>
        <w:footnoteReference w:id="23"/>
      </w:r>
      <w:r>
        <w:rPr>
          <w:rFonts w:ascii="宋体" w:hAnsi="宋体" w:eastAsia="宋体" w:cs="宋体"/>
          <w:b w:val="0"/>
          <w:bCs w:val="0"/>
          <w:i w:val="0"/>
          <w:sz w:val="21"/>
          <w:szCs w:val="24"/>
        </w:rPr>
        <w:t>具体而言，</w:t>
      </w:r>
      <w:r>
        <w:rPr>
          <w:rFonts w:hint="eastAsia" w:cs="宋体" w:eastAsia="宋体" w:ascii="宋体" w:hAnsi="宋体"/>
          <w:b w:val="0"/>
          <w:bCs w:val="0"/>
          <w:i w:val="0"/>
          <w:sz w:val="21"/>
          <w:szCs w:val="24"/>
          <w:lang w:val="en-US" w:eastAsia="zh-CN"/>
        </w:rPr>
        <w:t>竞业限制合同中可能涉及的</w:t>
      </w:r>
      <w:r>
        <w:rPr>
          <w:rFonts w:ascii="宋体" w:hAnsi="宋体" w:eastAsia="宋体" w:cs="宋体"/>
          <w:b w:val="0"/>
          <w:bCs w:val="0"/>
          <w:i w:val="0"/>
          <w:sz w:val="21"/>
          <w:szCs w:val="24"/>
        </w:rPr>
        <w:t>非典型损害</w:t>
      </w:r>
      <w:r>
        <w:rPr>
          <w:rFonts w:hint="eastAsia" w:cs="宋体" w:eastAsia="宋体" w:ascii="宋体" w:hAnsi="宋体"/>
          <w:b w:val="0"/>
          <w:bCs w:val="0"/>
          <w:i w:val="0"/>
          <w:sz w:val="21"/>
          <w:szCs w:val="24"/>
          <w:lang w:val="en-US" w:eastAsia="zh-CN"/>
        </w:rPr>
        <w:t>以下几个方面</w:t>
      </w:r>
      <w:r>
        <w:rPr>
          <w:rFonts w:ascii="宋体" w:hAnsi="宋体" w:eastAsia="宋体" w:cs="宋体"/>
          <w:b w:val="0"/>
          <w:bCs w:val="0"/>
          <w:i w:val="0"/>
          <w:sz w:val="21"/>
          <w:szCs w:val="24"/>
        </w:rPr>
        <w:t>。其一，竞争优势的减损与替代成本</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核心人员流失至竞争对手不仅意味着用人单位失去了一名员工，更意味着竞争对手获得了携带原用人单位技术知识、商业策略和客户信息的载体，用人单位需要花费时间培养替代人才。其二，商业秘密泄露的潜在风险</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用人单位难以</w:t>
      </w:r>
      <w:r>
        <w:rPr>
          <w:rFonts w:ascii="宋体" w:hAnsi="宋体" w:eastAsia="宋体" w:cs="宋体"/>
          <w:b w:val="0"/>
          <w:bCs w:val="0"/>
          <w:i w:val="0"/>
          <w:sz w:val="21"/>
          <w:szCs w:val="24"/>
        </w:rPr>
        <w:t>商业秘密已经实际被泄露或使用，</w:t>
      </w:r>
      <w:r>
        <w:rPr>
          <w:rFonts w:hint="eastAsia" w:cs="宋体" w:eastAsia="宋体" w:ascii="宋体" w:hAnsi="宋体"/>
          <w:b w:val="0"/>
          <w:bCs w:val="0"/>
          <w:i w:val="0"/>
          <w:sz w:val="21"/>
          <w:szCs w:val="24"/>
          <w:lang w:val="en-US" w:eastAsia="zh-CN"/>
        </w:rPr>
        <w:t>正如上文所述</w:t>
      </w:r>
      <w:r>
        <w:rPr>
          <w:rFonts w:ascii="宋体" w:hAnsi="宋体" w:eastAsia="宋体" w:cs="宋体"/>
          <w:b w:val="0"/>
          <w:bCs w:val="0"/>
          <w:i w:val="0"/>
          <w:sz w:val="21"/>
          <w:szCs w:val="24"/>
        </w:rPr>
        <w:t>劳动者进入竞争企业任职本身就使商业秘密处于合理风险中，而原用人单位对此几乎无法进行有效的监控或防范。其三，市场机会的丧失。核心人员在关键时刻离职可能导致用人单位错失竞标机会、产品发布窗口或战略合作契机。其四，科技型企业内在价值的贬损</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以知识产权和核心技术为竞争力的企业，其价值高度依赖于“人”，核心人员的流失本身就是企业估值中的风险因素。</w:t>
      </w:r>
    </w:p>
    <w:p w14:paraId="3634B002">
      <w:pPr>
        <w:spacing w:line="240" w:lineRule="auto" w:before="0" w:after="0" w:beforeLines="0" w:afterLines="0"/>
        <w:ind w:firstLineChars="200" w:leftChars="0" w:hangingChars="0"/>
        <w:jc w:val="left"/>
      </w:pPr>
      <w:r>
        <w:rPr>
          <w:rFonts w:ascii="宋体" w:hAnsi="宋体" w:eastAsia="宋体" w:cs="宋体"/>
          <w:b w:val="0"/>
          <w:bCs w:val="0"/>
          <w:i w:val="0"/>
          <w:sz w:val="21"/>
          <w:szCs w:val="24"/>
        </w:rPr>
        <w:t>违约金制度的设计目的之一正是避免守约方在损害发生后陷入举证困难，在德国法上被称为“简化证明”功能。在竞业限制领域，如果法院以“用人单位无法证明实际损失”为由将违约金调减至微薄水平，这无异于要求用人单位承担一项在法律制度设计上本应由违约金制度来化解的证明困难，在规范逻辑上是自相矛盾的。</w:t>
      </w:r>
    </w:p>
    <w:p w14:paraId="2C6092EB">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将“非典型损害”纳入“损失”的规范含义之后，《民法典》第585条第2款“过分高于造成的损失”在竞业限制领域的适用便产生了结构性变化：“造成的损失”不再是一个等待被精确计算的经验事实，而是一个需要在个案中通过利益权衡来评价的规范性概念。法院的工作重心从“计算”转向了“评价”，这一转向正是后文动态比例原则的方法论起点——它意味着裁判技术的范式转换：从寻找客观基准的认知活动转向进行规范性权衡的评价活动。</w:t>
      </w:r>
    </w:p>
    <w:p w14:paraId="4B420DE6">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在裁判实践中，已经出现了接近这一理解方向的案例。在指导案例189号（上海熊猫互娱诉李岑案）中，法院在网络主播违反排他性合作条款的违约金调整中，并未仅仅考量平台的可量化损失，而是综合考量了平台前期投入、平台流量、主播个体商业价值等因素。这些因素在性质上都接近于“非典型损害”：它们难以精确定量，但对于理解违约给平台造成的真实影响至关重要。该案的裁判方法实际上已经采用了利益权衡的逻辑，可以被视为动态比例原则在特定合同类型中的成功运用。竞业限制领域的违约金调整应当借鉴这种思路，摆脱对可量化损失的依赖，转向对双方利益的全面权衡。</w:t>
      </w:r>
    </w:p>
    <w:p w14:paraId="2E07B1FA">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eastAsia"/>
          <w:lang w:val="en-US" w:eastAsia="zh-CN"/>
        </w:rPr>
      </w:pPr>
      <w:r>
        <w:rPr>
          <w:rFonts w:hint="eastAsia" w:ascii="宋体" w:hAnsi="宋体" w:cs="宋体" w:eastAsia="楷体"/>
          <w:b/>
          <w:bCs w:val="0"/>
          <w:i w:val="0"/>
          <w:kern w:val="2"/>
          <w:sz w:val="24"/>
          <w:szCs w:val="24"/>
          <w:lang w:val="en-US" w:eastAsia="zh-CN" w:bidi="ar-SA"/>
        </w:rPr>
        <w:t>（四）</w:t>
      </w:r>
      <w:r>
        <w:rPr>
          <w:rFonts w:hint="eastAsia" w:ascii="宋体" w:hAnsi="宋体" w:eastAsia="楷体" w:cs="宋体"/>
          <w:b/>
          <w:bCs w:val="0"/>
          <w:i w:val="0"/>
          <w:kern w:val="2"/>
          <w:sz w:val="24"/>
          <w:szCs w:val="24"/>
          <w:lang w:val="en-US" w:eastAsia="zh-CN" w:bidi="ar-SA"/>
        </w:rPr>
        <w:t>司法调整的双重价值基础</w:t>
      </w:r>
    </w:p>
    <w:p w14:paraId="260C8B3B">
      <w:pPr>
        <w:spacing w:line="240" w:lineRule="auto" w:before="0" w:after="0" w:beforeLines="0" w:afterLines="0"/>
        <w:ind w:firstLineChars="200" w:leftChars="0" w:hangingChars="0"/>
        <w:jc w:val="left"/>
      </w:pPr>
      <w:r>
        <w:rPr>
          <w:rFonts w:ascii="宋体" w:hAnsi="宋体" w:eastAsia="宋体" w:cs="宋体"/>
          <w:b w:val="0"/>
          <w:bCs w:val="0"/>
          <w:i w:val="0"/>
          <w:sz w:val="21"/>
          <w:szCs w:val="24"/>
        </w:rPr>
        <w:t>违约金是“合同履行障碍的自行安排”，与缔结主合同同属私法自治。在竞业限制语境下，这一自治面向有其特殊的正当性基础：双方在缔约时都清楚违约所造成的损害难以事后证明，因此以一个确定的违约金数额来替代不确定的损害赔偿。在理想条件下，这种安排对双方都有利，用人单位获得了无需证明损害的救济途径，劳动者在签约时就可准确评估违约的代价。竞业限制违约金约定不仅是一个威慑工具，它同时还承载了降低交易成本的功能。如果每一次竞业限制违约都需要通过漫长的诉讼来证明损害数额，制度的运行成本将高到使制度本身失去意义。</w:t>
      </w:r>
    </w:p>
    <w:p w14:paraId="626AB5AF">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然而，违约金约定的结构性风险为司法干预提供了正当性基础。预定性、有限理性和乐观偏差三重因素的叠加，加上劳动契约中劳动者通常处于“要么全盘接受、要么放弃工作机会”的境地，使仅凭“双方自愿约定”尚不足以完全正当化违约金约定的公平性。劳动者在签约时处于职业发展的初期阶段，很难预测几年后离职时竞业限制条款会对自己的职业道路产生多大的制约。熊晖的实证研究指出，竞业限制在实践中存在显著的泛化适用倾向，大量不接触核心商业秘密的普通劳动者也被纳入竞业限制范围，此类案件中违约金的“压力”功能已不再是为了保护正当竞争利益，而异化为限制劳动者流动的工具。吴宏乔的研究则揭示了另一个风险：实践中存在用人单位在竞业限制协议中约定排除经济补偿的情形，此种约定一旦被认定为有效，劳动者在竞业期限内将完全丧失经济来源，此时违约金不仅是履约压力，更是对劳动者生存权的直接威胁。《民法典》第585条第2款正是在当事人自治安排出现结构性偏差时介入，恢复被破坏的实质公平，其正当性基础在于公序良俗与诚实信用原则。</w:t>
      </w:r>
      <w:r>
        <w:rPr>
          <w:rFonts w:eastAsia="宋体" w:ascii="宋体" w:hAnsi="宋体" w:cs="宋体"/>
          <w:rStyle w:val="10"/>
          <w:b w:val="0"/>
          <w:i w:val="0"/>
          <w:sz w:val="21"/>
        </w:rPr>
        <w:footnoteReference w:id="24"/>
      </w:r>
    </w:p>
    <w:p w14:paraId="53FB74A7">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在竞业限制的特殊利益结构中，用人单位受保护的是竞争利益——商业秘密、与知识产权相关的保密事项、竞争优势。此类利益的不可逆损害特征使违约金的事前压力功能具有独立于损害赔偿的正当性：它不是对损害的事后填补，而是对不可逆损害的事前预防。劳动者受保护的是职业自由与生存权，竞业限制过度将构成变相的职业禁止。两种利益在规范层面不可通约，法院所从事的不是“计算”而是“权衡”，在尊重约定数额推定效力的前提下，确保违约金不过度偏离公平的基准。</w:t>
      </w:r>
    </w:p>
    <w:p w14:paraId="174194DC">
      <w:pPr>
        <w:spacing w:line="240" w:lineRule="auto" w:before="0" w:after="0" w:beforeLines="0" w:afterLines="0"/>
        <w:ind w:firstLineChars="200" w:leftChars="0" w:hangingChars="0"/>
        <w:jc w:val="left"/>
      </w:pPr>
      <w:r>
        <w:rPr>
          <w:rFonts w:ascii="宋体" w:hAnsi="宋体" w:eastAsia="宋体" w:cs="宋体"/>
          <w:b w:val="0"/>
          <w:bCs w:val="0"/>
          <w:i w:val="0"/>
          <w:sz w:val="21"/>
          <w:szCs w:val="24"/>
        </w:rPr>
        <w:t>不可通约（incommensurability）并不意味着两种利益间完全无法比较，而是说两种利益间不存在一个统一的度量单位或共同的数值标尺。用人单位的竞争利益不能用“多少元”来完全表达，不是因为它们没有价值，而是因为它们的价值无法通过市场价格来精确定价；劳动者的职业自由同样不能用“多少元”来完全表达，不是因为职业自由没有经济后果，而是因为它的价值包含了对人的尊严、自我实现和自主选择的保护，这些价值维度是金钱无法覆盖的。法院在权衡这两种利益时，不是在比较两个数字的大小，而是在比较两种性质不同的价值在具体案件中的重要性程度。这种比较是一种规范性判断（normative judgment），但不是任意判断，它在法律价值秩序中有其约束性的参照点。</w:t>
      </w:r>
    </w:p>
    <w:p w14:paraId="459197FA">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德国联邦宪法法院在“药房案”（Apothekenurteil）中发展出的“实践调和”（praktische Konkordanz）原则——当两个宪法位阶的法益发生冲突时，不能简单地用一个法益否定另一个法益，而应当通过个案中的比例性权衡使两个法益都得到最大程度的实现——对理解竞业限制违约金的调整具有方法论上的启示。用人单位竞争利益（宪法第13条和第20条）与劳动者职业自由（宪法第42条）在宪法层面具有同等的位阶，任何一方的完全否定都是违宪的。动态比例原则在方法论上的核心任务，就是在个案中实现这两种宪法法益的实践调和，不是用一个压倒另一个，而是通过精确的利益权衡使两者都获得尽可能充分的保护。这一视角将违约金调整从“数额校正”的技术操作提升为“宪法价值在私法中实现”的规范活动。</w:t>
      </w:r>
    </w:p>
    <w:p w14:paraId="362FB26D">
      <w:pPr>
        <w:spacing w:line="240" w:lineRule="auto" w:before="0" w:after="0" w:beforeLines="0" w:afterLines="0"/>
        <w:ind w:firstLineChars="200" w:leftChars="0" w:hangingChars="0"/>
        <w:jc w:val="left"/>
      </w:pPr>
      <w:r>
        <w:rPr>
          <w:rFonts w:ascii="宋体" w:hAnsi="宋体" w:eastAsia="宋体" w:cs="宋体"/>
          <w:b w:val="0"/>
          <w:bCs w:val="0"/>
          <w:i w:val="0"/>
          <w:sz w:val="21"/>
          <w:szCs w:val="24"/>
        </w:rPr>
        <w:t>从比较法角度观察，德国联邦最高法院（BGH）在违约金调整的判例中发展出了“债务人保护”（Schuldnerschutz）原则，违约金的调整不是为了否定当事人的自治约定，而是为了防止违约金异化为对债务人的过度剥削。在德国商法上，这一原则对商人违约金做了例外处理（《德国商法典》第348条），因为商人在缔约时的判断能力和风险承受能力被假定为更强。我国虽然采取民商合一体例，但司法实践中对商事竞业禁止与劳动竞业限制的区分处理，实质上遵循了类似的逻辑。刘承韪在评析《合同编通则解释》第64-65条时特别指出，违约金不得调整约定“无效说”的立场虽符合违约金酌减规则的强制规范性质，但应通过区分民事合同与商事合同来缓和制度刚性。这一判断与本文主张的劳动竞业限制与商事竞业禁止类型化区分在方法论上高度契合。</w:t>
      </w:r>
      <w:r>
        <w:rPr>
          <w:rFonts w:eastAsia="宋体" w:ascii="宋体" w:hAnsi="宋体" w:cs="宋体"/>
          <w:rStyle w:val="10"/>
          <w:b w:val="0"/>
          <w:i w:val="0"/>
          <w:sz w:val="21"/>
        </w:rPr>
        <w:footnoteReference w:id="25"/>
      </w:r>
    </w:p>
    <w:p w14:paraId="2C4DBCA9">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值得进一步申论的是，将劳动者职业自由和生存权纳入违约金调整的考量框架，并不意味着对用人单位利益的忽视，亦非对违约行为的纵容。职业自由受到竞业限制约束的劳动者，如果遵守了竞业限制义务，其损失由补偿金制度弥补（第23条第2款）；如果违反了竞业限制义务，其应受违约金的制裁。在这一制度安排中，违约金调整的功能不在于免除劳动者的违约责任——调整后的违约金仍然构成违约的经济代价——而在于确保此种代价维持在合理的压力区间内，不至于从履约的威慑转化为毁灭性的惩罚。一个可以经由经验验证的判断是：当违约金数额超过了劳动者在竞业期限内全部可能收入的数倍时，违约金实际上已不是在威慑违约，而是在禁止改变工作，因为违约的代价已超出了劳动者可以承受的极限。在这种极端情形下，违约金已经从合同履行保障异化为人身约束，而这正是司法调整需要干预的核心场景。</w:t>
      </w:r>
    </w:p>
    <w:p w14:paraId="300B7990">
      <w:pPr>
        <w:pStyle w:val="2"/>
        <w:bidi w:val="0"/>
        <w:jc w:val="center"/>
        <w:rPr>
          <w:rFonts w:hint="default"/>
          <w:lang w:val="en-US" w:eastAsia="zh-CN"/>
        </w:rPr>
        <w:spacing w:line="240" w:lineRule="auto" w:before="0" w:after="0" w:beforeLines="0" w:afterLines="0"/>
      </w:pPr>
      <w:r>
        <w:rPr>
          <w:rFonts w:hint="eastAsia" w:eastAsia="宋体" w:ascii="宋体" w:hAnsi="宋体" w:cs="宋体"/>
          <w:b/>
          <w:bCs/>
          <w:i w:val="0"/>
          <w:sz w:val="24"/>
          <w:lang w:val="en-US" w:eastAsia="zh-CN"/>
        </w:rPr>
        <w:t>四、违约金调整中的利益衡量</w:t>
      </w:r>
    </w:p>
    <w:p w14:paraId="35C453FE">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eastAsia"/>
          <w:lang w:val="en-US" w:eastAsia="zh-CN"/>
        </w:rPr>
      </w:pPr>
      <w:r>
        <w:rPr>
          <w:rFonts w:hint="eastAsia" w:ascii="宋体" w:hAnsi="宋体" w:cs="宋体" w:eastAsia="楷体"/>
          <w:b/>
          <w:bCs w:val="0"/>
          <w:i w:val="0"/>
          <w:kern w:val="2"/>
          <w:sz w:val="24"/>
          <w:szCs w:val="24"/>
          <w:lang w:val="en-US" w:eastAsia="zh-CN" w:bidi="ar-SA"/>
        </w:rPr>
        <w:t>（一）</w:t>
      </w:r>
      <w:r>
        <w:rPr>
          <w:rFonts w:hint="eastAsia" w:ascii="宋体" w:hAnsi="宋体" w:eastAsia="楷体" w:cs="宋体"/>
          <w:b/>
          <w:bCs w:val="0"/>
          <w:i w:val="0"/>
          <w:kern w:val="2"/>
          <w:sz w:val="24"/>
          <w:szCs w:val="24"/>
          <w:lang w:val="en-US" w:eastAsia="zh-CN" w:bidi="ar-SA"/>
        </w:rPr>
        <w:t>以约定数额</w:t>
      </w:r>
      <w:r>
        <w:rPr>
          <w:rFonts w:hint="eastAsia" w:ascii="宋体" w:hAnsi="宋体" w:cs="宋体" w:eastAsia="楷体"/>
          <w:b/>
          <w:bCs w:val="0"/>
          <w:i w:val="0"/>
          <w:kern w:val="2"/>
          <w:sz w:val="24"/>
          <w:szCs w:val="24"/>
          <w:lang w:val="en-US" w:eastAsia="zh-CN" w:bidi="ar-SA"/>
        </w:rPr>
        <w:t>的</w:t>
      </w:r>
      <w:r>
        <w:rPr>
          <w:rFonts w:hint="eastAsia" w:ascii="宋体" w:hAnsi="宋体" w:eastAsia="楷体" w:cs="宋体"/>
          <w:b/>
          <w:bCs w:val="0"/>
          <w:i w:val="0"/>
          <w:kern w:val="2"/>
          <w:sz w:val="24"/>
          <w:szCs w:val="24"/>
          <w:lang w:val="en-US" w:eastAsia="zh-CN" w:bidi="ar-SA"/>
        </w:rPr>
        <w:t>基准</w:t>
      </w:r>
      <w:r>
        <w:rPr>
          <w:rFonts w:hint="eastAsia" w:ascii="宋体" w:hAnsi="宋体" w:cs="宋体" w:eastAsia="楷体"/>
          <w:b/>
          <w:bCs w:val="0"/>
          <w:i w:val="0"/>
          <w:kern w:val="2"/>
          <w:sz w:val="24"/>
          <w:szCs w:val="24"/>
          <w:lang w:val="en-US" w:eastAsia="zh-CN" w:bidi="ar-SA"/>
        </w:rPr>
        <w:t>作用</w:t>
      </w:r>
    </w:p>
    <w:p w14:paraId="738C6BB2">
      <w:pPr>
        <w:spacing w:line="240" w:lineRule="auto" w:before="0" w:after="0" w:beforeLines="0" w:afterLines="0"/>
        <w:ind w:firstLineChars="200" w:leftChars="0" w:hangingChars="0"/>
        <w:jc w:val="left"/>
      </w:pPr>
      <w:r>
        <w:rPr>
          <w:rFonts w:ascii="宋体" w:hAnsi="宋体" w:eastAsia="宋体" w:cs="宋体"/>
          <w:b w:val="0"/>
          <w:bCs w:val="0"/>
          <w:i w:val="0"/>
          <w:sz w:val="21"/>
          <w:szCs w:val="24"/>
        </w:rPr>
        <w:t>《民法典》第585条第2款“约定的违约金……可以……予以适当减少”的规范表述暗示了约定数额在程序上享有“推定合理”的地位——在没有充分理由推翻这一推定之前，约定数额应被尊重。此种进路与以实际损失为基准的路径存在根本差异：前者以约定数额为出发点，通过权衡双方利益进行比例调整，承认损害可能难以精确量化且这一认知局限不影响调整之展开；后者预设损害可量化且已被证明，而此一前提在竞业限制领域恰恰无从成立，导致调整活动在方法论上陷入自我否定——将调整基准置于一个无法确定的事实之上。</w:t>
      </w:r>
    </w:p>
    <w:p w14:paraId="55D448FB">
      <w:pPr>
        <w:spacing w:line="240" w:lineRule="auto" w:before="0" w:after="0" w:beforeLines="0" w:afterLines="0"/>
        <w:ind w:firstLineChars="200" w:leftChars="0" w:hangingChars="0"/>
        <w:jc w:val="left"/>
      </w:pPr>
      <w:r>
        <w:rPr>
          <w:rFonts w:ascii="宋体" w:hAnsi="宋体" w:eastAsia="宋体" w:cs="宋体"/>
          <w:b w:val="0"/>
          <w:bCs w:val="0"/>
          <w:i w:val="0"/>
          <w:sz w:val="21"/>
          <w:szCs w:val="24"/>
        </w:rPr>
        <w:t>不同类型、不同性质的违约金，对酌减结果有显著影响的考量因素各异，调整逻辑的选择应当取决于违约金的功能类型和合同类型的交互作用。约定违约金占合同总价的比例被证明是影响酌减成数的最强因素，合同</w:t>
      </w:r>
      <w:r>
        <w:rPr>
          <w:rFonts w:hint="eastAsia" w:cs="宋体" w:eastAsia="宋体" w:ascii="宋体" w:hAnsi="宋体"/>
          <w:b w:val="0"/>
          <w:bCs w:val="0"/>
          <w:i w:val="0"/>
          <w:sz w:val="21"/>
          <w:szCs w:val="24"/>
          <w:lang w:val="en-US" w:eastAsia="zh-CN"/>
        </w:rPr>
        <w:t>总价</w:t>
      </w:r>
      <w:r>
        <w:rPr>
          <w:rFonts w:ascii="宋体" w:hAnsi="宋体" w:eastAsia="宋体" w:cs="宋体"/>
          <w:b w:val="0"/>
          <w:bCs w:val="0"/>
          <w:i w:val="0"/>
          <w:sz w:val="21"/>
          <w:szCs w:val="24"/>
        </w:rPr>
        <w:t>在竞业限制语境中就体现为劳动者年收入或补偿金总额。在超过70%的劳动竞业限制案件中，法院以补偿金总额的1-3倍为调整基准，这种对补偿金的“锚定效应”在操作效果上近似于“以约定数额为基准的比例调整”</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现行司法实践中的“补偿金锚定”是一种缺乏规范论证的习惯性做法，法院并未说明为何选择“1-3倍”而非其他倍数，也未将补偿金水平与IP接触程度、技术迭代周期等其他因素进行系统关联；动态比例原则则要求法院在约定数额的基准上，逐一考量正负向因素的互动关系，并在结构化说理中公开其权衡过程。</w:t>
      </w:r>
      <w:r>
        <w:rPr>
          <w:rFonts w:eastAsia="宋体" w:ascii="宋体" w:hAnsi="宋体" w:cs="宋体"/>
          <w:rStyle w:val="10"/>
          <w:b w:val="0"/>
          <w:i w:val="0"/>
          <w:sz w:val="21"/>
        </w:rPr>
        <w:footnoteReference w:id="26"/>
      </w:r>
    </w:p>
    <w:p w14:paraId="0761EA08">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劳动契约中的竞业限制双方地位不对等，约定数额的推定效力应受更多约束，补偿金标准过低、竞业范围泛化等情形的存在将直接削弱推定的正当性；股权转让中的商事竞业禁止双方协商充分，推定效力更强，约定违约金在性质上更接近于双方对“不竞争义务价值”的事前定价而非单方施压工具。从现有裁判来看，商事竞业禁止的调整幅度远低于劳动竞业限制，规范依据在于姚明斌所提的“主体性半强制规范”——司法酌减规则对商事主体的保护强度低于对民事主体和消费者的保护强度。这一区分的深层原理在于德国法上的“法律行为基础”理论：在商事竞业禁止中，股权转让对价和违约金共同构成了交易双方对“不竞争义务”的完整定价，法院如果大幅调整违约金就相当于在事后重写当事人的交易条件；而在劳动竞业限制中，补偿金与违约金之间的比例往往反映了缔约力量的失衡而非真实的定价，法院的调整因此具有更强的正当性。</w:t>
      </w:r>
      <w:r>
        <w:rPr>
          <w:rFonts w:eastAsia="宋体" w:ascii="宋体" w:hAnsi="宋体" w:cs="宋体"/>
          <w:rStyle w:val="10"/>
          <w:b w:val="0"/>
          <w:i w:val="0"/>
          <w:sz w:val="21"/>
        </w:rPr>
        <w:footnoteReference w:id="27"/>
      </w:r>
    </w:p>
    <w:p w14:paraId="66CD62D7">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eastAsia"/>
          <w:lang w:val="en-US" w:eastAsia="zh-CN"/>
        </w:rPr>
      </w:pPr>
      <w:r>
        <w:rPr>
          <w:rFonts w:hint="eastAsia" w:ascii="宋体" w:hAnsi="宋体" w:cs="宋体" w:eastAsia="楷体"/>
          <w:b/>
          <w:bCs w:val="0"/>
          <w:i w:val="0"/>
          <w:kern w:val="2"/>
          <w:sz w:val="24"/>
          <w:szCs w:val="24"/>
          <w:lang w:val="en-US" w:eastAsia="zh-CN" w:bidi="ar-SA"/>
        </w:rPr>
        <w:t>（二）</w:t>
      </w:r>
      <w:r>
        <w:rPr>
          <w:rFonts w:hint="eastAsia" w:ascii="宋体" w:hAnsi="宋体" w:eastAsia="楷体" w:cs="宋体"/>
          <w:b/>
          <w:bCs w:val="0"/>
          <w:i w:val="0"/>
          <w:kern w:val="2"/>
          <w:sz w:val="24"/>
          <w:szCs w:val="24"/>
          <w:lang w:val="en-US" w:eastAsia="zh-CN" w:bidi="ar-SA"/>
        </w:rPr>
        <w:t>用人单位一侧的竞争利益</w:t>
      </w:r>
    </w:p>
    <w:p w14:paraId="6130D0E6">
      <w:pPr>
        <w:spacing w:line="240" w:lineRule="auto" w:before="0" w:after="0" w:beforeLines="0" w:afterLines="0"/>
        <w:ind w:firstLineChars="200" w:leftChars="0" w:hangingChars="0"/>
        <w:jc w:val="left"/>
        <w:rPr>
          <w:rFonts w:ascii="宋体" w:hAnsi="宋体" w:eastAsia="宋体" w:cs="宋体"/>
          <w:b w:val="0"/>
          <w:bCs w:val="0"/>
          <w:sz w:val="24"/>
          <w:szCs w:val="24"/>
        </w:rPr>
      </w:pPr>
      <w:r>
        <w:rPr>
          <w:rFonts w:ascii="宋体" w:hAnsi="宋体" w:eastAsia="宋体" w:cs="宋体"/>
          <w:b w:val="0"/>
          <w:bCs w:val="0"/>
          <w:i w:val="0"/>
          <w:sz w:val="21"/>
          <w:szCs w:val="24"/>
        </w:rPr>
        <w:t>《合同编通则解释》第65条第1款</w:t>
      </w:r>
      <w:r>
        <w:rPr>
          <w:rFonts w:hint="eastAsia" w:cs="宋体" w:eastAsia="宋体" w:ascii="宋体" w:hAnsi="宋体"/>
          <w:b w:val="0"/>
          <w:bCs w:val="0"/>
          <w:i w:val="0"/>
          <w:sz w:val="21"/>
          <w:szCs w:val="24"/>
          <w:lang w:val="en-US" w:eastAsia="zh-CN"/>
        </w:rPr>
        <w:t>规定在违约金调整中应</w:t>
      </w:r>
      <w:r>
        <w:rPr>
          <w:rFonts w:ascii="宋体" w:hAnsi="宋体" w:eastAsia="宋体" w:cs="宋体"/>
          <w:b w:val="0"/>
          <w:bCs w:val="0"/>
          <w:i w:val="0"/>
          <w:sz w:val="21"/>
          <w:szCs w:val="24"/>
        </w:rPr>
        <w:t>“兼顾合同主体、交易类型、合同履行情况、当事人过错程度、履约背景等因素”劳动者接触商业秘密和核心知识产权的程度《劳动合同法》第24条将竞业限制人员限于“负有保密义务的人员”，表明竞业限制的正当性与劳动者接触保密信息的程度正相关。</w:t>
      </w:r>
    </w:p>
    <w:p w14:paraId="60E9757F">
      <w:pPr>
        <w:spacing w:line="240" w:lineRule="auto" w:before="0" w:after="0" w:beforeLines="0" w:afterLines="0"/>
        <w:ind w:firstLineChars="200" w:leftChars="0" w:hangingChars="0"/>
        <w:jc w:val="left"/>
      </w:pPr>
      <w:r>
        <w:rPr>
          <w:rFonts w:ascii="宋体" w:hAnsi="宋体" w:eastAsia="宋体" w:cs="宋体"/>
          <w:b w:val="0"/>
          <w:bCs w:val="0"/>
          <w:i w:val="0"/>
          <w:sz w:val="21"/>
          <w:szCs w:val="24"/>
        </w:rPr>
        <w:t>高级</w:t>
      </w:r>
      <w:r>
        <w:rPr>
          <w:rFonts w:hint="eastAsia" w:cs="宋体" w:eastAsia="宋体" w:ascii="宋体" w:hAnsi="宋体"/>
          <w:b w:val="0"/>
          <w:bCs w:val="0"/>
          <w:i w:val="0"/>
          <w:sz w:val="21"/>
          <w:szCs w:val="24"/>
          <w:lang w:val="en-US" w:eastAsia="zh-CN"/>
        </w:rPr>
        <w:t>企业</w:t>
      </w:r>
      <w:r>
        <w:rPr>
          <w:rFonts w:ascii="宋体" w:hAnsi="宋体" w:eastAsia="宋体" w:cs="宋体"/>
          <w:b w:val="0"/>
          <w:bCs w:val="0"/>
          <w:i w:val="0"/>
          <w:sz w:val="21"/>
          <w:szCs w:val="24"/>
        </w:rPr>
        <w:t>负责人</w:t>
      </w:r>
      <w:r>
        <w:rPr>
          <w:rFonts w:hint="eastAsia" w:cs="宋体" w:eastAsia="宋体" w:ascii="宋体" w:hAnsi="宋体"/>
          <w:b w:val="0"/>
          <w:bCs w:val="0"/>
          <w:i w:val="0"/>
          <w:sz w:val="21"/>
          <w:szCs w:val="24"/>
          <w:lang w:val="en-US" w:eastAsia="zh-CN"/>
        </w:rPr>
        <w:t>核心技术人员</w:t>
      </w:r>
      <w:r>
        <w:rPr>
          <w:rFonts w:ascii="宋体" w:hAnsi="宋体" w:eastAsia="宋体" w:cs="宋体"/>
          <w:b w:val="0"/>
          <w:bCs w:val="0"/>
          <w:i w:val="0"/>
          <w:sz w:val="21"/>
          <w:szCs w:val="24"/>
        </w:rPr>
        <w:t>等，对用人单位技术核心的掌握具有结构性，一旦离职加入竞争对手，其携带的不仅是个人技能，而是对整个技术体系的深度认知，违约金调整应最为节制。在评估这一梯度的劳动者时，应重点考量其在用人单位技术体系中的不可替代性</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如果该劳动者是某项核心技术唯一或少数掌握者之一，其离职造成的竞争损害将显著高于有多个可替代人员的情形。</w:t>
      </w:r>
      <w:r>
        <w:rPr>
          <w:rFonts w:hint="eastAsia" w:cs="宋体" w:eastAsia="宋体" w:ascii="宋体" w:hAnsi="宋体"/>
          <w:b w:val="0"/>
          <w:bCs w:val="0"/>
          <w:i w:val="0"/>
          <w:sz w:val="21"/>
          <w:szCs w:val="24"/>
          <w:lang w:val="en-US" w:eastAsia="zh-CN"/>
        </w:rPr>
        <w:t>对于一般的技术人员或者掌握商业秘密的人员来说</w:t>
      </w:r>
      <w:r>
        <w:rPr>
          <w:rFonts w:ascii="宋体" w:hAnsi="宋体" w:eastAsia="宋体" w:cs="宋体"/>
          <w:b w:val="0"/>
          <w:bCs w:val="0"/>
          <w:i w:val="0"/>
          <w:sz w:val="21"/>
          <w:szCs w:val="24"/>
        </w:rPr>
        <w:t>，承担执行性技术工作离职影响相对有限</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违约金调整的空间更大</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对于</w:t>
      </w:r>
      <w:r>
        <w:rPr>
          <w:rFonts w:ascii="宋体" w:hAnsi="宋体" w:eastAsia="宋体" w:cs="宋体"/>
          <w:b w:val="0"/>
          <w:bCs w:val="0"/>
          <w:i w:val="0"/>
          <w:sz w:val="21"/>
          <w:szCs w:val="24"/>
        </w:rPr>
        <w:t>非保密信息</w:t>
      </w:r>
      <w:r>
        <w:rPr>
          <w:rFonts w:hint="eastAsia" w:cs="宋体" w:eastAsia="宋体" w:ascii="宋体" w:hAnsi="宋体"/>
          <w:b w:val="0"/>
          <w:bCs w:val="0"/>
          <w:i w:val="0"/>
          <w:sz w:val="21"/>
          <w:szCs w:val="24"/>
          <w:lang w:val="en-US" w:eastAsia="zh-CN"/>
        </w:rPr>
        <w:t>或者核心技术的一般劳动者来说，因其可替代性强，未接触用人单位的核心事项的特点，其在离职后加入到与原用人单位有竞争关系的企业所造成的</w:t>
      </w:r>
      <w:r>
        <w:rPr>
          <w:rFonts w:ascii="宋体" w:hAnsi="宋体" w:eastAsia="宋体" w:cs="宋体"/>
          <w:b w:val="0"/>
          <w:bCs w:val="0"/>
          <w:i w:val="0"/>
          <w:sz w:val="21"/>
          <w:szCs w:val="24"/>
        </w:rPr>
        <w:t>“非典型损害”</w:t>
      </w:r>
      <w:r>
        <w:rPr>
          <w:rFonts w:hint="eastAsia" w:cs="宋体" w:eastAsia="宋体" w:ascii="宋体" w:hAnsi="宋体"/>
          <w:b w:val="0"/>
          <w:bCs w:val="0"/>
          <w:i w:val="0"/>
          <w:sz w:val="21"/>
          <w:szCs w:val="24"/>
          <w:lang w:val="en-US" w:eastAsia="zh-CN"/>
        </w:rPr>
        <w:t>几乎可以忽略不计</w:t>
      </w:r>
      <w:r>
        <w:rPr>
          <w:rFonts w:ascii="宋体" w:hAnsi="宋体" w:eastAsia="宋体" w:cs="宋体"/>
          <w:b w:val="0"/>
          <w:bCs w:val="0"/>
          <w:i w:val="0"/>
          <w:sz w:val="21"/>
          <w:szCs w:val="24"/>
        </w:rPr>
        <w:t>。</w:t>
      </w:r>
    </w:p>
    <w:p w14:paraId="0635FE40">
      <w:pPr>
        <w:spacing w:line="240" w:lineRule="auto" w:before="0" w:after="0" w:beforeLines="0" w:afterLines="0"/>
        <w:ind w:firstLineChars="200" w:leftChars="0" w:hangingChars="0"/>
        <w:jc w:val="left"/>
      </w:pPr>
      <w:r>
        <w:rPr>
          <w:rFonts w:ascii="宋体" w:hAnsi="宋体" w:eastAsia="宋体" w:cs="宋体"/>
          <w:b w:val="0"/>
          <w:bCs w:val="0"/>
          <w:i w:val="0"/>
          <w:sz w:val="21"/>
          <w:szCs w:val="24"/>
        </w:rPr>
        <w:t>不同的接触程度决定了“造成的损失”在评估上的差异。竞业限制义务限于劳动者知悉的保密事项范围，违约金所担保的“不作为义务范围”与违约金数额间应存在比例关联</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即</w:t>
      </w:r>
      <w:r>
        <w:rPr>
          <w:rFonts w:ascii="宋体" w:hAnsi="宋体" w:eastAsia="宋体" w:cs="宋体"/>
          <w:b w:val="0"/>
          <w:bCs w:val="0"/>
          <w:i w:val="0"/>
          <w:sz w:val="21"/>
          <w:szCs w:val="24"/>
        </w:rPr>
        <w:t>范围越窄，合理性上限越低，调整空间越大。从规范目的角度对竞业限制制度的反思</w:t>
      </w:r>
      <w:r>
        <w:rPr>
          <w:rFonts w:hint="eastAsia" w:cs="宋体" w:eastAsia="宋体" w:ascii="宋体" w:hAnsi="宋体"/>
          <w:b w:val="0"/>
          <w:bCs w:val="0"/>
          <w:i w:val="0"/>
          <w:sz w:val="21"/>
          <w:szCs w:val="24"/>
          <w:lang w:val="en-US" w:eastAsia="zh-CN"/>
        </w:rPr>
        <w:t>的角度来看，</w:t>
      </w:r>
      <w:r>
        <w:rPr>
          <w:rFonts w:ascii="宋体" w:hAnsi="宋体" w:eastAsia="宋体" w:cs="宋体"/>
          <w:b w:val="0"/>
          <w:bCs w:val="0"/>
          <w:i w:val="0"/>
          <w:sz w:val="21"/>
          <w:szCs w:val="24"/>
        </w:rPr>
        <w:t>竞业限制制度的目的在于保护用人单位的正当竞争利益而非赋予其封锁劳动者就业市场的权力，违约金作为担保竞业限制义务的工具，其正当性以竞业限制义务本身的正当范围为其边界。</w:t>
      </w:r>
      <w:r>
        <w:rPr>
          <w:rFonts w:eastAsia="宋体" w:ascii="宋体" w:hAnsi="宋体" w:cs="宋体"/>
          <w:rStyle w:val="10"/>
          <w:b w:val="0"/>
          <w:i w:val="0"/>
          <w:sz w:val="21"/>
        </w:rPr>
        <w:footnoteReference w:id="28"/>
      </w:r>
    </w:p>
    <w:p w14:paraId="5B072174">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竞业限制违约金虽然以压力功能为核心，但它仍然</w:t>
      </w:r>
      <w:r>
        <w:rPr>
          <w:rFonts w:hint="eastAsia" w:cs="宋体" w:eastAsia="宋体" w:ascii="宋体" w:hAnsi="宋体"/>
          <w:b w:val="0"/>
          <w:bCs w:val="0"/>
          <w:i w:val="0"/>
          <w:sz w:val="21"/>
          <w:szCs w:val="24"/>
          <w:lang w:val="en-US" w:eastAsia="zh-CN"/>
        </w:rPr>
        <w:t>作为</w:t>
      </w:r>
      <w:r>
        <w:rPr>
          <w:rFonts w:ascii="宋体" w:hAnsi="宋体" w:eastAsia="宋体" w:cs="宋体"/>
          <w:b w:val="0"/>
          <w:bCs w:val="0"/>
          <w:i w:val="0"/>
          <w:sz w:val="21"/>
          <w:szCs w:val="24"/>
        </w:rPr>
        <w:t>一个双务合同</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用人单位通过支付补偿金换取劳动者的不作为。补偿金水平在很大程度上反映了用人单位自身对“保护必要性”的估价。</w:t>
      </w:r>
      <w:r>
        <w:rPr>
          <w:rFonts w:hint="eastAsia" w:ascii="宋体" w:hAnsi="宋体" w:eastAsia="宋体" w:cs="宋体"/>
          <w:b w:val="0"/>
          <w:bCs w:val="0"/>
          <w:i w:val="0"/>
          <w:sz w:val="21"/>
          <w:szCs w:val="24"/>
          <w:lang w:val="en-US" w:eastAsia="zh-CN"/>
        </w:rPr>
        <w:t>竞业限制补偿金的充分性补偿金是用人单位为“购买”劳动者不作为义务所支付的对价，补偿金水平与违约金数额间的比例是判断违约金“过分高于”的最直观参照。在（2022）粤0112民初32652号案中，补偿金290元/月、三年补偿金总额仅为10,440元，而违约金为90,000元，比例接近九倍，这种悬殊本身就构成需要调整的初步证据。在（2022）鲁1392民初3364号案中，补偿金300元/月且从未实际支付，违约金却高达30万元，法院最终以三个月补偿金的二倍（1,800元）酌定违约金。</w:t>
      </w:r>
    </w:p>
    <w:p w14:paraId="4ED31FD5">
      <w:pPr>
        <w:spacing w:line="240" w:lineRule="auto" w:before="0" w:after="0" w:beforeLines="0" w:afterLines="0"/>
        <w:ind w:firstLineChars="200" w:leftChars="0" w:hangingChars="0"/>
        <w:jc w:val="left"/>
        <w:rPr>
          <w:rFonts w:ascii="宋体" w:hAnsi="宋体" w:eastAsia="宋体" w:cs="宋体"/>
          <w:b w:val="0"/>
          <w:bCs w:val="0"/>
          <w:sz w:val="24"/>
          <w:szCs w:val="24"/>
        </w:rPr>
      </w:pPr>
      <w:r>
        <w:rPr>
          <w:rFonts w:ascii="宋体" w:hAnsi="宋体" w:eastAsia="宋体" w:cs="宋体"/>
          <w:b w:val="0"/>
          <w:bCs w:val="0"/>
          <w:i w:val="0"/>
          <w:sz w:val="21"/>
          <w:szCs w:val="24"/>
        </w:rPr>
        <w:t>当用人单位自身都未给予这种保护以充分的估价时，它要求法院给予完整保护的正当性就被削弱了。补偿金低于当地最低工资标准的案件中，违约金调减幅度显著高于补偿金充分的案件；补偿金达到劳动者原薪酬50%以上的案件中，法院普遍更为尊重约定数额。补偿金与违约金的比例分析需要与劳动者接触</w:t>
      </w:r>
      <w:r>
        <w:rPr>
          <w:rFonts w:hint="eastAsia" w:cs="宋体" w:eastAsia="宋体" w:ascii="宋体" w:hAnsi="宋体"/>
          <w:b w:val="0"/>
          <w:bCs w:val="0"/>
          <w:i w:val="0"/>
          <w:sz w:val="21"/>
          <w:szCs w:val="24"/>
          <w:lang w:val="en-US" w:eastAsia="zh-CN"/>
        </w:rPr>
        <w:t>核心事项的程</w:t>
      </w:r>
      <w:r>
        <w:rPr>
          <w:rFonts w:ascii="宋体" w:hAnsi="宋体" w:eastAsia="宋体" w:cs="宋体"/>
          <w:b w:val="0"/>
          <w:bCs w:val="0"/>
          <w:i w:val="0"/>
          <w:sz w:val="21"/>
          <w:szCs w:val="24"/>
        </w:rPr>
        <w:t>度相配合。对于第一梯度的核心接触者，即使补偿金水平不高，其违约造成的潜在竞争损害仍然较大，违约金不宜仅因补偿金偏低而大幅调减；对于第三梯度的</w:t>
      </w:r>
      <w:r>
        <w:rPr>
          <w:rFonts w:hint="eastAsia" w:cs="宋体" w:eastAsia="宋体" w:ascii="宋体" w:hAnsi="宋体"/>
          <w:b w:val="0"/>
          <w:bCs w:val="0"/>
          <w:i w:val="0"/>
          <w:sz w:val="21"/>
          <w:szCs w:val="24"/>
          <w:lang w:val="en-US" w:eastAsia="zh-CN"/>
        </w:rPr>
        <w:t>非核心</w:t>
      </w:r>
      <w:r>
        <w:rPr>
          <w:rFonts w:ascii="宋体" w:hAnsi="宋体" w:eastAsia="宋体" w:cs="宋体"/>
          <w:b w:val="0"/>
          <w:bCs w:val="0"/>
          <w:i w:val="0"/>
          <w:sz w:val="21"/>
          <w:szCs w:val="24"/>
        </w:rPr>
        <w:t>信息接触者，如果补偿金水平极低，说明用人单位自身对保护必要性估价不高，违约金应更大幅度地调减。</w:t>
      </w:r>
    </w:p>
    <w:p w14:paraId="52DB503A">
      <w:pPr>
        <w:spacing w:line="240" w:lineRule="auto" w:before="0" w:after="0" w:beforeLines="0" w:afterLines="0"/>
        <w:ind w:firstLineChars="200" w:leftChars="0" w:hangingChars="0"/>
        <w:jc w:val="left"/>
        <w:rPr>
          <w:rFonts w:ascii="宋体" w:hAnsi="宋体" w:eastAsia="宋体" w:cs="宋体"/>
          <w:b w:val="0"/>
          <w:bCs w:val="0"/>
          <w:sz w:val="24"/>
          <w:szCs w:val="24"/>
        </w:rPr>
      </w:pPr>
      <w:r>
        <w:rPr>
          <w:rFonts w:ascii="宋体" w:hAnsi="宋体" w:eastAsia="宋体" w:cs="宋体"/>
          <w:b w:val="0"/>
          <w:bCs w:val="0"/>
          <w:i w:val="0"/>
          <w:sz w:val="21"/>
          <w:szCs w:val="24"/>
        </w:rPr>
        <w:t>技术迭代周期与市场替代速度不同行业的技术迭代速度</w:t>
      </w:r>
      <w:r>
        <w:rPr>
          <w:rFonts w:hint="eastAsia" w:cs="宋体" w:eastAsia="宋体" w:ascii="宋体" w:hAnsi="宋体"/>
          <w:b w:val="0"/>
          <w:bCs w:val="0"/>
          <w:i w:val="0"/>
          <w:sz w:val="21"/>
          <w:szCs w:val="24"/>
          <w:lang w:val="en-US" w:eastAsia="zh-CN"/>
        </w:rPr>
        <w:t>也会影响在竞业限制合同中违约金的调整</w:t>
      </w:r>
      <w:r>
        <w:rPr>
          <w:rFonts w:ascii="宋体" w:hAnsi="宋体" w:eastAsia="宋体" w:cs="宋体"/>
          <w:b w:val="0"/>
          <w:bCs w:val="0"/>
          <w:i w:val="0"/>
          <w:sz w:val="21"/>
          <w:szCs w:val="24"/>
        </w:rPr>
        <w:t>。</w:t>
      </w:r>
      <w:r>
        <w:rPr>
          <w:rStyle w:val="10"/>
          <w:rFonts w:ascii="宋体" w:hAnsi="宋体" w:eastAsia="宋体" w:cs="宋体"/>
          <w:b w:val="0"/>
          <w:bCs w:val="0"/>
          <w:i w:val="0"/>
          <w:sz w:val="21"/>
          <w:szCs w:val="24"/>
        </w:rPr>
        <w:footnoteReference w:id="29"/>
      </w:r>
      <w:r>
        <w:rPr>
          <w:rFonts w:ascii="宋体" w:hAnsi="宋体" w:eastAsia="宋体" w:cs="宋体"/>
          <w:b w:val="0"/>
          <w:bCs w:val="0"/>
          <w:i w:val="0"/>
          <w:sz w:val="21"/>
          <w:szCs w:val="24"/>
        </w:rPr>
        <w:t>在互联网和人工智能行业，技术代际更替可能只需要18到24个月，竞业限制法定二年上限可能已经超出实际保护诉求，劳动者离职一年多后其原掌握的技术知识可能已经因行业迭代而过时，违约金中对应超出有效保护期部分的</w:t>
      </w:r>
      <w:r>
        <w:rPr>
          <w:rFonts w:hint="eastAsia" w:cs="宋体" w:eastAsia="宋体" w:ascii="宋体" w:hAnsi="宋体"/>
          <w:b w:val="0"/>
          <w:bCs w:val="0"/>
          <w:i w:val="0"/>
          <w:sz w:val="21"/>
          <w:szCs w:val="24"/>
          <w:lang w:val="en-US" w:eastAsia="zh-CN"/>
        </w:rPr>
        <w:t>不可赔偿损害的正当性</w:t>
      </w:r>
      <w:r>
        <w:rPr>
          <w:rFonts w:ascii="宋体" w:hAnsi="宋体" w:eastAsia="宋体" w:cs="宋体"/>
          <w:b w:val="0"/>
          <w:bCs w:val="0"/>
          <w:i w:val="0"/>
          <w:sz w:val="21"/>
          <w:szCs w:val="24"/>
        </w:rPr>
        <w:t>遭到削弱。在生物医药行业，药品研发周期长达五到十年，核心技术人员对特定靶点、化合物和临床路径的认知在多年后仍具有竞争价值，违约金调整应更为节制。</w:t>
      </w:r>
      <w:r>
        <w:rPr>
          <w:rFonts w:hint="eastAsia" w:cs="宋体" w:eastAsia="宋体" w:ascii="宋体" w:hAnsi="宋体"/>
          <w:b w:val="0"/>
          <w:bCs w:val="0"/>
          <w:i w:val="0"/>
          <w:sz w:val="21"/>
          <w:szCs w:val="24"/>
          <w:lang w:val="en-US" w:eastAsia="zh-CN"/>
        </w:rPr>
        <w:t>在</w:t>
      </w:r>
      <w:r>
        <w:rPr>
          <w:rFonts w:ascii="宋体" w:hAnsi="宋体" w:eastAsia="宋体" w:cs="宋体"/>
          <w:b w:val="0"/>
          <w:bCs w:val="0"/>
          <w:i w:val="0"/>
          <w:sz w:val="21"/>
          <w:szCs w:val="24"/>
        </w:rPr>
        <w:t>2025年最高法劳动争议典型案例四在生物医药领域竞争关系的认定中，法院依当事人申请准许具有专门知识的人到庭，辅助查明相关药物的技术原理、适应症和用药方案</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以此来判断竞业限制的合理性以及违约金调整的数额</w:t>
      </w:r>
      <w:r>
        <w:rPr>
          <w:rFonts w:ascii="宋体" w:hAnsi="宋体" w:eastAsia="宋体" w:cs="宋体"/>
          <w:b w:val="0"/>
          <w:bCs w:val="0"/>
          <w:i w:val="0"/>
          <w:sz w:val="21"/>
          <w:szCs w:val="24"/>
        </w:rPr>
        <w:t>。</w:t>
      </w:r>
    </w:p>
    <w:p w14:paraId="09BCF74A">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eastAsia"/>
          <w:lang w:val="en-US" w:eastAsia="zh-CN"/>
        </w:rPr>
      </w:pPr>
      <w:r>
        <w:rPr>
          <w:rFonts w:hint="eastAsia" w:ascii="宋体" w:hAnsi="宋体" w:cs="宋体" w:eastAsia="楷体"/>
          <w:b/>
          <w:i w:val="0"/>
          <w:kern w:val="2"/>
          <w:sz w:val="24"/>
          <w:szCs w:val="24"/>
          <w:lang w:val="en-US" w:eastAsia="zh-CN" w:bidi="ar-SA"/>
        </w:rPr>
        <w:t>（三）</w:t>
      </w:r>
      <w:r>
        <w:rPr>
          <w:rFonts w:hint="eastAsia" w:ascii="宋体" w:hAnsi="宋体" w:eastAsia="楷体" w:cs="宋体"/>
          <w:b/>
          <w:bCs w:val="0"/>
          <w:i w:val="0"/>
          <w:kern w:val="2"/>
          <w:sz w:val="24"/>
          <w:szCs w:val="24"/>
          <w:lang w:val="en-US" w:eastAsia="zh-CN" w:bidi="ar-SA"/>
        </w:rPr>
        <w:t>劳动者一侧的权利保护</w:t>
      </w:r>
    </w:p>
    <w:p w14:paraId="30784F56">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竞业范围与期限的合理性竞业限制范围超出劳动者实际接触的竞争领域，意味着为担保超出部分的违约金失去了正当基础。在指导案例190号中，万得公司是金融信息服务商，哔哩哔哩是视频平台，两者的经营范围在纸面上存在重合，但实质竞争关联被否定。</w:t>
      </w:r>
      <w:r>
        <w:rPr>
          <w:rStyle w:val="10"/>
          <w:rFonts w:ascii="宋体" w:hAnsi="宋体" w:eastAsia="宋体" w:cs="宋体"/>
          <w:b w:val="0"/>
          <w:bCs w:val="0"/>
          <w:i w:val="0"/>
          <w:sz w:val="21"/>
          <w:szCs w:val="24"/>
        </w:rPr>
        <w:footnoteReference w:id="30"/>
      </w:r>
      <w:r>
        <w:rPr>
          <w:rFonts w:ascii="宋体" w:hAnsi="宋体" w:eastAsia="宋体" w:cs="宋体"/>
          <w:b w:val="0"/>
          <w:bCs w:val="0"/>
          <w:i w:val="0"/>
          <w:sz w:val="21"/>
          <w:szCs w:val="24"/>
        </w:rPr>
        <w:t>法院判断竞业范围对劳动者的影响时应穿透经营范围的形式外观，考察实质限制效果。如果竞业限制条款将“所有与甲方业务有竞争关联的企业”全部纳入竞业范围，对非技术类劳动者而言这几乎覆盖了其全部潜在就业机会，在实质上接近职业禁止，违约金调整幅度应显著增大。</w:t>
      </w:r>
    </w:p>
    <w:p w14:paraId="66F6B1B5">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竞业范围的合理性判断应采取“主体—地域—行业”三重限缩标准，竞业限制的范围应与劳动者的岗位性质（主体）、用人单位业务覆盖的地理区域（地域）、劳动者实际接触的业务类型（行业）保持合理关联。</w:t>
      </w:r>
      <w:r>
        <w:rPr>
          <w:rStyle w:val="10"/>
          <w:rFonts w:ascii="宋体" w:hAnsi="宋体" w:eastAsia="宋体" w:cs="宋体"/>
          <w:b w:val="0"/>
          <w:bCs w:val="0"/>
          <w:i w:val="0"/>
          <w:sz w:val="21"/>
          <w:szCs w:val="24"/>
        </w:rPr>
        <w:footnoteReference w:id="31"/>
      </w:r>
      <w:r>
        <w:rPr>
          <w:rFonts w:ascii="宋体" w:hAnsi="宋体" w:eastAsia="宋体" w:cs="宋体"/>
          <w:b w:val="0"/>
          <w:bCs w:val="0"/>
          <w:i w:val="0"/>
          <w:sz w:val="21"/>
          <w:szCs w:val="24"/>
        </w:rPr>
        <w:t>当竞业范围超出任何一个维度的合理边界时，违约金的正当性就相应被削弱。例如，一个仅在某省开展业务的用人单位将竞业范围扩展至全国，此种地理范围的泛化不应通过违约金来获得担保；一个仅从事药品销售的企业将竞业范围扩及全部医疗健康产业，竞业范围与劳动者实际接触业务的关联已极为薄弱，违约金中对应超出合理范围部分的压力功能已失去了制度正当性。</w:t>
      </w:r>
    </w:p>
    <w:p w14:paraId="5B5669FB">
      <w:pPr>
        <w:spacing w:line="240" w:lineRule="auto" w:before="0" w:after="0" w:beforeLines="0" w:afterLines="0"/>
        <w:ind w:firstLineChars="200" w:leftChars="0" w:hangingChars="0"/>
        <w:jc w:val="left"/>
      </w:pPr>
      <w:r>
        <w:rPr>
          <w:rFonts w:hint="eastAsia" w:cs="宋体" w:eastAsia="宋体" w:ascii="宋体" w:hAnsi="宋体"/>
          <w:b w:val="0"/>
          <w:bCs w:val="0"/>
          <w:i w:val="0"/>
          <w:sz w:val="21"/>
          <w:szCs w:val="24"/>
          <w:lang w:val="en-US" w:eastAsia="zh-CN"/>
        </w:rPr>
        <w:t>在竞业期限的考量中，</w:t>
      </w:r>
      <w:r>
        <w:rPr>
          <w:rFonts w:ascii="宋体" w:hAnsi="宋体" w:eastAsia="宋体" w:cs="宋体"/>
          <w:b w:val="0"/>
          <w:bCs w:val="0"/>
          <w:i w:val="0"/>
          <w:sz w:val="21"/>
          <w:szCs w:val="24"/>
        </w:rPr>
        <w:t>超过法定二年上限的部分直接无效，但在二年法定范围内，如果竞业期限与行业特性相比明显过长</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如技术迭代仅一年的行业中约定二年竞业限制</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也应作为降低违约金的考量因素。期限越长，劳动者职业自由受到的实质限制越严重，违约金所对应的压力在时间维度上的正当性越弱。在互联网行业，超过一年的竞业限制期限可能已经超出了实际保护诉求；在传统制造业，二年的期限可能恰好合理。法院应当结合行业通行做法和劳动者岗位特性，对竞业期限的实质合理性作出判断，这与指导案例190号“实质性竞争关联”判断的内在逻辑是一致的</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即</w:t>
      </w:r>
      <w:r>
        <w:rPr>
          <w:rFonts w:ascii="宋体" w:hAnsi="宋体" w:eastAsia="宋体" w:cs="宋体"/>
          <w:b w:val="0"/>
          <w:bCs w:val="0"/>
          <w:i w:val="0"/>
          <w:sz w:val="21"/>
          <w:szCs w:val="24"/>
        </w:rPr>
        <w:t>形式上的合规不排斥实质上的合理性审查。</w:t>
      </w:r>
      <w:r>
        <w:rPr>
          <w:rFonts w:eastAsia="宋体" w:ascii="宋体" w:hAnsi="宋体" w:cs="宋体"/>
          <w:rStyle w:val="10"/>
          <w:b w:val="0"/>
          <w:i w:val="0"/>
          <w:sz w:val="21"/>
        </w:rPr>
        <w:footnoteReference w:id="32"/>
      </w:r>
    </w:p>
    <w:p w14:paraId="5C293689">
      <w:pPr>
        <w:spacing w:line="240" w:lineRule="auto" w:before="0" w:after="0" w:beforeLines="0" w:afterLines="0"/>
        <w:ind w:firstLineChars="200" w:leftChars="0" w:hangingChars="0"/>
        <w:jc w:val="left"/>
        <w:rPr>
          <w:rFonts w:ascii="宋体" w:hAnsi="宋体" w:eastAsia="宋体" w:cs="宋体"/>
          <w:b w:val="0"/>
          <w:bCs w:val="0"/>
          <w:sz w:val="24"/>
          <w:szCs w:val="24"/>
        </w:rPr>
      </w:pPr>
      <w:r>
        <w:rPr>
          <w:rFonts w:ascii="宋体" w:hAnsi="宋体" w:eastAsia="宋体" w:cs="宋体"/>
          <w:b w:val="0"/>
          <w:bCs w:val="0"/>
          <w:i w:val="0"/>
          <w:sz w:val="21"/>
          <w:szCs w:val="24"/>
        </w:rPr>
        <w:t>劳动者违约收益与职业发展阻碍压力性违约金的压力强度应在“足以威慑但不过度”的区间内。从正向判断，违约金至少应不低于劳动者的违约收益</w:t>
      </w:r>
      <w:r>
        <w:rPr>
          <w:rFonts w:hint="eastAsia" w:cs="宋体" w:eastAsia="宋体" w:ascii="宋体" w:hAnsi="宋体"/>
          <w:b w:val="0"/>
          <w:bCs w:val="0"/>
          <w:i w:val="0"/>
          <w:sz w:val="21"/>
          <w:szCs w:val="24"/>
          <w:lang w:val="en-US" w:eastAsia="zh-CN"/>
        </w:rPr>
        <w:t>与</w:t>
      </w:r>
      <w:r>
        <w:rPr>
          <w:rFonts w:ascii="宋体" w:hAnsi="宋体" w:eastAsia="宋体" w:cs="宋体"/>
          <w:b w:val="0"/>
          <w:bCs w:val="0"/>
          <w:i w:val="0"/>
          <w:sz w:val="21"/>
          <w:szCs w:val="24"/>
        </w:rPr>
        <w:t>新工作薪酬的差额加上预期的职业发展收益，否则威慑效果丧失。从反向判断，如果违约金远超违约收益，压力已不成比例地过高。违约收益可以包括新工作薪酬与原工作薪酬的差额，扣减劳动者本可获得的补偿金后的净收益。将传统的“债权人损失”比较拓展为“债务人收益”的考量，违约金调整的公平原则要求全面考量双方的利益格局。</w:t>
      </w:r>
    </w:p>
    <w:p w14:paraId="3ECE8138">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竞业限制对劳动者职业发展的实质阻碍程度是另一个重要考量。在2025年典型案例四中，法院将竞业限制义务限定于特定两款药物，劳动者在其他药物领域的就业自由不受限制。此种限缩解释本身就说明，如果竞业限制的范围和期限导致劳动者被迫转入完全不同行业、长期无法发挥既有专业技能，违约金的压力便已超出竞业限制制度的正当目的。在权衡过程中，一个有用的思考框架是：如果执行约定违约金将使劳动者在竞业期限内实质上丧失在相关行业中谋生的能力，那么违约金就应该被调低。这不是出于对劳动者的同情，而是因为这种压力水平已经超出了担保竞业限制义务的实际需要，违约金已从履约保障异化为对劳动者流动的不当约束。</w:t>
      </w:r>
    </w:p>
    <w:p w14:paraId="6A3C4F46">
      <w:pPr>
        <w:spacing w:line="240" w:lineRule="auto" w:before="0" w:after="0" w:beforeLines="0" w:afterLines="0"/>
        <w:ind w:firstLineChars="200" w:leftChars="0" w:hangingChars="0"/>
        <w:jc w:val="left"/>
      </w:pPr>
      <w:r>
        <w:rPr>
          <w:rFonts w:ascii="宋体" w:hAnsi="宋体" w:eastAsia="宋体" w:cs="宋体"/>
          <w:b w:val="0"/>
          <w:bCs w:val="0"/>
          <w:i w:val="0"/>
          <w:sz w:val="21"/>
          <w:szCs w:val="24"/>
        </w:rPr>
        <w:t>违约收益分析在劳动竞业限制与商事竞业禁止中的权重应有所不同。在劳动竞业限制中，劳动者的违约收益通常以薪酬差额为主要形式，相较于用人单位的竞争利益损害，其在权衡中的权重应受一定限制。过分强调“违约收益”因素可能导致威慑不足，使违约金制度失去对劳动者的行为约束功能。在商事竞业禁止中，违约方的违约收益（如利用原公司的客户资源获取商业利润）与违约金的关系更为对称，违约收益的考量权重可以适当提升。</w:t>
      </w:r>
    </w:p>
    <w:p w14:paraId="2A9F8903">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eastAsia"/>
          <w:lang w:val="en-US" w:eastAsia="zh-CN"/>
        </w:rPr>
      </w:pPr>
      <w:r>
        <w:rPr>
          <w:rFonts w:hint="eastAsia" w:ascii="宋体" w:hAnsi="宋体" w:cs="宋体" w:eastAsia="楷体"/>
          <w:b/>
          <w:i w:val="0"/>
          <w:kern w:val="2"/>
          <w:sz w:val="24"/>
          <w:szCs w:val="24"/>
          <w:lang w:val="en-US" w:eastAsia="zh-CN" w:bidi="ar-SA"/>
        </w:rPr>
        <w:t>（三）</w:t>
      </w:r>
      <w:r>
        <w:rPr>
          <w:rFonts w:hint="eastAsia" w:ascii="宋体" w:hAnsi="宋体" w:eastAsia="楷体" w:cs="宋体"/>
          <w:b/>
          <w:i w:val="0"/>
          <w:kern w:val="2"/>
          <w:sz w:val="24"/>
          <w:szCs w:val="24"/>
          <w:lang w:val="en-US" w:eastAsia="zh-CN" w:bidi="ar-SA"/>
        </w:rPr>
        <w:t>恶意违约的情境化处理</w:t>
      </w:r>
    </w:p>
    <w:p w14:paraId="2664FB6E">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《合同编通则解释》第65条第3款确立恶意违约不得酌减的规则，规范基础在于诚实信用原则</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即</w:t>
      </w:r>
      <w:r>
        <w:rPr>
          <w:rFonts w:ascii="宋体" w:hAnsi="宋体" w:eastAsia="宋体" w:cs="宋体"/>
          <w:b w:val="0"/>
          <w:bCs w:val="0"/>
          <w:i w:val="0"/>
          <w:sz w:val="21"/>
          <w:szCs w:val="24"/>
        </w:rPr>
        <w:t>任何人不得从自己的背信行为中获利。竞业限制违约相较于一般合同违约，其背信性质更为显著。劳动者在劳动关系存续期间获取了用人单位的商业秘密和保密信息，离职后利用这些信息从事竞争行为，本身就构成了对劳动关系中信任基础的破坏。</w:t>
      </w:r>
    </w:p>
    <w:p w14:paraId="44334E65">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在竞业限制领域，恶意违约的典型形态包括三种。其一，预谋型——离职前就已策划在竞争企业就职或自办竞争企业。此种形态中，劳动者在尚未离职时即已开始筹划违约，其行为在时间维度上跨越了劳动关系存续期间和竞业限制期间，背信程度最深。其二，在职违约型——劳动合同存续期间已开始实施竞业行为。2025年典型案例五即为此种形态：劳动者在职期间自行联络供货商向公司客户出售布匹，所得货款归己所有，法院认定其不仅违反竞业限制义务还违反忠实义务，判决承担违约责任。此种形态中，劳动者的忠实义务与竞业限制义务同时被违反，双重背信使排除酌减的正当性更为充分。其三，组织型——拉拢在职同事集体跳槽至竞争企业。此种形态不仅涉及单个劳动者的违约，还会对用人单位的人力资源造成系统性冲击。</w:t>
      </w:r>
    </w:p>
    <w:p w14:paraId="5495D2EA">
      <w:pPr>
        <w:spacing w:line="240" w:lineRule="auto" w:before="0" w:after="0" w:beforeLines="0" w:afterLines="0"/>
        <w:ind w:firstLineChars="200" w:leftChars="0" w:hangingChars="0"/>
        <w:jc w:val="left"/>
      </w:pPr>
      <w:r>
        <w:rPr>
          <w:rFonts w:ascii="宋体" w:hAnsi="宋体" w:eastAsia="宋体" w:cs="宋体"/>
          <w:b w:val="0"/>
          <w:bCs w:val="0"/>
          <w:i w:val="0"/>
          <w:sz w:val="21"/>
          <w:szCs w:val="24"/>
        </w:rPr>
        <w:t>三种形态的共性是违约行为并非临时判断失误，而是有预谋、有组织的背信行为。在司法效果上应作三阶区分。第一阶</w:t>
      </w:r>
      <w:r>
        <w:rPr>
          <w:rFonts w:hint="eastAsia" w:cs="宋体" w:eastAsia="宋体" w:ascii="宋体" w:hAnsi="宋体"/>
          <w:b w:val="0"/>
          <w:bCs w:val="0"/>
          <w:i w:val="0"/>
          <w:sz w:val="21"/>
          <w:szCs w:val="24"/>
          <w:lang w:val="en-US" w:eastAsia="zh-CN"/>
        </w:rPr>
        <w:t>段为</w:t>
      </w:r>
      <w:r>
        <w:rPr>
          <w:rFonts w:ascii="宋体" w:hAnsi="宋体" w:eastAsia="宋体" w:cs="宋体"/>
          <w:b w:val="0"/>
          <w:bCs w:val="0"/>
          <w:i w:val="0"/>
          <w:sz w:val="21"/>
          <w:szCs w:val="24"/>
        </w:rPr>
        <w:t>恶意违约</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应</w:t>
      </w:r>
      <w:r>
        <w:rPr>
          <w:rFonts w:ascii="宋体" w:hAnsi="宋体" w:eastAsia="宋体" w:cs="宋体"/>
          <w:b w:val="0"/>
          <w:bCs w:val="0"/>
          <w:i w:val="0"/>
          <w:sz w:val="21"/>
          <w:szCs w:val="24"/>
        </w:rPr>
        <w:t>排除调整，全额支持约定违约金。指导案例166号确立</w:t>
      </w:r>
      <w:r>
        <w:rPr>
          <w:rFonts w:hint="eastAsia" w:cs="宋体" w:eastAsia="宋体" w:ascii="宋体" w:hAnsi="宋体"/>
          <w:b w:val="0"/>
          <w:bCs w:val="0"/>
          <w:i w:val="0"/>
          <w:sz w:val="21"/>
          <w:szCs w:val="24"/>
          <w:lang w:val="en-US" w:eastAsia="zh-CN"/>
        </w:rPr>
        <w:t>,</w:t>
      </w:r>
      <w:r>
        <w:rPr>
          <w:rFonts w:ascii="宋体" w:hAnsi="宋体" w:eastAsia="宋体" w:cs="宋体"/>
          <w:b w:val="0"/>
          <w:bCs w:val="0"/>
          <w:i w:val="0"/>
          <w:sz w:val="21"/>
          <w:szCs w:val="24"/>
        </w:rPr>
        <w:t>和解协议中自愿承诺违约金后恶意违约者不得请求调减</w:t>
      </w:r>
      <w:r>
        <w:rPr>
          <w:rFonts w:hint="eastAsia" w:cs="宋体" w:eastAsia="宋体" w:ascii="宋体" w:hAnsi="宋体"/>
          <w:b w:val="0"/>
          <w:bCs w:val="0"/>
          <w:i w:val="0"/>
          <w:sz w:val="21"/>
          <w:szCs w:val="24"/>
          <w:lang w:val="en-US" w:eastAsia="zh-CN"/>
        </w:rPr>
        <w:t>.</w:t>
      </w:r>
      <w:r>
        <w:rPr>
          <w:rFonts w:ascii="宋体" w:hAnsi="宋体" w:eastAsia="宋体" w:cs="宋体"/>
          <w:b w:val="0"/>
          <w:bCs w:val="0"/>
          <w:i w:val="0"/>
          <w:sz w:val="21"/>
          <w:szCs w:val="24"/>
        </w:rPr>
        <w:t>在竞业限制领域同样适用：预谋入职竞争对手并拉拢同事的劳动者，不得在事后以“违约金过高”为由请求减免。在（2018）京0107民初27259号案中，劳动者在职期间与竞争公司签订合作协议并领取51万元入职奖励金，同时支持妻子注册成立经营范围重合的公司。此种双重违约行为明显构成恶意，法院虽未明确援引恶意违约排除规则，但仅将违约金从10万元调减至8万元（调减20%），远低于一般劳动竞业限制案件的调减幅度，实质上体现了对恶意违约的从严处理。</w:t>
      </w:r>
    </w:p>
    <w:p w14:paraId="76B73A1A">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第二</w:t>
      </w:r>
      <w:r>
        <w:rPr>
          <w:rFonts w:hint="eastAsia" w:cs="宋体" w:eastAsia="宋体" w:ascii="宋体" w:hAnsi="宋体"/>
          <w:b w:val="0"/>
          <w:bCs w:val="0"/>
          <w:i w:val="0"/>
          <w:sz w:val="21"/>
          <w:szCs w:val="24"/>
          <w:lang w:val="en-US" w:eastAsia="zh-CN"/>
        </w:rPr>
        <w:t>阶段，</w:t>
      </w:r>
      <w:r>
        <w:rPr>
          <w:rFonts w:ascii="宋体" w:hAnsi="宋体" w:eastAsia="宋体" w:cs="宋体"/>
          <w:b w:val="0"/>
          <w:bCs w:val="0"/>
          <w:i w:val="0"/>
          <w:sz w:val="21"/>
          <w:szCs w:val="24"/>
        </w:rPr>
        <w:t>一般故意违约</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劳动者明知竞业限制义务存在仍选择去竞争企业工作，但无预谋策划。此种情形仍在动态比例框架内调整，但故意减少酌减幅度。法院认定退股股东钟立的行为“主观过错明显”，但同时承认双方约定的违约金制度“本即是为避免举证困难”，最终在商事竞业禁止框架下将违约金从150万元调减至100万元。这一调减本身即体现了“故意减少酌减幅度”的逻辑：如果是一般过失违约，在股权转让对价仅为18万元的情况下，调减幅度可能会更大。</w:t>
      </w:r>
      <w:r>
        <w:rPr>
          <w:rStyle w:val="10"/>
          <w:rFonts w:ascii="宋体" w:hAnsi="宋体" w:eastAsia="宋体" w:cs="宋体"/>
          <w:b w:val="0"/>
          <w:bCs w:val="0"/>
          <w:i w:val="0"/>
          <w:sz w:val="21"/>
          <w:szCs w:val="24"/>
        </w:rPr>
        <w:footnoteReference w:id="33"/>
      </w:r>
    </w:p>
    <w:p w14:paraId="1D29D181">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第三阶</w:t>
      </w:r>
      <w:r>
        <w:rPr>
          <w:rFonts w:hint="eastAsia" w:cs="宋体" w:eastAsia="宋体" w:ascii="宋体" w:hAnsi="宋体"/>
          <w:b w:val="0"/>
          <w:bCs w:val="0"/>
          <w:i w:val="0"/>
          <w:sz w:val="21"/>
          <w:szCs w:val="24"/>
          <w:lang w:val="en-US" w:eastAsia="zh-CN"/>
        </w:rPr>
        <w:t>段为</w:t>
      </w:r>
      <w:r>
        <w:rPr>
          <w:rFonts w:ascii="宋体" w:hAnsi="宋体" w:eastAsia="宋体" w:cs="宋体"/>
          <w:b w:val="0"/>
          <w:bCs w:val="0"/>
          <w:i w:val="0"/>
          <w:sz w:val="21"/>
          <w:szCs w:val="24"/>
        </w:rPr>
        <w:t>过失违约</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劳动者对竞争关联存在合理误解，或用人单位未就竞业范围作出充分说明，正常适用动态比例原则。在指导案例190号中，劳动者王山从金融信息服务企业跳槽至视频平台企业，两家企业的经营范围虽在纸面上存在重合，但实质竞争关联被否定。此类情形中，劳动者对竞业范围的理解偏差具有一定合理性，不足以认定为故意违约，应在动态比例框架内进行正常调整。</w:t>
      </w:r>
    </w:p>
    <w:p w14:paraId="3BF9161E">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在举证责任上，主张违约方存在恶意的一方（用人单位）应当就恶意的事实承担证明责任，包括预谋行为（如离职前与竞争企业的通讯记录、面试安排）、组织行为（如拉拢同事的证据）和在职违约行为（如在职期间为竞争企业提供服务）的具体证据。从黄冠的实证数据来看，用人单位能够成功证明恶意违约的案件比例极低。恶意违约排除规则在竞业限制领域还有一个特殊的意义维度：竞业限制作为以信任为基础的制度安排，恶意违约是对这种信任关联的根本性破坏。当劳动者不仅违反了不作为义务，而且是以有预谋、有组织的方式违反时，其行为已经不再是单纯的违约，而是构成了对双方合作关联的背叛。在此种情形下，法律不再给予背信者以公平保护的救济，不是出于惩罚的动机，而是因为背信者已经丧失了请求公平救济的道德资格。这符合“任何人不得从自己的背信行为中获利”这一诚信原则的基本要求。</w:t>
      </w:r>
    </w:p>
    <w:p w14:paraId="0FCC58FF">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eastAsia"/>
          <w:lang w:val="en-US" w:eastAsia="zh-CN"/>
        </w:rPr>
      </w:pPr>
      <w:r>
        <w:rPr>
          <w:rFonts w:hint="eastAsia" w:ascii="宋体" w:hAnsi="宋体" w:cs="宋体" w:eastAsia="楷体"/>
          <w:b/>
          <w:bCs w:val="0"/>
          <w:i w:val="0"/>
          <w:kern w:val="2"/>
          <w:sz w:val="24"/>
          <w:szCs w:val="24"/>
          <w:lang w:val="en-US" w:eastAsia="zh-CN" w:bidi="ar-SA"/>
        </w:rPr>
        <w:t>（六）</w:t>
      </w:r>
      <w:r>
        <w:rPr>
          <w:rFonts w:hint="eastAsia" w:ascii="宋体" w:hAnsi="宋体" w:eastAsia="楷体" w:cs="宋体"/>
          <w:b/>
          <w:bCs w:val="0"/>
          <w:i w:val="0"/>
          <w:kern w:val="2"/>
          <w:sz w:val="24"/>
          <w:szCs w:val="24"/>
          <w:lang w:val="en-US" w:eastAsia="zh-CN" w:bidi="ar-SA"/>
        </w:rPr>
        <w:t>动态比例原则的适用演示</w:t>
      </w:r>
    </w:p>
    <w:p w14:paraId="6DD2AFD4">
      <w:pPr>
        <w:spacing w:line="240" w:lineRule="auto" w:before="0" w:after="0" w:beforeLines="0" w:afterLines="0"/>
        <w:ind w:firstLineChars="200" w:leftChars="0" w:hangingChars="0"/>
        <w:jc w:val="left"/>
      </w:pPr>
      <w:r>
        <w:rPr>
          <w:rFonts w:ascii="宋体" w:hAnsi="宋体" w:eastAsia="宋体" w:cs="宋体"/>
          <w:b w:val="0"/>
          <w:bCs w:val="0"/>
          <w:i w:val="0"/>
          <w:sz w:val="21"/>
          <w:szCs w:val="24"/>
        </w:rPr>
        <w:t>为更直观地展示动态比例的操作方法，以下通过两个假设场景来演示其适用过程</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一个为劳动竞业限制场景，一个为商事竞业禁止场景</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凸显两种类型在调整逻辑上的差异。</w:t>
      </w:r>
    </w:p>
    <w:p w14:paraId="0EABAF97">
      <w:pPr>
        <w:spacing w:line="240" w:lineRule="auto" w:before="0" w:after="0" w:beforeLines="0" w:afterLines="0"/>
        <w:ind w:firstLineChars="200" w:leftChars="0" w:hangingChars="0"/>
        <w:jc w:val="left"/>
      </w:pPr>
      <w:r>
        <w:rPr>
          <w:rFonts w:ascii="宋体" w:hAnsi="宋体" w:eastAsia="楷体" w:cs="宋体"/>
          <w:b/>
          <w:bCs/>
          <w:i w:val="0"/>
          <w:sz w:val="24"/>
          <w:szCs w:val="24"/>
        </w:rPr>
        <w:t>（一）</w:t>
      </w:r>
      <w:r>
        <w:rPr>
          <w:rFonts w:hint="eastAsia" w:ascii="宋体" w:hAnsi="宋体" w:eastAsia="楷体" w:cs="宋体"/>
          <w:b/>
          <w:bCs w:val="0"/>
          <w:i w:val="0"/>
          <w:kern w:val="2"/>
          <w:sz w:val="24"/>
          <w:szCs w:val="24"/>
          <w:lang w:val="en-US" w:eastAsia="zh-CN" w:bidi="ar-SA"/>
        </w:rPr>
        <w:t>劳动竞业限制场景</w:t>
      </w:r>
    </w:p>
    <w:p w14:paraId="1333BCDA">
      <w:pPr>
        <w:spacing w:line="240" w:lineRule="auto" w:before="0" w:after="0" w:beforeLines="0" w:afterLines="0"/>
        <w:ind w:firstLineChars="200" w:leftChars="0" w:hangingChars="0"/>
        <w:jc w:val="left"/>
      </w:pPr>
      <w:r>
        <w:rPr>
          <w:rFonts w:ascii="宋体" w:hAnsi="宋体" w:eastAsia="宋体" w:cs="宋体"/>
          <w:b w:val="0"/>
          <w:bCs w:val="0"/>
          <w:i w:val="0"/>
          <w:sz w:val="21"/>
          <w:szCs w:val="24"/>
        </w:rPr>
        <w:t>某人工智能企业（甲方）与其首席算法工程师（乙方）签订了竞业限制协议，约定竞业期限二年、月补偿金为乙方离职前月薪的30%（约15,000元/月）、违约金为乙方离职前两年工资总额（约120万元）。乙方离职后三个月即入职一家直接竞争的人工智能企业，从事类似的算法研发工作。甲方诉请乙方支付违约金120万元，乙方以违约金过高为由请求调减。</w:t>
      </w:r>
    </w:p>
    <w:p w14:paraId="09D04D65">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第一步，给付效力审查</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竞业限制协议合法有效，乙方属于高级技术人员，在竞业限制义务存续期间入职直接竞争企业，违约行为成立，违约金请求权产生。</w:t>
      </w:r>
    </w:p>
    <w:p w14:paraId="5EA95121">
      <w:pPr>
        <w:spacing w:line="240" w:lineRule="auto" w:before="0" w:after="0" w:beforeLines="0" w:afterLines="0"/>
        <w:ind w:leftChars="0" w:firstLineChars="200" w:hangingChars="0"/>
        <w:jc w:val="left"/>
      </w:pPr>
      <w:r>
        <w:rPr>
          <w:rFonts w:ascii="宋体" w:hAnsi="宋体" w:eastAsia="宋体" w:cs="宋体"/>
          <w:b w:val="0"/>
          <w:bCs w:val="0"/>
          <w:i w:val="0"/>
          <w:sz w:val="21"/>
          <w:szCs w:val="24"/>
        </w:rPr>
        <w:t>第二步，类型识别与推定效力判断：本场景属于劳动竞业限制而非商事竞业禁止，约定数额120万元应受约束而非当然推定合理。但补偿金达到原薪酬的30%，属于充分水平，这在一定程度上增强了约定的正当性，使推定效力从弱推定提升至中等推定。第三步，恶意违约审查</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如果甲方能证明乙方在离职前已与竞争企业接触并达成入职意向，可能构成恶意违约；如果不能证明，则进入一般故意违约的分析。第四步，以约定数额120万元为基准展开利益权衡。</w:t>
      </w:r>
    </w:p>
    <w:p w14:paraId="5B4067BE">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在正向因素方面：乙方作为首席算法工程师，处于IP接触程度的最高梯度，其对甲方核心算法架构的掌握具有结构性，违约造成的潜在竞争损害较大；人工智能行业的技术迭代周期约为18-24个月，二年竞业期限与行业特性相比略长但未显著超出合理范围；月补偿金15,000元达到原薪酬的30%，对价关系基本均衡。正向因素整体指向调整幅度应当较小。在负向因素方面：竞业范围如果限于“人工智能算法研发”，与乙方的专业技能高度匹配，对其职业发展的实质阻碍较强，但如果竞业范围未被不当扩张、仅限于与甲方有直接竞争关联的企业，则仍属合理范围；乙方的违约收益——竞争企业提供的薪酬减去补偿金——是可量化的因素，如果违约收益远低于120万元，则构成调减的一项理由。</w:t>
      </w:r>
    </w:p>
    <w:p w14:paraId="4A758D36">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综合权衡后，约定数额120万元作为基准点。正向因素整体指向调整幅度应当较小。负向因素中职业发展阻碍较强但竞业范围合理，违约收益如果与120万元相差不是特别悬殊，不构成大幅调减的独立理由。最终调整数额可能在80万元上下，既保持了足够的压力（远超违约收益），又对竞业期限略长于行业有效保护期和职业发展阻碍这两个因素作出了回应。</w:t>
      </w:r>
    </w:p>
    <w:p w14:paraId="4AFE073D">
      <w:pPr>
        <w:spacing w:line="240" w:lineRule="auto" w:before="0" w:after="0" w:beforeLines="0" w:afterLines="0"/>
        <w:ind w:firstLineChars="200" w:leftChars="0" w:hangingChars="0"/>
        <w:jc w:val="left"/>
      </w:pPr>
      <w:r>
        <w:rPr>
          <w:rFonts w:ascii="宋体" w:hAnsi="宋体" w:eastAsia="楷体" w:cs="宋体"/>
          <w:b/>
          <w:bCs/>
          <w:i w:val="0"/>
          <w:sz w:val="24"/>
          <w:szCs w:val="24"/>
        </w:rPr>
        <w:t>（二）</w:t>
      </w:r>
      <w:r>
        <w:rPr>
          <w:rFonts w:hint="eastAsia" w:ascii="宋体" w:hAnsi="宋体" w:eastAsia="楷体" w:cs="宋体"/>
          <w:b/>
          <w:bCs w:val="0"/>
          <w:i w:val="0"/>
          <w:kern w:val="2"/>
          <w:sz w:val="24"/>
          <w:szCs w:val="24"/>
          <w:lang w:val="en-US" w:eastAsia="zh-CN" w:bidi="ar-SA"/>
        </w:rPr>
        <w:t>商事竞业禁止场景</w:t>
      </w:r>
    </w:p>
    <w:p w14:paraId="04F4C59D">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甲、乙为某贸易公司的两名股东，甲持股60%并任总经理，乙持股40%。甲以200万元收购乙的全部股权，《股权转让协议》约定乙退出后三年内不得从事同类业务，否则支付违约金100万元。乙退出后一年，其配偶投资设立了一家经营范围高度重合的贸易公司，乙在该公司担任顾问并领取报酬。甲诉请乙支付违约金100万元，乙以违约金过高为由请求调减。</w:t>
      </w:r>
    </w:p>
    <w:p w14:paraId="7954FA75">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第一步，给付效力审查</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《股权转让协议》合法有效，系平等商事主体之间的真实意思表示，不适用《劳动合同法》关于竞业限制期限和补偿金的规定。第二步，类型识别与推定效力判断</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本场景属于商事竞业禁止，缔约双方为平等商事主体，乙以200万元股权转让款为对价承诺不竞争。100万元违约金在性质上更接近于双方对“不竞争义务价值”的事前定价，约定数额享有强推定效力，法院调整应更为节制。第三步，恶意违约审查</w:t>
      </w:r>
      <w:r>
        <w:rPr>
          <w:rFonts w:hint="eastAsia" w:cs="宋体" w:eastAsia="宋体" w:ascii="宋体" w:hAnsi="宋体"/>
          <w:b w:val="0"/>
          <w:bCs w:val="0"/>
          <w:i w:val="0"/>
          <w:sz w:val="21"/>
          <w:szCs w:val="24"/>
          <w:lang w:eastAsia="zh-CN"/>
        </w:rPr>
        <w:t>，</w:t>
      </w:r>
      <w:r>
        <w:rPr>
          <w:rFonts w:ascii="宋体" w:hAnsi="宋体" w:eastAsia="宋体" w:cs="宋体"/>
          <w:b w:val="0"/>
          <w:bCs w:val="0"/>
          <w:i w:val="0"/>
          <w:sz w:val="21"/>
          <w:szCs w:val="24"/>
        </w:rPr>
        <w:t>乙通过配偶名义设立竞争公司并担任顾问，试图以形式上并非本人经营规避竞业禁止义务，具有规避意图。但该行为是否构成预谋需要结合乙退出前后的具体行为来判断。如果乙在股权转让谈判期间已开始筹划新公司，可能构成恶意违约；如果是在退出后因市场机会而临时决定，则属于一般故意违约。第四步，利益权衡。乙原持股40%并参与公司经营管理，对公司商业秘密和客户资源具有全面掌握，接触程度相当于IP最高梯度；贸易行业客户关系具有持续性，乙退出后一年内即从事竞争业务，客户流失风险较大；200万元股权转让款中包含了对竞业禁止义务的对价，虽然该对价未在协议中单独列明。三年竞业期限虽不适用《劳动合同法》的二年上限，但对于贸易行业而言可能偏长；违约金100万元相较于200万元的股权转让款，占交易对价的50%，比例上存在讨论空间。</w:t>
      </w:r>
    </w:p>
    <w:p w14:paraId="1A3D846E">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综合权衡后，法院可能将违约金调整至60-80万元之间。此场景与劳动竞业限制场景的关键差异在于：约定数额的推定效力更强（商事主体、对价充分），调整幅度更小；法院不能简单地以补偿金倍数或年收入倍数为基准进行调减，而应从整个股权转让交易的对价结构出发来评价竞业禁止义务的价值。</w:t>
      </w:r>
    </w:p>
    <w:p w14:paraId="41DC1818">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将上述两种场景进行对比，可以更清晰地展示动态比例原则的类型化操作优势。在“以损失为基准”的统一路径下，两个场景中的法院都面临“实际损失是多少”的难题，最终可能都以一个模糊的“综合考量”来回避论证，这正是当前司法实践的普遍做法。动态比例原则的路径则将两个场景导入不同的分析轨道：在劳动竞业限制场景中，以中等推定为起点，通过正负因素的系统权衡来确定调整幅度；在商事竞业禁止场景中，以强推定为起点，调整更为节制。两种结论都是动态比例原则的正确运用，只要法院在每个案件中完成了结构化的说理。</w:t>
      </w:r>
    </w:p>
    <w:p w14:paraId="0ECEC520">
      <w:pPr>
        <w:spacing w:line="240" w:lineRule="auto" w:before="0" w:after="0" w:beforeLines="0" w:afterLines="0"/>
        <w:ind w:firstLineChars="200" w:leftChars="0" w:hangingChars="0"/>
        <w:jc w:val="left"/>
      </w:pPr>
      <w:r>
        <w:rPr>
          <w:rFonts w:ascii="宋体" w:hAnsi="宋体" w:eastAsia="宋体" w:cs="宋体"/>
          <w:b w:val="0"/>
          <w:bCs w:val="0"/>
          <w:i w:val="0"/>
          <w:sz w:val="21"/>
          <w:szCs w:val="24"/>
        </w:rPr>
        <w:t>动态比例的核心是权衡的方法和论证的结构，而不是特定的数值区间。每一个案件中的具体调整数额，取决于该案特有的正负因素配置。在甲案中核心IP接触因素的权重可能压倒其他因素而支持较小幅度的调整，在乙案中竞业范围过宽或补偿金过低可能成为调减的决定性理由。两种结论都是动态比例原则的正确运用，只要法院在每个案件中完成了结构化的说理。</w:t>
      </w:r>
    </w:p>
    <w:p w14:paraId="0393DF47">
      <w:pPr>
        <w:pStyle w:val="2"/>
        <w:bidi w:val="0"/>
        <w:jc w:val="center"/>
        <w:rPr>
          <w:rFonts w:hint="eastAsia"/>
          <w:lang w:val="en-US" w:eastAsia="zh-CN"/>
        </w:rPr>
        <w:spacing w:line="240" w:lineRule="auto" w:before="0" w:after="0" w:beforeLines="0" w:afterLines="0"/>
      </w:pPr>
      <w:r>
        <w:rPr>
          <w:rFonts w:hint="eastAsia" w:eastAsia="宋体" w:ascii="宋体" w:hAnsi="宋体" w:cs="宋体"/>
          <w:b/>
          <w:bCs/>
          <w:i w:val="0"/>
          <w:sz w:val="24"/>
          <w:lang w:val="en-US" w:eastAsia="zh-CN"/>
        </w:rPr>
        <w:t>结论</w:t>
      </w:r>
    </w:p>
    <w:p w14:paraId="61921677">
      <w:pPr>
        <w:spacing w:line="240" w:lineRule="auto" w:before="0" w:after="0" w:beforeLines="0" w:afterLines="0"/>
        <w:ind w:firstLineChars="200" w:leftChars="0" w:hangingChars="0"/>
        <w:jc w:val="left"/>
      </w:pPr>
      <w:r>
        <w:rPr>
          <w:rFonts w:ascii="宋体" w:hAnsi="宋体" w:eastAsia="宋体" w:cs="宋体"/>
          <w:b w:val="0"/>
          <w:bCs w:val="0"/>
          <w:i w:val="0"/>
          <w:sz w:val="21"/>
          <w:szCs w:val="24"/>
        </w:rPr>
        <w:t>竞业限制违约金在规范类型中</w:t>
      </w:r>
      <w:r>
        <w:rPr>
          <w:rFonts w:hint="eastAsia" w:cs="宋体" w:eastAsia="宋体" w:ascii="宋体" w:hAnsi="宋体"/>
          <w:b w:val="0"/>
          <w:bCs w:val="0"/>
          <w:i w:val="0"/>
          <w:sz w:val="21"/>
          <w:szCs w:val="24"/>
          <w:lang w:val="en-US" w:eastAsia="zh-CN"/>
        </w:rPr>
        <w:t>更凸显其压力属性</w:t>
      </w:r>
      <w:r>
        <w:rPr>
          <w:rFonts w:ascii="宋体" w:hAnsi="宋体" w:eastAsia="宋体" w:cs="宋体"/>
          <w:b w:val="0"/>
          <w:bCs w:val="0"/>
          <w:i w:val="0"/>
          <w:sz w:val="21"/>
          <w:szCs w:val="24"/>
        </w:rPr>
        <w:t>，以担保不作为义务的履行为核心功能。，竞业限制违约金以压力功能为主导、以损害为参照，在劳动竞业限制与商事竞业禁止两种类型中呈现出差异化的功能配置。前者因缔约地位不对等而需要更为审慎的司法审查，后者因平等协商而赋予约定数额更强的推定效力。</w:t>
      </w:r>
    </w:p>
    <w:p w14:paraId="5350803B">
      <w:pPr>
        <w:spacing w:line="240" w:lineRule="auto" w:before="0" w:after="0" w:beforeLines="0" w:afterLines="0"/>
        <w:ind w:firstLineChars="200" w:leftChars="0" w:hangingChars="0"/>
        <w:jc w:val="left"/>
        <w:rPr>
          <w:rFonts w:hint="default" w:eastAsia="宋体"/>
          <w:lang w:val="en-US" w:eastAsia="zh-CN"/>
        </w:rPr>
      </w:pPr>
      <w:r>
        <w:rPr>
          <w:rFonts w:ascii="宋体" w:hAnsi="宋体" w:eastAsia="宋体" w:cs="宋体"/>
          <w:b w:val="0"/>
          <w:bCs w:val="0"/>
          <w:i w:val="0"/>
          <w:sz w:val="21"/>
          <w:szCs w:val="24"/>
        </w:rPr>
        <w:t>以压力性违约金沟通违约金功能论与竞业限制合同类型间的规范关联，以非典型损害为第585条第2款“损失”在竞业限制中的目的解释提供具体分析工具，以动态比例将“综合权衡”从一种缺乏操作性的裁判修辞转化为可以接受上诉审查的规范性论证。司法应当如何介入才能既尊重当事人的自治安排，又防止自治异化为压制</w:t>
      </w:r>
      <w:r>
        <w:rPr>
          <w:rFonts w:hint="eastAsia" w:cs="宋体" w:eastAsia="宋体" w:ascii="宋体" w:hAnsi="宋体"/>
          <w:b w:val="0"/>
          <w:bCs w:val="0"/>
          <w:i w:val="0"/>
          <w:sz w:val="21"/>
          <w:szCs w:val="24"/>
          <w:lang w:eastAsia="zh-CN"/>
        </w:rPr>
        <w:t>，</w:t>
      </w:r>
      <w:r>
        <w:rPr>
          <w:rFonts w:hint="eastAsia" w:cs="宋体" w:eastAsia="宋体" w:ascii="宋体" w:hAnsi="宋体"/>
          <w:b w:val="0"/>
          <w:bCs w:val="0"/>
          <w:i w:val="0"/>
          <w:sz w:val="21"/>
          <w:szCs w:val="24"/>
          <w:lang w:val="en-US" w:eastAsia="zh-CN"/>
        </w:rPr>
        <w:t>实现意思自治与个案正义的平衡。</w:t>
      </w:r>
    </w:p>
    <w:sectPr>
      <w:pgSz w:w="11906" w:h="16838"/>
      <w:pgMar w:top="1440" w:right="1800" w:bottom="1440" w:left="180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Pr>
    <w:numFmt w:val="decimal"/>
    <w:numStart w:val="1"/>
    <w:numRestart w:val="0"/>
  </w:footnotePr>
  <w:footnote w:type="separator" w:id="68">
    <w:p>
      <w:pPr>
        <w:spacing w:line="240" w:lineRule="auto" w:before="0" w:after="0"/>
        <w:ind w:firstLine="480"/>
      </w:pPr>
      <w:r>
        <w:rPr>
          <w:rFonts w:eastAsia="宋体" w:ascii="宋体" w:hAnsi="宋体"/>
          <w:sz w:val="18"/>
          <w:szCs w:val="18"/>
        </w:rPr>
        <w:separator/>
      </w:r>
    </w:p>
  </w:footnote>
  <w:footnote w:type="continuationSeparator" w:id="69">
    <w:p>
      <w:pPr>
        <w:spacing w:line="240" w:lineRule="auto" w:before="0" w:after="0"/>
        <w:ind w:firstLine="480"/>
      </w:pPr>
      <w:r>
        <w:rPr>
          <w:rFonts w:eastAsia="宋体" w:ascii="宋体" w:hAnsi="宋体"/>
          <w:sz w:val="18"/>
          <w:szCs w:val="18"/>
        </w:rPr>
        <w:continuationSeparator/>
      </w:r>
    </w:p>
  </w:footnote>
  <w:footnote w:id="0">
    <w:p w14:paraId="61153023">
      <w:pPr>
        <w:pStyle w:val="5"/>
        <w:snapToGrid w:val="0"/>
        <w:rPr>
          <w:rFonts w:hint="default"/>
          <w:lang w:val="en-US" w:eastAsia="zh-CN"/>
        </w:rPr>
      </w:pPr>
      <w:r>
        <w:rPr>
          <w:rStyle w:val="10"/>
        </w:rPr>
        <w:footnoteRef/>
      </w:r>
      <w:r>
        <w:t xml:space="preserve"> </w:t>
      </w:r>
      <w:r>
        <w:rPr>
          <w:rFonts w:hint="eastAsia"/>
          <w:lang w:val="en-US" w:eastAsia="zh-CN"/>
        </w:rPr>
        <w:t>参见广州市黄埔区人民法院（2022）粤0112民初32652号民事判决书</w:t>
      </w:r>
    </w:p>
  </w:footnote>
  <w:footnote w:id="1">
    <w:p w14:paraId="6927FCB6">
      <w:pPr>
        <w:pStyle w:val="5"/>
        <w:snapToGrid w:val="0"/>
        <w:rPr>
          <w:rFonts w:hint="eastAsia"/>
          <w:lang w:val="en-US" w:eastAsia="zh-CN"/>
        </w:rPr>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参见贵州省贵阳市中级人民法院（2016）黔01民终440号民事判决书</w:t>
      </w:r>
    </w:p>
  </w:footnote>
  <w:footnote w:id="2">
    <w:p w14:paraId="13F42C71">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参见罗昆：《违约金的性质反思与类型重构——</w:t>
      </w:r>
      <w:r>
        <w:rPr>
          <w:rFonts w:hint="eastAsia" w:eastAsia="宋体" w:ascii="宋体" w:hAnsi="宋体"/>
          <w:sz w:val="18"/>
          <w:szCs w:val="18"/>
          <w:lang w:val="en-US" w:eastAsia="zh-CN"/>
        </w:rPr>
        <w:t>一种功能主义视角</w:t>
      </w:r>
      <w:r>
        <w:rPr>
          <w:rFonts w:ascii="宋体" w:hAnsi="宋体" w:eastAsia="宋体"/>
          <w:sz w:val="18"/>
          <w:szCs w:val="18"/>
        </w:rPr>
        <w:t>》，载《法商研究》20</w:t>
      </w:r>
      <w:r>
        <w:rPr>
          <w:rFonts w:hint="eastAsia" w:eastAsia="宋体" w:ascii="宋体" w:hAnsi="宋体"/>
          <w:sz w:val="18"/>
          <w:szCs w:val="18"/>
          <w:lang w:val="en-US" w:eastAsia="zh-CN"/>
        </w:rPr>
        <w:t>15</w:t>
      </w:r>
      <w:r>
        <w:rPr>
          <w:rFonts w:ascii="宋体" w:hAnsi="宋体" w:eastAsia="宋体"/>
          <w:sz w:val="18"/>
          <w:szCs w:val="18"/>
        </w:rPr>
        <w:t>年第5期。</w:t>
      </w:r>
    </w:p>
  </w:footnote>
  <w:footnote w:id="3">
    <w:p w14:paraId="75FB61B8">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参见黄冠、邹爱华：《竞业限制违约金的惩罚性质与制度因应——基于607份裁判文书的分析》，载《浙江理工大学学报》2026年第2期。</w:t>
      </w:r>
    </w:p>
  </w:footnote>
  <w:footnote w:id="4">
    <w:p w14:paraId="69763343">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w:t>
      </w:r>
      <w:r>
        <w:rPr>
          <w:rFonts w:ascii="宋体" w:hAnsi="宋体" w:eastAsia="宋体"/>
          <w:sz w:val="18"/>
          <w:szCs w:val="18"/>
        </w:rPr>
        <w:t>姚明斌：《〈合同法〉第114条（约定违约金）评注》，载《法学家》2017年第5期。</w:t>
      </w:r>
    </w:p>
  </w:footnote>
  <w:footnote w:id="5">
    <w:p w14:paraId="4A43C582">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ascii="宋体" w:hAnsi="宋体" w:eastAsia="宋体"/>
          <w:sz w:val="18"/>
          <w:szCs w:val="18"/>
        </w:rPr>
        <w:t>邓辉、王浩然：《〈民法典〉违约金制度的功能优化》，载《</w:t>
      </w:r>
      <w:r>
        <w:rPr>
          <w:rFonts w:hint="eastAsia" w:eastAsia="宋体" w:ascii="宋体" w:hAnsi="宋体"/>
          <w:sz w:val="18"/>
          <w:lang w:val="en-US" w:eastAsia="zh-CN"/>
          <w:szCs w:val="18"/>
        </w:rPr>
        <w:t>财经法学</w:t>
      </w:r>
      <w:r>
        <w:rPr>
          <w:rFonts w:ascii="宋体" w:hAnsi="宋体" w:eastAsia="宋体"/>
          <w:sz w:val="18"/>
          <w:szCs w:val="18"/>
        </w:rPr>
        <w:t>》2021年第2期。</w:t>
      </w:r>
    </w:p>
  </w:footnote>
  <w:footnote w:id="6">
    <w:p w14:paraId="0996FCE7">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ascii="宋体" w:hAnsi="宋体" w:eastAsia="宋体"/>
          <w:sz w:val="18"/>
          <w:szCs w:val="18"/>
        </w:rPr>
        <w:t>覃榆翔：《〈民法典〉视阈下违约金司法酌减规则的区分适用论》，载《</w:t>
      </w:r>
      <w:r>
        <w:rPr>
          <w:rFonts w:hint="eastAsia" w:eastAsia="宋体" w:ascii="宋体" w:hAnsi="宋体"/>
          <w:sz w:val="18"/>
          <w:lang w:val="en-US" w:eastAsia="zh-CN"/>
          <w:szCs w:val="18"/>
        </w:rPr>
        <w:t>财经法学</w:t>
      </w:r>
      <w:r>
        <w:rPr>
          <w:rFonts w:ascii="宋体" w:hAnsi="宋体" w:eastAsia="宋体"/>
          <w:sz w:val="18"/>
          <w:szCs w:val="18"/>
        </w:rPr>
        <w:t>》2023年第3期。</w:t>
      </w:r>
    </w:p>
  </w:footnote>
  <w:footnote w:id="7">
    <w:p w14:paraId="11FC85DC">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ascii="宋体" w:hAnsi="宋体" w:eastAsia="宋体"/>
          <w:sz w:val="18"/>
          <w:szCs w:val="18"/>
        </w:rPr>
        <w:t>许德风：《违约金司法酌减的依据及其限度》，载《法学》2024年第4期。</w:t>
      </w:r>
    </w:p>
  </w:footnote>
  <w:footnote w:id="8">
    <w:p w14:paraId="539C1D81">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ascii="宋体" w:hAnsi="宋体" w:eastAsia="宋体"/>
          <w:sz w:val="18"/>
          <w:szCs w:val="18"/>
        </w:rPr>
        <w:t>覃榆翔：《再论违约金的规制模式：异化与回归》，载《南大法学》2023年第1期。</w:t>
      </w:r>
    </w:p>
  </w:footnote>
  <w:footnote w:id="9">
    <w:p w14:paraId="018D6D01">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ascii="宋体" w:hAnsi="宋体" w:eastAsia="宋体"/>
          <w:sz w:val="18"/>
          <w:szCs w:val="18"/>
        </w:rPr>
        <w:t>刘承韪：《〈民法典合同编通则解释〉违约责任制度的亮点与盲点》，载《浙江工商大学学报》2024年第2期。</w:t>
      </w:r>
    </w:p>
  </w:footnote>
  <w:footnote w:id="10">
    <w:p w14:paraId="29070549">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ascii="宋体" w:hAnsi="宋体" w:eastAsia="宋体"/>
          <w:sz w:val="18"/>
          <w:szCs w:val="18"/>
        </w:rPr>
        <w:t>黄冠、邹爱华：《竞业限制违约金的惩罚性质与制度因应——基于607份裁判文书的分析》，载《浙江理工大学学报》2026年第2期。</w:t>
      </w:r>
    </w:p>
  </w:footnote>
  <w:footnote w:id="11">
    <w:p w14:paraId="129F7449">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参见邓辉、王浩然：《〈民法典〉违约金制度的功能优化》，载《</w:t>
      </w:r>
      <w:r>
        <w:rPr>
          <w:rFonts w:hint="eastAsia" w:eastAsia="宋体" w:ascii="宋体" w:hAnsi="宋体"/>
          <w:sz w:val="18"/>
          <w:szCs w:val="18"/>
          <w:lang w:val="en-US" w:eastAsia="zh-CN"/>
        </w:rPr>
        <w:t>财经法学</w:t>
      </w:r>
      <w:r>
        <w:rPr>
          <w:rFonts w:ascii="宋体" w:hAnsi="宋体" w:eastAsia="宋体"/>
          <w:sz w:val="18"/>
          <w:szCs w:val="18"/>
        </w:rPr>
        <w:t>》2021年第2期。</w:t>
      </w:r>
    </w:p>
  </w:footnote>
  <w:footnote w:id="12">
    <w:p w14:paraId="57D04E2E">
      <w:pPr>
        <w:pStyle w:val="5"/>
        <w:snapToGrid w:val="0"/>
        <w:rPr>
          <w:rFonts w:hint="eastAsia" w:eastAsia="宋体"/>
          <w:lang w:val="en-US" w:eastAsia="zh-CN"/>
        </w:rPr>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参见参见王洪、李兆利:《我国惩罚性违约金条款规范路径的反思———由某“假一罚万”案所引发》,载《湖湘论坛》 2020年第2期。</w:t>
      </w:r>
    </w:p>
  </w:footnote>
  <w:footnote w:id="13">
    <w:p w14:paraId="32A7E28D">
      <w:pPr>
        <w:keepNext w:val="0"/>
        <w:keepLines w:val="0"/>
        <w:widowControl/>
        <w:suppressLineNumbers w:val="0"/>
        <w:jc w:val="left"/>
        <w:rPr>
          <w:rFonts w:hint="eastAsia" w:eastAsia="宋体"/>
          <w:lang w:val="en-US" w:eastAsia="zh-CN"/>
        </w:rPr>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ascii="宋体" w:hAnsi="宋体" w:eastAsia="宋体" w:cs="宋体"/>
          <w:bCs/>
          <w:kern w:val="2"/>
          <w:sz w:val="18"/>
          <w:szCs w:val="18"/>
          <w:lang w:val="en-US" w:eastAsia="zh-CN" w:bidi="ar-SA"/>
        </w:rPr>
        <w:t>参见参见王洪亮：《违约金酌减规则论》，载《法学家》2015年第</w:t>
      </w:r>
      <w:r>
        <w:rPr>
          <w:rFonts w:hint="default" w:ascii="宋体" w:hAnsi="宋体" w:eastAsia="宋体" w:cs="宋体"/>
          <w:bCs/>
          <w:kern w:val="2"/>
          <w:sz w:val="18"/>
          <w:szCs w:val="18"/>
          <w:lang w:val="en-US" w:eastAsia="zh-CN" w:bidi="ar-SA"/>
        </w:rPr>
        <w:t>3</w:t>
      </w:r>
      <w:r>
        <w:rPr>
          <w:rFonts w:hint="eastAsia" w:ascii="宋体" w:hAnsi="宋体" w:eastAsia="宋体" w:cs="宋体"/>
          <w:bCs/>
          <w:kern w:val="2"/>
          <w:sz w:val="18"/>
          <w:szCs w:val="18"/>
          <w:lang w:val="en-US" w:eastAsia="zh-CN" w:bidi="ar-SA"/>
        </w:rPr>
        <w:t>期</w:t>
      </w:r>
      <w:r>
        <w:rPr>
          <w:rFonts w:hint="eastAsia" w:cs="宋体" w:eastAsia="宋体" w:ascii="宋体" w:hAnsi="宋体"/>
          <w:bCs/>
          <w:kern w:val="2"/>
          <w:sz w:val="18"/>
          <w:szCs w:val="18"/>
          <w:lang w:val="en-US" w:eastAsia="zh-CN" w:bidi="ar-SA"/>
        </w:rPr>
        <w:t>。</w:t>
      </w:r>
    </w:p>
  </w:footnote>
  <w:footnote w:id="14">
    <w:p w14:paraId="3B49C6E3">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w:t>
      </w:r>
      <w:r>
        <w:rPr>
          <w:rFonts w:ascii="宋体" w:hAnsi="宋体" w:eastAsia="宋体"/>
          <w:sz w:val="18"/>
          <w:szCs w:val="18"/>
        </w:rPr>
        <w:t>姚明斌：《违约金论》，中国法制出版社2018年版</w:t>
      </w:r>
      <w:r>
        <w:rPr>
          <w:rFonts w:hint="eastAsia" w:eastAsia="宋体" w:ascii="宋体" w:hAnsi="宋体"/>
          <w:sz w:val="18"/>
          <w:lang w:eastAsia="zh-CN"/>
          <w:szCs w:val="18"/>
        </w:rPr>
        <w:t>，</w:t>
      </w:r>
      <w:r>
        <w:rPr>
          <w:rFonts w:hint="eastAsia" w:eastAsia="宋体" w:ascii="宋体" w:hAnsi="宋体"/>
          <w:sz w:val="18"/>
          <w:lang w:val="en-US" w:eastAsia="zh-CN"/>
          <w:szCs w:val="18"/>
        </w:rPr>
        <w:t>第91页</w:t>
      </w:r>
      <w:r>
        <w:rPr>
          <w:rFonts w:ascii="宋体" w:hAnsi="宋体" w:eastAsia="宋体"/>
          <w:sz w:val="18"/>
          <w:szCs w:val="18"/>
        </w:rPr>
        <w:t>。</w:t>
      </w:r>
    </w:p>
  </w:footnote>
  <w:footnote w:id="15">
    <w:p w14:paraId="2A2227AF">
      <w:pPr>
        <w:pStyle w:val="5"/>
        <w:snapToGrid w:val="0"/>
        <w:rPr>
          <w:rFonts w:hint="eastAsia" w:eastAsia="宋体"/>
          <w:lang w:val="en-US" w:eastAsia="zh-CN"/>
        </w:rPr>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w:t>
      </w:r>
      <w:r>
        <w:rPr>
          <w:rFonts w:ascii="宋体" w:hAnsi="宋体" w:eastAsia="宋体"/>
          <w:sz w:val="18"/>
          <w:szCs w:val="18"/>
        </w:rPr>
        <w:t>姚明斌：《违约金论》，中国法制出版社2018年版</w:t>
      </w:r>
      <w:r>
        <w:rPr>
          <w:rFonts w:hint="eastAsia" w:eastAsia="宋体" w:ascii="宋体" w:hAnsi="宋体"/>
          <w:sz w:val="18"/>
          <w:lang w:eastAsia="zh-CN"/>
          <w:szCs w:val="18"/>
        </w:rPr>
        <w:t>，</w:t>
      </w:r>
      <w:r>
        <w:rPr>
          <w:rFonts w:hint="eastAsia" w:eastAsia="宋体" w:ascii="宋体" w:hAnsi="宋体"/>
          <w:sz w:val="18"/>
          <w:lang w:val="en-US" w:eastAsia="zh-CN"/>
          <w:szCs w:val="18"/>
        </w:rPr>
        <w:t>第76页</w:t>
      </w:r>
      <w:r>
        <w:rPr>
          <w:rFonts w:ascii="宋体" w:hAnsi="宋体" w:eastAsia="宋体"/>
          <w:sz w:val="18"/>
          <w:szCs w:val="18"/>
        </w:rPr>
        <w:t>。</w:t>
      </w:r>
    </w:p>
  </w:footnote>
  <w:footnote w:id="16">
    <w:p w14:paraId="68E6883B">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w:t>
      </w:r>
      <w:r>
        <w:rPr>
          <w:rFonts w:ascii="宋体" w:hAnsi="宋体" w:eastAsia="宋体"/>
          <w:sz w:val="18"/>
          <w:szCs w:val="18"/>
        </w:rPr>
        <w:t>李逸竹：《商业秘密不可避免披露原则法理探析与制度移植》，载《经济法论丛》2018年第2期，社会科学文献出版社2018版，第397页。</w:t>
      </w:r>
    </w:p>
  </w:footnote>
  <w:footnote w:id="17">
    <w:p w14:paraId="18DECC6C">
      <w:pPr>
        <w:pStyle w:val="5"/>
        <w:snapToGrid w:val="0"/>
        <w:rPr>
          <w:rFonts w:hint="eastAsia" w:eastAsia="宋体"/>
          <w:lang w:val="en-US" w:eastAsia="zh-CN"/>
        </w:rPr>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w:t>
      </w:r>
      <w:r>
        <w:rPr>
          <w:rFonts w:hint="eastAsia" w:eastAsia="宋体" w:ascii="宋体" w:hAnsi="宋体"/>
          <w:sz w:val="18"/>
          <w:szCs w:val="18"/>
          <w:lang w:val="en-US" w:eastAsia="zh-CN"/>
        </w:rPr>
        <w:t>参见</w:t>
      </w:r>
      <w:r>
        <w:rPr>
          <w:rFonts w:ascii="宋体" w:hAnsi="宋体" w:eastAsia="宋体"/>
          <w:sz w:val="18"/>
          <w:szCs w:val="18"/>
        </w:rPr>
        <w:t>黄冠、邹爱华：《竞业限制违约金的惩罚性质与制度因应——基于607份裁判文书的分析》，载《浙江理工大学学报》2026年第2期。</w:t>
      </w:r>
    </w:p>
  </w:footnote>
  <w:footnote w:id="18">
    <w:p w14:paraId="52A57CC8">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参见秦国荣：《约定竞业限制的性质判定与效力分析》，载《法商研究》2015年第6期。</w:t>
      </w:r>
    </w:p>
  </w:footnote>
  <w:footnote w:id="19">
    <w:p w14:paraId="005BB202">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参见（2022）鲁1392民初3364号民事判决书。</w:t>
      </w:r>
    </w:p>
  </w:footnote>
  <w:footnote w:id="20">
    <w:p w14:paraId="695B47EF">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参见熊晖、王瑞宏：《竞业限制对劳动者的泛化适用问题研究》，载《重庆理工大学学报（社会科学）》2021年第9期，第163-175页。</w:t>
      </w:r>
    </w:p>
  </w:footnote>
  <w:footnote w:id="21">
    <w:p w14:paraId="0CFBC9EF">
      <w:pPr>
        <w:pStyle w:val="5"/>
        <w:snapToGrid w:val="0"/>
        <w:rPr>
          <w:rFonts w:hint="eastAsia" w:eastAsia="宋体"/>
          <w:lang w:val="en-US" w:eastAsia="zh-CN"/>
        </w:rPr>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参见（2016）黔01民终440号案民事判决书</w:t>
      </w:r>
    </w:p>
  </w:footnote>
  <w:footnote w:id="22">
    <w:p w14:paraId="6D42DB9A">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参见王玉凯：《竞业限制制度规范目的之反思与修正》，载《清华法学》2026年第3期。</w:t>
      </w:r>
    </w:p>
  </w:footnote>
  <w:footnote w:id="23">
    <w:p w14:paraId="4500ED71">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w:t>
      </w:r>
      <w:r>
        <w:rPr>
          <w:rFonts w:ascii="宋体" w:hAnsi="宋体" w:eastAsia="宋体"/>
          <w:sz w:val="18"/>
          <w:szCs w:val="18"/>
        </w:rPr>
        <w:t>姚明斌：《违约金论》，中国法制出版社2018年版</w:t>
      </w:r>
      <w:r>
        <w:rPr>
          <w:rFonts w:hint="eastAsia" w:eastAsia="宋体" w:ascii="宋体" w:hAnsi="宋体"/>
          <w:sz w:val="18"/>
          <w:lang w:eastAsia="zh-CN"/>
          <w:szCs w:val="18"/>
        </w:rPr>
        <w:t>，</w:t>
      </w:r>
      <w:r>
        <w:rPr>
          <w:rFonts w:hint="eastAsia" w:eastAsia="宋体" w:ascii="宋体" w:hAnsi="宋体"/>
          <w:sz w:val="18"/>
          <w:lang w:val="en-US" w:eastAsia="zh-CN"/>
          <w:szCs w:val="18"/>
        </w:rPr>
        <w:t>第85页</w:t>
      </w:r>
      <w:r>
        <w:rPr>
          <w:rFonts w:ascii="宋体" w:hAnsi="宋体" w:eastAsia="宋体"/>
          <w:sz w:val="18"/>
          <w:szCs w:val="18"/>
        </w:rPr>
        <w:t>。</w:t>
      </w:r>
    </w:p>
  </w:footnote>
  <w:footnote w:id="24">
    <w:p w14:paraId="73320686">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同前注，熊晖文；同前注，吴宏乔文。</w:t>
      </w:r>
    </w:p>
  </w:footnote>
  <w:footnote w:id="25">
    <w:p w14:paraId="30F4253B">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参见刘承韪：《〈民法典合同编通则解释〉违约责任制度的亮点与盲点》，载《浙江工商大学学报》2024年第2期。</w:t>
      </w:r>
    </w:p>
  </w:footnote>
  <w:footnote w:id="26">
    <w:p w14:paraId="12ED3DC1">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参见屈茂辉：《违约金酌减预测研究》，载《中国社会科学》2020年第5期。</w:t>
      </w:r>
    </w:p>
  </w:footnote>
  <w:footnote w:id="27">
    <w:p w14:paraId="6A3412AB">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参见姚明斌：《违约金论》，中国法制出版社2022年版，第</w:t>
      </w:r>
      <w:r>
        <w:rPr>
          <w:rFonts w:hint="eastAsia" w:eastAsia="宋体" w:ascii="宋体" w:hAnsi="宋体"/>
          <w:sz w:val="18"/>
          <w:szCs w:val="18"/>
          <w:lang w:val="en-US" w:eastAsia="zh-CN"/>
        </w:rPr>
        <w:t>206</w:t>
      </w:r>
      <w:r>
        <w:rPr>
          <w:rFonts w:ascii="宋体" w:hAnsi="宋体" w:eastAsia="宋体"/>
          <w:sz w:val="18"/>
          <w:szCs w:val="18"/>
        </w:rPr>
        <w:t>页。</w:t>
      </w:r>
    </w:p>
  </w:footnote>
  <w:footnote w:id="28">
    <w:p w14:paraId="7C50B2A6">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参见王玉凯：《竞业限制制度规范目的之反思与修正》，载《清华法学》2026年第3期。</w:t>
      </w:r>
    </w:p>
  </w:footnote>
  <w:footnote w:id="29">
    <w:p w14:paraId="6636C2BB">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ascii="宋体" w:hAnsi="宋体" w:eastAsia="宋体"/>
          <w:sz w:val="18"/>
          <w:szCs w:val="18"/>
        </w:rPr>
        <w:t>参见王玉凯：《竞业限制制度规范目的之反思与修正》，载《清华法学》2026年第3期。</w:t>
      </w:r>
    </w:p>
  </w:footnote>
  <w:footnote w:id="30">
    <w:p w14:paraId="7BCCABC2">
      <w:pPr>
        <w:pStyle w:val="5"/>
        <w:snapToGrid w:val="0"/>
        <w:rPr>
          <w:rFonts w:hint="eastAsia" w:eastAsia="宋体"/>
          <w:lang w:val="en-US" w:eastAsia="zh-CN"/>
        </w:rPr>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w:t>
      </w:r>
      <w:r>
        <w:rPr>
          <w:rFonts w:ascii="宋体" w:hAnsi="宋体" w:eastAsia="宋体"/>
          <w:sz w:val="18"/>
          <w:szCs w:val="18"/>
        </w:rPr>
        <w:t>（2021）沪01民终12282号</w:t>
      </w:r>
      <w:r>
        <w:rPr>
          <w:rFonts w:hint="eastAsia" w:eastAsia="宋体" w:ascii="宋体" w:hAnsi="宋体"/>
          <w:sz w:val="18"/>
          <w:lang w:val="en-US" w:eastAsia="zh-CN"/>
          <w:szCs w:val="18"/>
        </w:rPr>
        <w:t>民事判决书</w:t>
      </w:r>
    </w:p>
  </w:footnote>
  <w:footnote w:id="31">
    <w:p w14:paraId="13684B1D">
      <w:pPr>
        <w:pStyle w:val="5"/>
        <w:snapToGrid w:val="0"/>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ascii="宋体" w:hAnsi="宋体" w:eastAsia="宋体"/>
          <w:sz w:val="18"/>
          <w:szCs w:val="18"/>
        </w:rPr>
        <w:t>参见林欧：《约定竞业限制范围的合理性分析》，载《法律适用》2017年第15期。</w:t>
      </w:r>
    </w:p>
  </w:footnote>
  <w:footnote w:id="32">
    <w:p w14:paraId="3E04B34A">
      <w:pPr>
        <w:pStyle w:val="5"/>
        <w:snapToGrid w:val="0"/>
        <w:spacing w:line="240" w:lineRule="auto" w:before="0" w:after="0"/>
      </w:pPr>
      <w:r>
        <w:rPr>
          <w:rFonts w:eastAsia="宋体" w:ascii="宋体" w:hAnsi="宋体"/>
          <w:rStyle w:val="10"/>
          <w:sz w:val="18"/>
          <w:szCs w:val="18"/>
        </w:rPr>
        <w:footnoteRef/>
      </w:r>
      <w:r>
        <w:rPr>
          <w:rFonts w:ascii="宋体" w:hAnsi="宋体" w:eastAsia="宋体"/>
          <w:sz w:val="18"/>
          <w:szCs w:val="18"/>
        </w:rPr>
        <w:t xml:space="preserve"> 同前注，林欧文。</w:t>
      </w:r>
    </w:p>
  </w:footnote>
  <w:footnote w:id="33">
    <w:p w14:paraId="63F0D0E9">
      <w:pPr>
        <w:pStyle w:val="5"/>
        <w:snapToGrid w:val="0"/>
        <w:rPr>
          <w:rFonts w:hint="eastAsia"/>
          <w:lang w:val="en-US" w:eastAsia="zh-CN"/>
        </w:rPr>
        <w:spacing w:line="240" w:lineRule="auto" w:before="0" w:after="0"/>
      </w:pPr>
      <w:r>
        <w:rPr>
          <w:rFonts w:eastAsia="宋体" w:ascii="宋体" w:hAnsi="宋体"/>
          <w:rStyle w:val="10"/>
          <w:sz w:val="18"/>
          <w:szCs w:val="18"/>
        </w:rPr>
        <w:footnoteRef/>
      </w:r>
      <w:r>
        <w:rPr>
          <w:rFonts w:eastAsia="宋体" w:ascii="宋体" w:hAnsi="宋体"/>
          <w:sz w:val="18"/>
          <w:szCs w:val="18"/>
        </w:rPr>
        <w:t xml:space="preserve"> </w:t>
      </w:r>
      <w:r>
        <w:rPr>
          <w:rFonts w:hint="eastAsia" w:eastAsia="宋体" w:ascii="宋体" w:hAnsi="宋体"/>
          <w:lang w:val="en-US" w:eastAsia="zh-CN"/>
          <w:sz w:val="18"/>
          <w:szCs w:val="18"/>
        </w:rPr>
        <w:t>参见（2016）黔01民终440号案民事判决书。</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bordersDoNotSurroundHeader w:val="0"/>
  <w:bordersDoNotSurroundFooter w:val="0"/>
  <w:documentProtection w:enforcement="0"/>
  <w:displayHorizontalDrawingGridEvery w:val="1"/>
  <w:displayVerticalDrawingGridEvery w:val="1"/>
  <w:noPunctuationKerning w:val="1"/>
  <w:footnotePr>
    <w:footnote w:id="68"/>
    <w:footnote w:id="69"/>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3845767"/>
    <w:rsid w:val="084F6D73"/>
    <w:rsid w:val="12AD1B9A"/>
    <w:rsid w:val="12DC74C6"/>
    <w:rsid w:val="16334AA6"/>
    <w:rsid w:val="170C1530"/>
    <w:rsid w:val="1B234D5D"/>
    <w:rsid w:val="23D15813"/>
    <w:rsid w:val="25FA7F54"/>
    <w:rsid w:val="266318BA"/>
    <w:rsid w:val="26883135"/>
    <w:rsid w:val="27F51A34"/>
    <w:rsid w:val="28777214"/>
    <w:rsid w:val="37E25E69"/>
    <w:rsid w:val="38AC4A6C"/>
    <w:rsid w:val="3E084B00"/>
    <w:rsid w:val="471C1230"/>
    <w:rsid w:val="4C7A625A"/>
    <w:rsid w:val="5F170173"/>
    <w:rsid w:val="68015905"/>
    <w:rsid w:val="6D8C302C"/>
    <w:rsid w:val="700370F8"/>
    <w:rsid w:val="71015909"/>
    <w:rsid w:val="711D1DEB"/>
    <w:rsid w:val="7A996BC0"/>
    <w:rsid w:val="7D1B22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400" w:lineRule="exact"/>
      <w:ind w:firstLine="480" w:firstLineChars="200"/>
      <w:jc w:val="both"/>
    </w:pPr>
    <w:rPr>
      <w:rFonts w:ascii="宋体" w:hAnsi="宋体" w:eastAsia="宋体" w:cs="宋体"/>
      <w:bCs/>
      <w:kern w:val="2"/>
      <w:sz w:val="24"/>
      <w:szCs w:val="24"/>
      <w:lang w:val="en-US" w:eastAsia="zh-CN" w:bidi="ar-SA"/>
    </w:rPr>
  </w:style>
  <w:style w:type="paragraph" w:styleId="2">
    <w:name w:val="heading 1"/>
    <w:basedOn w:val="1"/>
    <w:next w:val="1"/>
    <w:link w:val="11"/>
    <w:qFormat/>
    <w:uiPriority w:val="0"/>
    <w:pPr>
      <w:ind w:firstLine="0" w:firstLineChars="0"/>
      <w:jc w:val="center"/>
      <w:outlineLvl w:val="0"/>
    </w:pPr>
    <w:rPr>
      <w:bCs w:val="0"/>
      <w:sz w:val="28"/>
      <w:szCs w:val="28"/>
    </w:rPr>
  </w:style>
  <w:style w:type="paragraph" w:styleId="3">
    <w:name w:val="heading 2"/>
    <w:basedOn w:val="1"/>
    <w:next w:val="1"/>
    <w:qFormat/>
    <w:uiPriority w:val="0"/>
    <w:pPr>
      <w:keepNext/>
      <w:keepLines/>
      <w:spacing w:before="260" w:after="260" w:line="413" w:lineRule="auto"/>
      <w:outlineLvl w:val="1"/>
    </w:pPr>
    <w:rPr>
      <w:rFonts w:ascii="Arial" w:hAnsi="Arial" w:eastAsia="宋体"/>
      <w:b/>
    </w:rPr>
  </w:style>
  <w:style w:type="character" w:default="1" w:styleId="8">
    <w:name w:val="Default Paragraph Font"/>
    <w:qFormat/>
    <w:uiPriority w:val="0"/>
  </w:style>
  <w:style w:type="table" w:default="1" w:styleId="7">
    <w:name w:val="Normal Table"/>
    <w:qFormat/>
    <w:uiPriority w:val="0"/>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character" w:styleId="9">
    <w:name w:val="Strong"/>
    <w:basedOn w:val="8"/>
    <w:qFormat/>
    <w:uiPriority w:val="0"/>
    <w:rPr>
      <w:b/>
    </w:rPr>
  </w:style>
  <w:style w:type="character" w:styleId="10">
    <w:name w:val="footnote reference"/>
    <w:basedOn w:val="8"/>
    <w:qFormat/>
    <w:uiPriority w:val="0"/>
    <w:rPr>
      <w:vertAlign w:val="superscript"/>
    </w:rPr>
  </w:style>
  <w:style w:type="character" w:customStyle="1" w:styleId="11">
    <w:name w:val="标题 1 Char"/>
    <w:link w:val="2"/>
    <w:qFormat/>
    <w:uiPriority w:val="0"/>
    <w:rPr>
      <w:rFonts w:ascii="宋体" w:hAnsi="宋体" w:eastAsia="宋体" w:cs="宋体"/>
      <w:kern w:val="2"/>
      <w:sz w:val="28"/>
      <w:szCs w:val="28"/>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18471</Words>
  <Characters>18869</Characters>
  <TotalTime>352</TotalTime>
  <ScaleCrop>false</ScaleCrop>
  <LinksUpToDate>false</LinksUpToDate>
  <CharactersWithSpaces>18871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2026-05-25T11:25:00Z</dcterms:created>
  <dc:creator>Un-named</dc:creator>
  <cp:lastModifiedBy>我的请求权基础呢</cp:lastModifiedBy>
  <dcterms:modified xsi:type="dcterms:W3CDTF">2026-07-01T11:13:23Z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eyJoZGlkIjoiYTY0NWU5YzU4NzY2YjVhMjU2MTk3NDI0YTA0NTI1NzIiLCJ1c2VySWQiOiI2MjA3NjE0ODYifQ==</vt:lpwstr>
  </property>
  <property fmtid="{D5CDD505-2E9C-101B-9397-08002B2CF9AE}" pid="3" name="KSOProductBuildVer">
    <vt:lpwstr>2052-12.1.0.26895</vt:lpwstr>
  </property>
  <property fmtid="{D5CDD505-2E9C-101B-9397-08002B2CF9AE}" pid="4" name="ICV">
    <vt:lpwstr>340C78C043DD47269B7E4C26D4954C15_12</vt:lpwstr>
  </property>
</Properties>
</file>