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86BB9" w14:textId="77777777" w:rsidR="00FD4F55" w:rsidRPr="00FD4F55" w:rsidRDefault="00FD4F55" w:rsidP="00FD4F55">
      <w:pPr>
        <w:numPr>
          <w:ilvl w:val="0"/>
          <w:numId w:val="4"/>
        </w:numPr>
      </w:pPr>
      <w:r>
        <w:rPr>
          <w:rFonts w:hint="eastAsia"/>
        </w:rPr>
        <w:t>标题改成：</w:t>
      </w:r>
      <w:r w:rsidRPr="00FD4F55">
        <w:rPr>
          <w:i/>
          <w:iCs/>
        </w:rPr>
        <w:t xml:space="preserve">From </w:t>
      </w:r>
      <w:proofErr w:type="gramStart"/>
      <w:r w:rsidRPr="00FD4F55">
        <w:rPr>
          <w:i/>
          <w:iCs/>
        </w:rPr>
        <w:t>Lambert‘</w:t>
      </w:r>
      <w:proofErr w:type="gramEnd"/>
      <w:r w:rsidRPr="00FD4F55">
        <w:rPr>
          <w:i/>
          <w:iCs/>
        </w:rPr>
        <w:t>s Law to Gesture Sensing: A Project-Based RGBC Sensor Experiment for the Undergraduate Optics Laboratory</w:t>
      </w:r>
    </w:p>
    <w:p w14:paraId="4201A8C2" w14:textId="55B0E3FD" w:rsidR="00FD4F55" w:rsidRDefault="00FD4F55" w:rsidP="00FD4F55">
      <w:pPr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摘要：</w:t>
      </w:r>
      <w:r w:rsidRPr="00FD4F5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This paper describes a project-based laboratory activity that uses a low-cost RGBC color sensor (TCS34725) to teach optical sensing concepts in the undergraduate laboratory. Students derive the reflection modulation model from </w:t>
      </w:r>
      <w:proofErr w:type="gramStart"/>
      <w:r w:rsidRPr="00FD4F55">
        <w:rPr>
          <w:rFonts w:ascii="Segoe UI" w:eastAsia="宋体" w:hAnsi="Segoe UI" w:cs="Segoe UI"/>
          <w:color w:val="0F1115"/>
          <w:kern w:val="0"/>
          <w:sz w:val="24"/>
          <w:szCs w:val="24"/>
        </w:rPr>
        <w:t>Lambert‘</w:t>
      </w:r>
      <w:proofErr w:type="gramEnd"/>
      <w:r w:rsidRPr="00FD4F55">
        <w:rPr>
          <w:rFonts w:ascii="Segoe UI" w:eastAsia="宋体" w:hAnsi="Segoe UI" w:cs="Segoe UI"/>
          <w:color w:val="0F1115"/>
          <w:kern w:val="0"/>
          <w:sz w:val="24"/>
          <w:szCs w:val="24"/>
        </w:rPr>
        <w:t>s law, fit skin reflectance spectra using a three-Gaussian model, and implement a lightweight decision algorithm. Classroom observations and student feedback suggest that the activity helps students connect abstract concepts of photometry and spectral response to a tangible engineering application. We discuss practical considerations for implementation, including required software and strategies for instructor guidance. The activity is applicable to undergraduate optics and sensor courses.</w:t>
      </w:r>
    </w:p>
    <w:p w14:paraId="7E273A72" w14:textId="16AFECA2" w:rsidR="001D6559" w:rsidRDefault="001D6559" w:rsidP="00FD4F55">
      <w:pPr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引言：逻辑应该是：教学问题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—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已有工作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—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本文贡献</w:t>
      </w:r>
    </w:p>
    <w:p w14:paraId="4D29B42F" w14:textId="77777777" w:rsidR="001D6559" w:rsidRPr="001D6559" w:rsidRDefault="001D6559" w:rsidP="001D655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D655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</w:t>
      </w:r>
      <w:r w:rsidRPr="001D655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</w:t>
      </w:r>
      <w:r w:rsidRPr="001D655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段（教学问题）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：现有光学实验教学中，反射定律和光度学内容通常采用光学导轨和光功率计进行验证，学生完成了公式计算但缺少对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反射率调制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”“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光谱响应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”“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信噪比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等概念的直观理解。</w:t>
      </w:r>
    </w:p>
    <w:p w14:paraId="53F245EA" w14:textId="77777777" w:rsidR="001D6559" w:rsidRPr="001D6559" w:rsidRDefault="001D6559" w:rsidP="001D655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D655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</w:t>
      </w:r>
      <w:r w:rsidRPr="001D655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2</w:t>
      </w:r>
      <w:r w:rsidRPr="001D655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段（已有工作）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：已有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TCS34725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教学案例多用于液体颜色测量，侧重化学与光学交叉，但未涉及时序反射率建模这一光学教学核心内容。简述国际上关于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低成本传感器在物理实验教学中的应用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的已有研究（检索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Physics Education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European Journal of Physics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近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3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年的相关论文）。</w:t>
      </w:r>
    </w:p>
    <w:p w14:paraId="10710FDB" w14:textId="2A4C1DD9" w:rsidR="001D6559" w:rsidRDefault="001D6559" w:rsidP="001D655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D655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</w:t>
      </w:r>
      <w:r w:rsidRPr="001D655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3</w:t>
      </w:r>
      <w:r w:rsidRPr="001D655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段（本文贡献）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：本文设计了一项融合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建模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—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仿真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—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实现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—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分析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的项目式实验，学生以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TCS34725</w:t>
      </w:r>
      <w:r w:rsidRPr="001D6559">
        <w:rPr>
          <w:rFonts w:ascii="Segoe UI" w:eastAsia="宋体" w:hAnsi="Segoe UI" w:cs="Segoe UI"/>
          <w:color w:val="0F1115"/>
          <w:kern w:val="0"/>
          <w:sz w:val="24"/>
          <w:szCs w:val="24"/>
        </w:rPr>
        <w:t>为平台完成三项任务。该实验适用于光学、传感器等课程。</w:t>
      </w:r>
    </w:p>
    <w:p w14:paraId="2C8776D4" w14:textId="77777777" w:rsidR="001D6559" w:rsidRDefault="001D6559" w:rsidP="001D655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2.4 </w:t>
      </w:r>
      <w:r>
        <w:rPr>
          <w:rFonts w:ascii="Segoe UI" w:hAnsi="Segoe UI" w:cs="Segoe UI"/>
          <w:color w:val="0F1115"/>
          <w:sz w:val="30"/>
          <w:szCs w:val="30"/>
        </w:rPr>
        <w:t>实验原理与学生任务（</w:t>
      </w:r>
      <w:r>
        <w:rPr>
          <w:rFonts w:ascii="Segoe UI" w:hAnsi="Segoe UI" w:cs="Segoe UI"/>
          <w:color w:val="0F1115"/>
          <w:sz w:val="30"/>
          <w:szCs w:val="30"/>
        </w:rPr>
        <w:t>Teaching Approach / Student Tasks</w:t>
      </w:r>
      <w:r>
        <w:rPr>
          <w:rFonts w:ascii="Segoe UI" w:hAnsi="Segoe UI" w:cs="Segoe UI"/>
          <w:color w:val="0F1115"/>
          <w:sz w:val="30"/>
          <w:szCs w:val="30"/>
        </w:rPr>
        <w:t>）</w:t>
      </w:r>
    </w:p>
    <w:p w14:paraId="63E66301" w14:textId="77777777" w:rsidR="001D6559" w:rsidRDefault="001D6559" w:rsidP="001D6559">
      <w:pPr>
        <w:pStyle w:val="a5"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6"/>
          <w:rFonts w:ascii="Segoe UI" w:hAnsi="Segoe UI" w:cs="Segoe UI"/>
          <w:color w:val="0F1115"/>
        </w:rPr>
        <w:t>这是论文的核心部分</w:t>
      </w:r>
      <w:r>
        <w:rPr>
          <w:rFonts w:ascii="Segoe UI" w:hAnsi="Segoe UI" w:cs="Segoe UI"/>
          <w:color w:val="0F1115"/>
        </w:rPr>
        <w:t>。将原稿的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物理建模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和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算法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内容重新表述为</w:t>
      </w:r>
      <w:r>
        <w:rPr>
          <w:rStyle w:val="a6"/>
          <w:rFonts w:ascii="Segoe UI" w:hAnsi="Segoe UI" w:cs="Segoe UI"/>
          <w:color w:val="0F1115"/>
        </w:rPr>
        <w:t>学生需要完成的任务</w:t>
      </w:r>
      <w:r>
        <w:rPr>
          <w:rFonts w:ascii="Segoe UI" w:hAnsi="Segoe UI" w:cs="Segoe UI"/>
          <w:color w:val="0F1115"/>
        </w:rPr>
        <w:t>：</w:t>
      </w:r>
    </w:p>
    <w:p w14:paraId="1870FBDA" w14:textId="77777777" w:rsidR="001D6559" w:rsidRDefault="001D6559" w:rsidP="001D6559">
      <w:pPr>
        <w:pStyle w:val="a5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Task 1: Deriving the RGBC Signal Model</w:t>
      </w:r>
      <w:r>
        <w:rPr>
          <w:rFonts w:ascii="Segoe UI" w:hAnsi="Segoe UI" w:cs="Segoe UI"/>
          <w:color w:val="0F1115"/>
        </w:rPr>
        <w:t xml:space="preserve"> — </w:t>
      </w:r>
      <w:r>
        <w:rPr>
          <w:rFonts w:ascii="Segoe UI" w:hAnsi="Segoe UI" w:cs="Segoe UI"/>
          <w:color w:val="0F1115"/>
        </w:rPr>
        <w:t>学生从</w:t>
      </w:r>
      <w:r>
        <w:rPr>
          <w:rFonts w:ascii="Segoe UI" w:hAnsi="Segoe UI" w:cs="Segoe UI"/>
          <w:color w:val="0F1115"/>
        </w:rPr>
        <w:t>Lambert</w:t>
      </w:r>
      <w:r>
        <w:rPr>
          <w:rFonts w:ascii="Segoe UI" w:hAnsi="Segoe UI" w:cs="Segoe UI"/>
          <w:color w:val="0F1115"/>
        </w:rPr>
        <w:t>反射定律出发，推导通道读数与入射角之间的关系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ds-markdown-paragraph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</w:rPr>
        <w:t>Vc</w:t>
      </w:r>
      <w:proofErr w:type="spellEnd"/>
      <w:r>
        <w:rPr>
          <w:rStyle w:val="ds-markdown-paragraph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</w:rPr>
        <w:t>(t)=αc+β</w:t>
      </w:r>
      <w:proofErr w:type="spellStart"/>
      <w:r>
        <w:rPr>
          <w:rStyle w:val="ds-markdown-paragraph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</w:rPr>
        <w:t>ccos⁡θ</w:t>
      </w:r>
      <w:proofErr w:type="spellEnd"/>
      <w:r>
        <w:rPr>
          <w:rStyle w:val="ds-markdown-paragraph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</w:rPr>
        <w:t>(t)</w:t>
      </w:r>
      <w:proofErr w:type="spellStart"/>
      <w:r>
        <w:rPr>
          <w:rStyle w:val="vlist-s"/>
          <w:rFonts w:ascii="KaTeX_Math" w:hAnsi="KaTeX_Math" w:cs="Times New Roman"/>
          <w:i/>
          <w:iCs/>
          <w:color w:val="0F1115"/>
          <w:sz w:val="29"/>
          <w:szCs w:val="29"/>
        </w:rPr>
        <w:t>V</w:t>
      </w:r>
      <w:r>
        <w:rPr>
          <w:rStyle w:val="vlist-s"/>
          <w:rFonts w:ascii="KaTeX_Math" w:hAnsi="KaTeX_Math" w:cs="Times New Roman"/>
          <w:i/>
          <w:iCs/>
          <w:color w:val="0F1115"/>
          <w:sz w:val="20"/>
          <w:szCs w:val="20"/>
        </w:rPr>
        <w:t>c</w:t>
      </w:r>
      <w:proofErr w:type="spellEnd"/>
      <w:r>
        <w:rPr>
          <w:rFonts w:ascii="Times New Roman" w:hAnsi="Times New Roman" w:cs="Times New Roman"/>
          <w:color w:val="0F1115"/>
          <w:sz w:val="2"/>
          <w:szCs w:val="2"/>
        </w:rPr>
        <w:t>​</w:t>
      </w:r>
      <w:r>
        <w:rPr>
          <w:rFonts w:ascii="Times New Roman" w:hAnsi="Times New Roman" w:cs="Times New Roman"/>
          <w:color w:val="0F1115"/>
          <w:sz w:val="29"/>
          <w:szCs w:val="29"/>
        </w:rPr>
        <w:t>(</w:t>
      </w:r>
      <w:r>
        <w:rPr>
          <w:rStyle w:val="vlist-s"/>
          <w:rFonts w:ascii="KaTeX_Math" w:hAnsi="KaTeX_Math" w:cs="Times New Roman"/>
          <w:i/>
          <w:iCs/>
          <w:color w:val="0F1115"/>
          <w:sz w:val="29"/>
          <w:szCs w:val="29"/>
        </w:rPr>
        <w:t>t</w:t>
      </w:r>
      <w:r>
        <w:rPr>
          <w:rFonts w:ascii="Times New Roman" w:hAnsi="Times New Roman" w:cs="Times New Roman"/>
          <w:color w:val="0F1115"/>
          <w:sz w:val="29"/>
          <w:szCs w:val="29"/>
        </w:rPr>
        <w:t>)</w:t>
      </w:r>
      <w:r>
        <w:rPr>
          <w:rFonts w:ascii="Times New Roman" w:hAnsi="Times New Roman" w:cs="Times New Roman"/>
          <w:color w:val="0F1115"/>
          <w:sz w:val="29"/>
          <w:szCs w:val="29"/>
        </w:rPr>
        <w:t>=</w:t>
      </w:r>
      <w:r>
        <w:rPr>
          <w:rStyle w:val="vlist-s"/>
          <w:rFonts w:ascii="KaTeX_Math" w:hAnsi="KaTeX_Math" w:cs="Times New Roman"/>
          <w:i/>
          <w:iCs/>
          <w:color w:val="0F1115"/>
          <w:sz w:val="29"/>
          <w:szCs w:val="29"/>
        </w:rPr>
        <w:t>α</w:t>
      </w:r>
      <w:r>
        <w:rPr>
          <w:rStyle w:val="vlist-s"/>
          <w:rFonts w:ascii="KaTeX_Math" w:hAnsi="KaTeX_Math" w:cs="Times New Roman"/>
          <w:i/>
          <w:iCs/>
          <w:color w:val="0F1115"/>
          <w:sz w:val="20"/>
          <w:szCs w:val="20"/>
        </w:rPr>
        <w:t>c</w:t>
      </w:r>
      <w:r>
        <w:rPr>
          <w:rFonts w:ascii="Times New Roman" w:hAnsi="Times New Roman" w:cs="Times New Roman"/>
          <w:color w:val="0F1115"/>
          <w:sz w:val="2"/>
          <w:szCs w:val="2"/>
        </w:rPr>
        <w:t>​</w:t>
      </w:r>
      <w:r>
        <w:rPr>
          <w:rFonts w:ascii="Times New Roman" w:hAnsi="Times New Roman" w:cs="Times New Roman"/>
          <w:color w:val="0F1115"/>
          <w:sz w:val="29"/>
          <w:szCs w:val="29"/>
        </w:rPr>
        <w:t>+</w:t>
      </w:r>
      <w:r>
        <w:rPr>
          <w:rStyle w:val="vlist-s"/>
          <w:rFonts w:ascii="KaTeX_Math" w:hAnsi="KaTeX_Math" w:cs="Times New Roman"/>
          <w:i/>
          <w:iCs/>
          <w:color w:val="0F1115"/>
          <w:sz w:val="29"/>
          <w:szCs w:val="29"/>
        </w:rPr>
        <w:t>β</w:t>
      </w:r>
      <w:r>
        <w:rPr>
          <w:rStyle w:val="vlist-s"/>
          <w:rFonts w:ascii="KaTeX_Math" w:hAnsi="KaTeX_Math" w:cs="Times New Roman"/>
          <w:i/>
          <w:iCs/>
          <w:color w:val="0F1115"/>
          <w:sz w:val="20"/>
          <w:szCs w:val="20"/>
        </w:rPr>
        <w:t>c</w:t>
      </w:r>
      <w:r>
        <w:rPr>
          <w:rFonts w:ascii="Times New Roman" w:hAnsi="Times New Roman" w:cs="Times New Roman"/>
          <w:color w:val="0F1115"/>
          <w:sz w:val="2"/>
          <w:szCs w:val="2"/>
        </w:rPr>
        <w:t>​</w:t>
      </w:r>
      <w:proofErr w:type="spellStart"/>
      <w:r>
        <w:rPr>
          <w:rFonts w:ascii="Times New Roman" w:hAnsi="Times New Roman" w:cs="Times New Roman"/>
          <w:color w:val="0F1115"/>
          <w:sz w:val="29"/>
          <w:szCs w:val="29"/>
        </w:rPr>
        <w:t>cos</w:t>
      </w:r>
      <w:r>
        <w:rPr>
          <w:rStyle w:val="vlist-s"/>
          <w:rFonts w:ascii="KaTeX_Math" w:hAnsi="KaTeX_Math" w:cs="Times New Roman"/>
          <w:i/>
          <w:iCs/>
          <w:color w:val="0F1115"/>
          <w:sz w:val="29"/>
          <w:szCs w:val="29"/>
        </w:rPr>
        <w:t>θ</w:t>
      </w:r>
      <w:proofErr w:type="spellEnd"/>
      <w:r>
        <w:rPr>
          <w:rFonts w:ascii="Times New Roman" w:hAnsi="Times New Roman" w:cs="Times New Roman"/>
          <w:color w:val="0F1115"/>
          <w:sz w:val="29"/>
          <w:szCs w:val="29"/>
        </w:rPr>
        <w:t>(</w:t>
      </w:r>
      <w:r>
        <w:rPr>
          <w:rStyle w:val="vlist-s"/>
          <w:rFonts w:ascii="KaTeX_Math" w:hAnsi="KaTeX_Math" w:cs="Times New Roman"/>
          <w:i/>
          <w:iCs/>
          <w:color w:val="0F1115"/>
          <w:sz w:val="29"/>
          <w:szCs w:val="29"/>
        </w:rPr>
        <w:t>t</w:t>
      </w:r>
      <w:r>
        <w:rPr>
          <w:rFonts w:ascii="Times New Roman" w:hAnsi="Times New Roman" w:cs="Times New Roman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，理解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通道响应是光谱积分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这一光度学核心概念。</w:t>
      </w:r>
    </w:p>
    <w:p w14:paraId="417A8F8B" w14:textId="77777777" w:rsidR="001D6559" w:rsidRDefault="001D6559" w:rsidP="001D6559">
      <w:pPr>
        <w:pStyle w:val="a5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Task 2: Fitting Skin Reflectance Spectra</w:t>
      </w:r>
      <w:r>
        <w:rPr>
          <w:rFonts w:ascii="Segoe UI" w:hAnsi="Segoe UI" w:cs="Segoe UI"/>
          <w:color w:val="0F1115"/>
        </w:rPr>
        <w:t xml:space="preserve"> — </w:t>
      </w:r>
      <w:r>
        <w:rPr>
          <w:rFonts w:ascii="Segoe UI" w:hAnsi="Segoe UI" w:cs="Segoe UI"/>
          <w:color w:val="0F1115"/>
        </w:rPr>
        <w:t>学生使用三高斯模型拟合皮肤反射率光谱，与</w:t>
      </w:r>
      <w:r>
        <w:rPr>
          <w:rFonts w:ascii="Segoe UI" w:hAnsi="Segoe UI" w:cs="Segoe UI"/>
          <w:color w:val="0F1115"/>
        </w:rPr>
        <w:t>TCS34725</w:t>
      </w:r>
      <w:r>
        <w:rPr>
          <w:rFonts w:ascii="Segoe UI" w:hAnsi="Segoe UI" w:cs="Segoe UI"/>
          <w:color w:val="0F1115"/>
        </w:rPr>
        <w:t>通道响应曲线做卷积，计算各通道的</w:t>
      </w:r>
      <w:r>
        <w:rPr>
          <w:rFonts w:ascii="Segoe UI" w:hAnsi="Segoe UI" w:cs="Segoe UI"/>
          <w:color w:val="0F1115"/>
        </w:rPr>
        <w:t> </w:t>
      </w:r>
      <w:r>
        <w:rPr>
          <w:rStyle w:val="ds-markdown-paragraph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</w:rPr>
        <w:t>βc/αc</w:t>
      </w:r>
      <w:r>
        <w:rPr>
          <w:rStyle w:val="vlist-s"/>
          <w:rFonts w:ascii="KaTeX_Math" w:hAnsi="KaTeX_Math" w:cs="Times New Roman"/>
          <w:i/>
          <w:iCs/>
          <w:color w:val="0F1115"/>
          <w:sz w:val="29"/>
          <w:szCs w:val="29"/>
        </w:rPr>
        <w:t>β</w:t>
      </w:r>
      <w:r>
        <w:rPr>
          <w:rStyle w:val="vlist-s"/>
          <w:rFonts w:ascii="KaTeX_Math" w:hAnsi="KaTeX_Math" w:cs="Times New Roman"/>
          <w:i/>
          <w:iCs/>
          <w:color w:val="0F1115"/>
          <w:sz w:val="20"/>
          <w:szCs w:val="20"/>
        </w:rPr>
        <w:t>c</w:t>
      </w:r>
      <w:r>
        <w:rPr>
          <w:rFonts w:ascii="Times New Roman" w:hAnsi="Times New Roman" w:cs="Times New Roman"/>
          <w:color w:val="0F1115"/>
          <w:sz w:val="2"/>
          <w:szCs w:val="2"/>
        </w:rPr>
        <w:t>​</w:t>
      </w:r>
      <w:r>
        <w:rPr>
          <w:rStyle w:val="vlist-s"/>
          <w:rFonts w:ascii="Times New Roman" w:hAnsi="Times New Roman" w:cs="Times New Roman"/>
          <w:color w:val="0F1115"/>
          <w:sz w:val="29"/>
          <w:szCs w:val="29"/>
        </w:rPr>
        <w:t>/</w:t>
      </w:r>
      <w:r>
        <w:rPr>
          <w:rStyle w:val="vlist-s"/>
          <w:rFonts w:ascii="KaTeX_Math" w:hAnsi="KaTeX_Math" w:cs="Times New Roman"/>
          <w:i/>
          <w:iCs/>
          <w:color w:val="0F1115"/>
          <w:sz w:val="29"/>
          <w:szCs w:val="29"/>
        </w:rPr>
        <w:t>α</w:t>
      </w:r>
      <w:r>
        <w:rPr>
          <w:rStyle w:val="vlist-s"/>
          <w:rFonts w:ascii="KaTeX_Math" w:hAnsi="KaTeX_Math" w:cs="Times New Roman"/>
          <w:i/>
          <w:iCs/>
          <w:color w:val="0F1115"/>
          <w:sz w:val="20"/>
          <w:szCs w:val="20"/>
        </w:rPr>
        <w:t>c</w:t>
      </w:r>
      <w:r>
        <w:rPr>
          <w:rFonts w:ascii="Times New Roman" w:hAnsi="Times New Roman" w:cs="Times New Roman"/>
          <w:color w:val="0F1115"/>
          <w:sz w:val="2"/>
          <w:szCs w:val="2"/>
        </w:rPr>
        <w:t>​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比值。</w:t>
      </w:r>
    </w:p>
    <w:p w14:paraId="15E1ADED" w14:textId="77777777" w:rsidR="001D6559" w:rsidRDefault="001D6559" w:rsidP="001D6559">
      <w:pPr>
        <w:pStyle w:val="a5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Task 3: Implementing a Lightweight Decision Algorithm</w:t>
      </w:r>
      <w:r>
        <w:rPr>
          <w:rFonts w:ascii="Segoe UI" w:hAnsi="Segoe UI" w:cs="Segoe UI"/>
          <w:color w:val="0F1115"/>
        </w:rPr>
        <w:t xml:space="preserve"> — </w:t>
      </w:r>
      <w:r>
        <w:rPr>
          <w:rFonts w:ascii="Segoe UI" w:hAnsi="Segoe UI" w:cs="Segoe UI"/>
          <w:color w:val="0F1115"/>
        </w:rPr>
        <w:t>学生</w:t>
      </w:r>
      <w:proofErr w:type="gramStart"/>
      <w:r>
        <w:rPr>
          <w:rFonts w:ascii="Segoe UI" w:hAnsi="Segoe UI" w:cs="Segoe UI"/>
          <w:color w:val="0F1115"/>
        </w:rPr>
        <w:t>实现仅</w:t>
      </w:r>
      <w:proofErr w:type="gramEnd"/>
      <w:r>
        <w:rPr>
          <w:rFonts w:ascii="Segoe UI" w:hAnsi="Segoe UI" w:cs="Segoe UI"/>
          <w:color w:val="0F1115"/>
        </w:rPr>
        <w:t>含三个阈值（</w:t>
      </w:r>
      <w:r>
        <w:rPr>
          <w:rFonts w:ascii="Segoe UI" w:hAnsi="Segoe UI" w:cs="Segoe UI"/>
          <w:color w:val="0F1115"/>
        </w:rPr>
        <w:t>TV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δ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τ</w:t>
      </w:r>
      <w:r>
        <w:rPr>
          <w:rFonts w:ascii="Segoe UI" w:hAnsi="Segoe UI" w:cs="Segoe UI"/>
          <w:color w:val="0F1115"/>
        </w:rPr>
        <w:t>）的判决算法，分析误分类案例的物理原因。</w:t>
      </w:r>
    </w:p>
    <w:p w14:paraId="0DDA1C31" w14:textId="77777777" w:rsidR="001D6559" w:rsidRDefault="001D6559" w:rsidP="001D6559">
      <w:pPr>
        <w:pStyle w:val="a5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每个任务后需增加</w:t>
      </w:r>
      <w:r>
        <w:rPr>
          <w:rStyle w:val="a6"/>
          <w:rFonts w:ascii="Segoe UI" w:hAnsi="Segoe UI" w:cs="Segoe UI"/>
          <w:color w:val="0F1115"/>
        </w:rPr>
        <w:t>“Student Difficulties and Instructor Guidance”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：例如，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多数学生不熟悉光谱积分的数值实现，建议在课前提供</w:t>
      </w:r>
      <w:r>
        <w:rPr>
          <w:rFonts w:ascii="Segoe UI" w:hAnsi="Segoe UI" w:cs="Segoe UI"/>
          <w:color w:val="0F1115"/>
        </w:rPr>
        <w:t>Python</w:t>
      </w:r>
      <w:r>
        <w:rPr>
          <w:rFonts w:ascii="Segoe UI" w:hAnsi="Segoe UI" w:cs="Segoe UI"/>
          <w:color w:val="0F1115"/>
        </w:rPr>
        <w:t>模板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。这是英文教改期刊非常重视的内容。</w:t>
      </w:r>
    </w:p>
    <w:p w14:paraId="51AA0778" w14:textId="77777777" w:rsidR="001D6559" w:rsidRDefault="001D6559" w:rsidP="001D655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 w:hint="eastAsia"/>
          <w:color w:val="0F1115"/>
          <w:sz w:val="24"/>
          <w:szCs w:val="24"/>
        </w:rPr>
        <w:t>这里可能后面需要放出你的源代码</w:t>
      </w:r>
    </w:p>
    <w:p w14:paraId="7523508C" w14:textId="530A6AA4" w:rsidR="001D6559" w:rsidRDefault="001D6559" w:rsidP="001D655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2.5 </w:t>
      </w:r>
      <w:r>
        <w:rPr>
          <w:rFonts w:ascii="Segoe UI" w:hAnsi="Segoe UI" w:cs="Segoe UI"/>
          <w:color w:val="0F1115"/>
          <w:sz w:val="30"/>
          <w:szCs w:val="30"/>
        </w:rPr>
        <w:t>教学实施与数据（</w:t>
      </w:r>
      <w:r>
        <w:rPr>
          <w:rFonts w:ascii="Segoe UI" w:hAnsi="Segoe UI" w:cs="Segoe UI"/>
          <w:color w:val="0F1115"/>
          <w:sz w:val="30"/>
          <w:szCs w:val="30"/>
        </w:rPr>
        <w:t>Implementation</w:t>
      </w:r>
      <w:r>
        <w:rPr>
          <w:rFonts w:ascii="Segoe UI" w:hAnsi="Segoe UI" w:cs="Segoe UI"/>
          <w:color w:val="0F1115"/>
          <w:sz w:val="30"/>
          <w:szCs w:val="30"/>
        </w:rPr>
        <w:t>）</w:t>
      </w:r>
    </w:p>
    <w:p w14:paraId="66D6060A" w14:textId="77777777" w:rsidR="001D6559" w:rsidRDefault="001D6559" w:rsidP="001D655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简要说明硬件（</w:t>
      </w:r>
      <w:r>
        <w:rPr>
          <w:rFonts w:ascii="Segoe UI" w:hAnsi="Segoe UI" w:cs="Segoe UI"/>
          <w:color w:val="0F1115"/>
        </w:rPr>
        <w:t>TCS34725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ESP32</w:t>
      </w:r>
      <w:r>
        <w:rPr>
          <w:rFonts w:ascii="Segoe UI" w:hAnsi="Segoe UI" w:cs="Segoe UI"/>
          <w:color w:val="0F1115"/>
        </w:rPr>
        <w:t>）、软件（</w:t>
      </w:r>
      <w:r>
        <w:rPr>
          <w:rFonts w:ascii="Segoe UI" w:hAnsi="Segoe UI" w:cs="Segoe UI"/>
          <w:color w:val="0F1115"/>
        </w:rPr>
        <w:t>Python/MATLAB</w:t>
      </w:r>
      <w:r>
        <w:rPr>
          <w:rFonts w:ascii="Segoe UI" w:hAnsi="Segoe UI" w:cs="Segoe UI"/>
          <w:color w:val="0F1115"/>
        </w:rPr>
        <w:t>）、数据采集流程。</w:t>
      </w:r>
    </w:p>
    <w:p w14:paraId="4521D47D" w14:textId="3BB29F26" w:rsidR="001D6559" w:rsidRPr="001D6559" w:rsidRDefault="001D6559" w:rsidP="001D655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</w:p>
    <w:p w14:paraId="7B8779F7" w14:textId="77777777" w:rsidR="001D6559" w:rsidRDefault="001D6559" w:rsidP="001D655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2.6 </w:t>
      </w:r>
      <w:r>
        <w:rPr>
          <w:rFonts w:ascii="Segoe UI" w:hAnsi="Segoe UI" w:cs="Segoe UI"/>
          <w:color w:val="0F1115"/>
          <w:sz w:val="30"/>
          <w:szCs w:val="30"/>
        </w:rPr>
        <w:t>教学效果分析（</w:t>
      </w:r>
      <w:r>
        <w:rPr>
          <w:rFonts w:ascii="Segoe UI" w:hAnsi="Segoe UI" w:cs="Segoe UI"/>
          <w:color w:val="0F1115"/>
          <w:sz w:val="30"/>
          <w:szCs w:val="30"/>
        </w:rPr>
        <w:t>Results and Discussion</w:t>
      </w:r>
      <w:r>
        <w:rPr>
          <w:rFonts w:ascii="Segoe UI" w:hAnsi="Segoe UI" w:cs="Segoe UI"/>
          <w:color w:val="0F1115"/>
          <w:sz w:val="30"/>
          <w:szCs w:val="30"/>
        </w:rPr>
        <w:t>）</w:t>
      </w:r>
    </w:p>
    <w:p w14:paraId="175EE8FA" w14:textId="77777777" w:rsidR="001D6559" w:rsidRDefault="001D6559" w:rsidP="001D655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重点放在</w:t>
      </w:r>
      <w:r>
        <w:rPr>
          <w:rStyle w:val="a7"/>
          <w:rFonts w:ascii="Segoe UI" w:hAnsi="Segoe UI" w:cs="Segoe UI"/>
          <w:color w:val="0F1115"/>
        </w:rPr>
        <w:t>“</w:t>
      </w:r>
      <w:r>
        <w:rPr>
          <w:rStyle w:val="a7"/>
          <w:rFonts w:ascii="Segoe UI" w:hAnsi="Segoe UI" w:cs="Segoe UI"/>
          <w:color w:val="0F1115"/>
        </w:rPr>
        <w:t>这个结果对教学有什么用</w:t>
      </w:r>
      <w:r>
        <w:rPr>
          <w:rStyle w:val="a7"/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：</w:t>
      </w:r>
    </w:p>
    <w:p w14:paraId="2F1C7632" w14:textId="77777777" w:rsidR="001D6559" w:rsidRDefault="001D6559" w:rsidP="001D655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展示实验的判决准确率（如</w:t>
      </w:r>
      <w:r>
        <w:rPr>
          <w:rFonts w:ascii="Segoe UI" w:hAnsi="Segoe UI" w:cs="Segoe UI"/>
          <w:color w:val="0F1115"/>
        </w:rPr>
        <w:t>93%</w:t>
      </w:r>
      <w:r>
        <w:rPr>
          <w:rFonts w:ascii="Segoe UI" w:hAnsi="Segoe UI" w:cs="Segoe UI"/>
          <w:color w:val="0F1115"/>
        </w:rPr>
        <w:t>），并分析典型误分类案例的物理原因，将其作为课堂讨论素材。</w:t>
      </w:r>
    </w:p>
    <w:p w14:paraId="71EF188E" w14:textId="77777777" w:rsidR="001D6559" w:rsidRDefault="001D6559" w:rsidP="001D655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引用学生的定性反馈（如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我以前只计算平均值，忽略异常点。现在我理解为什么有些数据点不可靠了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），而非逐条罗列问卷百分比。</w:t>
      </w:r>
    </w:p>
    <w:p w14:paraId="7C8DE8DB" w14:textId="77777777" w:rsidR="001D6559" w:rsidRDefault="001D6559" w:rsidP="001D655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讨论教学反思：学生暴露的困难点、肤色差异带来的教学讨论契机、实验方案的推广条件。</w:t>
      </w:r>
    </w:p>
    <w:p w14:paraId="6B2B21B3" w14:textId="77777777" w:rsidR="001D6559" w:rsidRDefault="001D6559" w:rsidP="001D655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2.7 </w:t>
      </w:r>
      <w:r>
        <w:rPr>
          <w:rFonts w:ascii="Segoe UI" w:hAnsi="Segoe UI" w:cs="Segoe UI"/>
          <w:color w:val="0F1115"/>
          <w:sz w:val="30"/>
          <w:szCs w:val="30"/>
        </w:rPr>
        <w:t>结论（</w:t>
      </w:r>
      <w:r>
        <w:rPr>
          <w:rFonts w:ascii="Segoe UI" w:hAnsi="Segoe UI" w:cs="Segoe UI"/>
          <w:color w:val="0F1115"/>
          <w:sz w:val="30"/>
          <w:szCs w:val="30"/>
        </w:rPr>
        <w:t>Conclusion</w:t>
      </w:r>
      <w:r>
        <w:rPr>
          <w:rFonts w:ascii="Segoe UI" w:hAnsi="Segoe UI" w:cs="Segoe UI"/>
          <w:color w:val="0F1115"/>
          <w:sz w:val="30"/>
          <w:szCs w:val="30"/>
        </w:rPr>
        <w:t>）</w:t>
      </w:r>
    </w:p>
    <w:p w14:paraId="70B8D1E0" w14:textId="77777777" w:rsidR="001D6559" w:rsidRDefault="001D6559" w:rsidP="001D655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简洁回答：</w:t>
      </w:r>
      <w:r>
        <w:rPr>
          <w:rStyle w:val="a7"/>
          <w:rFonts w:ascii="Segoe UI" w:hAnsi="Segoe UI" w:cs="Segoe UI"/>
          <w:color w:val="0F1115"/>
        </w:rPr>
        <w:t>这个实验对物理教师有什么用处？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建议给出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对教师的实施建议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（如课前提供代码模板、课中引导学生对比机器学习结果与传统计算结果），并说明推广方向。</w:t>
      </w:r>
    </w:p>
    <w:p w14:paraId="7615BDF8" w14:textId="77777777" w:rsidR="001D6559" w:rsidRPr="00FD4F55" w:rsidRDefault="001D6559" w:rsidP="00FD4F55">
      <w:pP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</w:p>
    <w:p w14:paraId="3AFEDEDA" w14:textId="77777777" w:rsidR="00FD4F55" w:rsidRPr="00FD4F55" w:rsidRDefault="00FD4F55">
      <w:pPr>
        <w:rPr>
          <w:rFonts w:hint="eastAsia"/>
        </w:rPr>
      </w:pPr>
    </w:p>
    <w:sectPr w:rsidR="00FD4F55" w:rsidRPr="00FD4F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9A907" w14:textId="77777777" w:rsidR="00624549" w:rsidRDefault="00624549" w:rsidP="00FD4F55">
      <w:r>
        <w:separator/>
      </w:r>
    </w:p>
  </w:endnote>
  <w:endnote w:type="continuationSeparator" w:id="0">
    <w:p w14:paraId="785CBA40" w14:textId="77777777" w:rsidR="00624549" w:rsidRDefault="00624549" w:rsidP="00FD4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713DD" w14:textId="77777777" w:rsidR="00624549" w:rsidRDefault="00624549" w:rsidP="00FD4F55">
      <w:r>
        <w:separator/>
      </w:r>
    </w:p>
  </w:footnote>
  <w:footnote w:type="continuationSeparator" w:id="0">
    <w:p w14:paraId="4DB06959" w14:textId="77777777" w:rsidR="00624549" w:rsidRDefault="00624549" w:rsidP="00FD4F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F5B27"/>
    <w:multiLevelType w:val="multilevel"/>
    <w:tmpl w:val="7A7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B25F2"/>
    <w:multiLevelType w:val="multilevel"/>
    <w:tmpl w:val="E9C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15664"/>
    <w:multiLevelType w:val="multilevel"/>
    <w:tmpl w:val="104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A2633"/>
    <w:multiLevelType w:val="multilevel"/>
    <w:tmpl w:val="484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742CA"/>
    <w:multiLevelType w:val="multilevel"/>
    <w:tmpl w:val="F3D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07"/>
    <w:rsid w:val="001D6559"/>
    <w:rsid w:val="005967C7"/>
    <w:rsid w:val="00624549"/>
    <w:rsid w:val="00D77007"/>
    <w:rsid w:val="00FD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73FD6B"/>
  <w15:chartTrackingRefBased/>
  <w15:docId w15:val="{A3DF61F6-7179-4802-977D-F940D1EE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FD4F5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4F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4F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4F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4F55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FD4F55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FD4F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FD4F55"/>
    <w:rPr>
      <w:b/>
      <w:bCs/>
    </w:rPr>
  </w:style>
  <w:style w:type="character" w:customStyle="1" w:styleId="katex-mathml">
    <w:name w:val="katex-mathml"/>
    <w:basedOn w:val="a0"/>
    <w:rsid w:val="001D6559"/>
  </w:style>
  <w:style w:type="character" w:customStyle="1" w:styleId="mord">
    <w:name w:val="mord"/>
    <w:basedOn w:val="a0"/>
    <w:rsid w:val="001D6559"/>
  </w:style>
  <w:style w:type="character" w:customStyle="1" w:styleId="vlist-s">
    <w:name w:val="vlist-s"/>
    <w:basedOn w:val="a0"/>
    <w:rsid w:val="001D6559"/>
  </w:style>
  <w:style w:type="character" w:customStyle="1" w:styleId="mopen">
    <w:name w:val="mopen"/>
    <w:basedOn w:val="a0"/>
    <w:rsid w:val="001D6559"/>
  </w:style>
  <w:style w:type="character" w:customStyle="1" w:styleId="mclose">
    <w:name w:val="mclose"/>
    <w:basedOn w:val="a0"/>
    <w:rsid w:val="001D6559"/>
  </w:style>
  <w:style w:type="character" w:customStyle="1" w:styleId="mrel">
    <w:name w:val="mrel"/>
    <w:basedOn w:val="a0"/>
    <w:rsid w:val="001D6559"/>
  </w:style>
  <w:style w:type="character" w:customStyle="1" w:styleId="mbin">
    <w:name w:val="mbin"/>
    <w:basedOn w:val="a0"/>
    <w:rsid w:val="001D6559"/>
  </w:style>
  <w:style w:type="character" w:customStyle="1" w:styleId="mop">
    <w:name w:val="mop"/>
    <w:basedOn w:val="a0"/>
    <w:rsid w:val="001D6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2026-10-08T09:25:00Z</dcterms:created>
  <dcterms:modified xsi:type="dcterms:W3CDTF">2026-10-08T09:46:00Z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e407633308a1afd2bd7cc4676715287cfde84969cf554ae06153c9a401df9f2a</vt:lpwstr>
  </property>
</Properties>
</file>