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E076C8" w:rsidP="009F48EC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Measuring Methodologies</w:t>
      </w:r>
    </w:p>
    <w:p w:rsidR="00451C13" w:rsidRDefault="00A977CB" w:rsidP="009F48E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90A14">
        <w:rPr>
          <w:rFonts w:ascii="Times New Roman" w:hAnsi="Times New Roman" w:cs="Times New Roman"/>
          <w:sz w:val="24"/>
        </w:rPr>
        <w:t>Th</w:t>
      </w:r>
      <w:r w:rsidR="00F941E3">
        <w:rPr>
          <w:rFonts w:ascii="Times New Roman" w:hAnsi="Times New Roman" w:cs="Times New Roman"/>
          <w:sz w:val="24"/>
        </w:rPr>
        <w:t>e carbon footprint of an item or pro</w:t>
      </w:r>
      <w:r w:rsidR="00140D30">
        <w:rPr>
          <w:rFonts w:ascii="Times New Roman" w:hAnsi="Times New Roman" w:cs="Times New Roman"/>
          <w:sz w:val="24"/>
        </w:rPr>
        <w:t>cess</w:t>
      </w:r>
      <w:r w:rsidR="00F941E3">
        <w:rPr>
          <w:rFonts w:ascii="Times New Roman" w:hAnsi="Times New Roman" w:cs="Times New Roman"/>
          <w:sz w:val="24"/>
        </w:rPr>
        <w:t xml:space="preserve"> </w:t>
      </w:r>
      <w:r w:rsidR="00490A14">
        <w:rPr>
          <w:rFonts w:ascii="Times New Roman" w:hAnsi="Times New Roman" w:cs="Times New Roman"/>
          <w:sz w:val="24"/>
        </w:rPr>
        <w:t>constitutes the</w:t>
      </w:r>
      <w:r w:rsidR="00F941E3">
        <w:rPr>
          <w:rFonts w:ascii="Times New Roman" w:hAnsi="Times New Roman" w:cs="Times New Roman"/>
          <w:sz w:val="24"/>
        </w:rPr>
        <w:t xml:space="preserve"> </w:t>
      </w:r>
      <w:r w:rsidR="00820D1B">
        <w:rPr>
          <w:rFonts w:ascii="Times New Roman" w:hAnsi="Times New Roman" w:cs="Times New Roman"/>
          <w:sz w:val="24"/>
        </w:rPr>
        <w:t>total</w:t>
      </w:r>
      <w:r w:rsidR="00C11A7B">
        <w:rPr>
          <w:rFonts w:ascii="Times New Roman" w:hAnsi="Times New Roman" w:cs="Times New Roman"/>
          <w:sz w:val="24"/>
        </w:rPr>
        <w:t xml:space="preserve"> amount of</w:t>
      </w:r>
      <w:r w:rsidR="00820D1B">
        <w:rPr>
          <w:rFonts w:ascii="Times New Roman" w:hAnsi="Times New Roman" w:cs="Times New Roman"/>
          <w:sz w:val="24"/>
        </w:rPr>
        <w:t xml:space="preserve"> </w:t>
      </w:r>
      <w:r w:rsidR="008D1314">
        <w:rPr>
          <w:rFonts w:ascii="Times New Roman" w:hAnsi="Times New Roman" w:cs="Times New Roman"/>
          <w:sz w:val="24"/>
        </w:rPr>
        <w:t>greenhouse gas</w:t>
      </w:r>
      <w:r w:rsidR="00F941E3">
        <w:rPr>
          <w:rFonts w:ascii="Times New Roman" w:hAnsi="Times New Roman" w:cs="Times New Roman"/>
          <w:sz w:val="24"/>
        </w:rPr>
        <w:t xml:space="preserve"> (GHG)</w:t>
      </w:r>
      <w:r w:rsidR="00E427D3">
        <w:rPr>
          <w:rFonts w:ascii="Times New Roman" w:hAnsi="Times New Roman" w:cs="Times New Roman"/>
          <w:sz w:val="24"/>
        </w:rPr>
        <w:t xml:space="preserve"> emissions</w:t>
      </w:r>
      <w:r w:rsidR="005D7921">
        <w:rPr>
          <w:rFonts w:ascii="Times New Roman" w:hAnsi="Times New Roman" w:cs="Times New Roman"/>
          <w:sz w:val="24"/>
        </w:rPr>
        <w:t xml:space="preserve"> embodied in</w:t>
      </w:r>
      <w:r w:rsidR="00490A14">
        <w:rPr>
          <w:rFonts w:ascii="Times New Roman" w:hAnsi="Times New Roman" w:cs="Times New Roman"/>
          <w:sz w:val="24"/>
        </w:rPr>
        <w:t xml:space="preserve"> its life cycle</w:t>
      </w:r>
      <w:r w:rsidR="002F3FF6">
        <w:rPr>
          <w:rFonts w:ascii="Times New Roman" w:hAnsi="Times New Roman" w:cs="Times New Roman"/>
          <w:sz w:val="24"/>
        </w:rPr>
        <w:t xml:space="preserve"> added together</w:t>
      </w:r>
      <w:r w:rsidR="00AB382C">
        <w:rPr>
          <w:rFonts w:ascii="Times New Roman" w:hAnsi="Times New Roman" w:cs="Times New Roman"/>
          <w:sz w:val="24"/>
        </w:rPr>
        <w:t>.</w:t>
      </w:r>
      <w:r w:rsidR="00490A14">
        <w:rPr>
          <w:rFonts w:ascii="Times New Roman" w:hAnsi="Times New Roman" w:cs="Times New Roman"/>
          <w:sz w:val="24"/>
        </w:rPr>
        <w:t xml:space="preserve"> </w:t>
      </w:r>
      <w:r w:rsidR="009D534C">
        <w:rPr>
          <w:rFonts w:ascii="Times New Roman" w:hAnsi="Times New Roman" w:cs="Times New Roman"/>
          <w:sz w:val="24"/>
        </w:rPr>
        <w:t xml:space="preserve">The life cycle of an item or process refers to </w:t>
      </w:r>
      <w:r w:rsidR="00644633">
        <w:rPr>
          <w:rFonts w:ascii="Times New Roman" w:hAnsi="Times New Roman" w:cs="Times New Roman"/>
          <w:sz w:val="24"/>
        </w:rPr>
        <w:t>all</w:t>
      </w:r>
      <w:r w:rsidR="00E17F8D">
        <w:rPr>
          <w:rFonts w:ascii="Times New Roman" w:hAnsi="Times New Roman" w:cs="Times New Roman"/>
          <w:sz w:val="24"/>
        </w:rPr>
        <w:t xml:space="preserve"> its stages of life</w:t>
      </w:r>
      <w:r w:rsidR="006F5CA4">
        <w:rPr>
          <w:rFonts w:ascii="Times New Roman" w:hAnsi="Times New Roman" w:cs="Times New Roman"/>
          <w:sz w:val="24"/>
        </w:rPr>
        <w:t xml:space="preserve"> from its birth including, “raw material extraction, material production, part production, and assembly, through its use, and final disposal</w:t>
      </w:r>
      <w:r w:rsidR="00BD5361">
        <w:rPr>
          <w:rFonts w:ascii="Times New Roman" w:hAnsi="Times New Roman" w:cs="Times New Roman"/>
          <w:sz w:val="24"/>
        </w:rPr>
        <w:t xml:space="preserve"> (The Environmental Literacy Council 2017).</w:t>
      </w:r>
      <w:r w:rsidR="00BC29B8">
        <w:rPr>
          <w:rFonts w:ascii="Times New Roman" w:hAnsi="Times New Roman" w:cs="Times New Roman"/>
          <w:sz w:val="24"/>
        </w:rPr>
        <w:t>”</w:t>
      </w:r>
      <w:r w:rsidR="0075177A">
        <w:rPr>
          <w:rFonts w:ascii="Times New Roman" w:hAnsi="Times New Roman" w:cs="Times New Roman"/>
          <w:sz w:val="24"/>
        </w:rPr>
        <w:t xml:space="preserve"> </w:t>
      </w:r>
      <w:r w:rsidR="002F718D">
        <w:rPr>
          <w:rFonts w:ascii="Times New Roman" w:hAnsi="Times New Roman" w:cs="Times New Roman"/>
          <w:sz w:val="24"/>
        </w:rPr>
        <w:t>Therefore, a life cycle analysis</w:t>
      </w:r>
      <w:r w:rsidR="00441217">
        <w:rPr>
          <w:rFonts w:ascii="Times New Roman" w:hAnsi="Times New Roman" w:cs="Times New Roman"/>
          <w:sz w:val="24"/>
        </w:rPr>
        <w:t xml:space="preserve"> (LCA)</w:t>
      </w:r>
      <w:r w:rsidR="002F718D">
        <w:rPr>
          <w:rFonts w:ascii="Times New Roman" w:hAnsi="Times New Roman" w:cs="Times New Roman"/>
          <w:sz w:val="24"/>
        </w:rPr>
        <w:t xml:space="preserve"> would refer to the environmental inputs and outputs of the given item or process</w:t>
      </w:r>
      <w:r w:rsidR="00514204">
        <w:rPr>
          <w:rFonts w:ascii="Times New Roman" w:hAnsi="Times New Roman" w:cs="Times New Roman"/>
          <w:sz w:val="24"/>
        </w:rPr>
        <w:t xml:space="preserve"> at each stage, such as waste, pollutants, etc</w:t>
      </w:r>
      <w:r w:rsidR="009D71AE">
        <w:rPr>
          <w:rFonts w:ascii="Times New Roman" w:hAnsi="Times New Roman" w:cs="Times New Roman"/>
          <w:sz w:val="24"/>
        </w:rPr>
        <w:t>.</w:t>
      </w:r>
      <w:r w:rsidR="00CB0347">
        <w:rPr>
          <w:rFonts w:ascii="Times New Roman" w:hAnsi="Times New Roman" w:cs="Times New Roman"/>
          <w:sz w:val="24"/>
        </w:rPr>
        <w:t xml:space="preserve"> In the context of carbon footprints, </w:t>
      </w:r>
      <w:r w:rsidR="00554608">
        <w:rPr>
          <w:rFonts w:ascii="Times New Roman" w:hAnsi="Times New Roman" w:cs="Times New Roman"/>
          <w:sz w:val="24"/>
        </w:rPr>
        <w:t xml:space="preserve">the LCA of a product would </w:t>
      </w:r>
      <w:r w:rsidR="00DA4FC4">
        <w:rPr>
          <w:rFonts w:ascii="Times New Roman" w:hAnsi="Times New Roman" w:cs="Times New Roman"/>
          <w:sz w:val="24"/>
        </w:rPr>
        <w:t>collect and quantify</w:t>
      </w:r>
      <w:r w:rsidR="00554608">
        <w:rPr>
          <w:rFonts w:ascii="Times New Roman" w:hAnsi="Times New Roman" w:cs="Times New Roman"/>
          <w:sz w:val="24"/>
        </w:rPr>
        <w:t xml:space="preserve"> the GHG emissions of an item or process at each given stage</w:t>
      </w:r>
      <w:r w:rsidR="00BF0131">
        <w:rPr>
          <w:rFonts w:ascii="Times New Roman" w:hAnsi="Times New Roman" w:cs="Times New Roman"/>
          <w:sz w:val="24"/>
        </w:rPr>
        <w:t>, known as GHG accounting</w:t>
      </w:r>
      <w:r w:rsidR="001412FF">
        <w:rPr>
          <w:rFonts w:ascii="Times New Roman" w:hAnsi="Times New Roman" w:cs="Times New Roman"/>
          <w:sz w:val="24"/>
        </w:rPr>
        <w:t xml:space="preserve"> (</w:t>
      </w:r>
      <w:r w:rsidR="00BA611F">
        <w:rPr>
          <w:rFonts w:ascii="Times New Roman" w:hAnsi="Times New Roman" w:cs="Times New Roman"/>
          <w:sz w:val="24"/>
        </w:rPr>
        <w:t>Pandey 2011</w:t>
      </w:r>
      <w:r w:rsidR="001412FF">
        <w:rPr>
          <w:rFonts w:ascii="Times New Roman" w:hAnsi="Times New Roman" w:cs="Times New Roman"/>
          <w:sz w:val="24"/>
        </w:rPr>
        <w:t>)</w:t>
      </w:r>
      <w:r w:rsidR="00BF0131">
        <w:rPr>
          <w:rFonts w:ascii="Times New Roman" w:hAnsi="Times New Roman" w:cs="Times New Roman"/>
          <w:sz w:val="24"/>
        </w:rPr>
        <w:t>.</w:t>
      </w:r>
      <w:r w:rsidR="008F7BF4">
        <w:rPr>
          <w:rFonts w:ascii="Times New Roman" w:hAnsi="Times New Roman" w:cs="Times New Roman"/>
          <w:sz w:val="24"/>
        </w:rPr>
        <w:t xml:space="preserve"> There are several different standards available for GHG account</w:t>
      </w:r>
      <w:r w:rsidR="00CB26CB">
        <w:rPr>
          <w:rFonts w:ascii="Times New Roman" w:hAnsi="Times New Roman" w:cs="Times New Roman"/>
          <w:sz w:val="24"/>
        </w:rPr>
        <w:t>ing</w:t>
      </w:r>
      <w:r w:rsidR="008F7BF4">
        <w:rPr>
          <w:rFonts w:ascii="Times New Roman" w:hAnsi="Times New Roman" w:cs="Times New Roman"/>
          <w:sz w:val="24"/>
        </w:rPr>
        <w:t xml:space="preserve">, which include </w:t>
      </w:r>
      <w:r w:rsidR="00DA4FC4">
        <w:rPr>
          <w:rFonts w:ascii="Times New Roman" w:hAnsi="Times New Roman" w:cs="Times New Roman"/>
          <w:sz w:val="24"/>
        </w:rPr>
        <w:t xml:space="preserve">the GHG protocol, </w:t>
      </w:r>
      <w:r w:rsidR="00CB26CB">
        <w:rPr>
          <w:rFonts w:ascii="Times New Roman" w:hAnsi="Times New Roman" w:cs="Times New Roman"/>
          <w:sz w:val="24"/>
        </w:rPr>
        <w:t>ISO 14064, 2006 IPCC Guidelines for National Greenhouse Gas Inventories and ISO 14025 (Pandey 2011).</w:t>
      </w:r>
      <w:r w:rsidR="006A47B3">
        <w:rPr>
          <w:rFonts w:ascii="Times New Roman" w:hAnsi="Times New Roman" w:cs="Times New Roman"/>
          <w:sz w:val="24"/>
        </w:rPr>
        <w:t xml:space="preserve"> These standards help governments or companies walk through the process of conducting a LCA and collecting GHG data.</w:t>
      </w:r>
      <w:r w:rsidR="00173BCE">
        <w:rPr>
          <w:rFonts w:ascii="Times New Roman" w:hAnsi="Times New Roman" w:cs="Times New Roman"/>
          <w:sz w:val="24"/>
        </w:rPr>
        <w:t xml:space="preserve"> There are two methods to perform a LCA and calculate the carbon footprint of an item or process: process analysis method (PA) or Economic Input-Output approach (EIO).</w:t>
      </w:r>
      <w:r w:rsidR="00A040E3">
        <w:rPr>
          <w:rFonts w:ascii="Times New Roman" w:hAnsi="Times New Roman" w:cs="Times New Roman"/>
          <w:sz w:val="24"/>
        </w:rPr>
        <w:t xml:space="preserve"> Both methods have their weaknesses and strengths and </w:t>
      </w:r>
      <w:r w:rsidR="00B337ED">
        <w:rPr>
          <w:rFonts w:ascii="Times New Roman" w:hAnsi="Times New Roman" w:cs="Times New Roman"/>
          <w:sz w:val="24"/>
        </w:rPr>
        <w:t>despite their strengths, still do not manage to be entirely precise.</w:t>
      </w:r>
    </w:p>
    <w:p w:rsidR="00E12656" w:rsidRDefault="00451C13" w:rsidP="009F48E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A40F2">
        <w:rPr>
          <w:rFonts w:ascii="Times New Roman" w:hAnsi="Times New Roman" w:cs="Times New Roman"/>
          <w:sz w:val="24"/>
        </w:rPr>
        <w:t>The most popular method for determining the carbon footprint of a product is the process analysis or “bottom-up” method</w:t>
      </w:r>
      <w:r w:rsidR="00394F80">
        <w:rPr>
          <w:rFonts w:ascii="Times New Roman" w:hAnsi="Times New Roman" w:cs="Times New Roman"/>
          <w:sz w:val="24"/>
        </w:rPr>
        <w:t xml:space="preserve">. </w:t>
      </w:r>
      <w:r w:rsidR="00320655">
        <w:rPr>
          <w:rFonts w:ascii="Times New Roman" w:hAnsi="Times New Roman" w:cs="Times New Roman"/>
          <w:sz w:val="24"/>
        </w:rPr>
        <w:t xml:space="preserve">Given an item or process, </w:t>
      </w:r>
      <w:r w:rsidR="006678A6">
        <w:rPr>
          <w:rFonts w:ascii="Times New Roman" w:hAnsi="Times New Roman" w:cs="Times New Roman"/>
          <w:sz w:val="24"/>
        </w:rPr>
        <w:t>its life cycle stages (inputs), such as manufacturing, transport, etc. are</w:t>
      </w:r>
      <w:r w:rsidR="00E051C9">
        <w:rPr>
          <w:rFonts w:ascii="Times New Roman" w:hAnsi="Times New Roman" w:cs="Times New Roman"/>
          <w:sz w:val="24"/>
        </w:rPr>
        <w:t xml:space="preserve"> first</w:t>
      </w:r>
      <w:r w:rsidR="006678A6">
        <w:rPr>
          <w:rFonts w:ascii="Times New Roman" w:hAnsi="Times New Roman" w:cs="Times New Roman"/>
          <w:sz w:val="24"/>
        </w:rPr>
        <w:t xml:space="preserve"> </w:t>
      </w:r>
      <w:r w:rsidR="00E051C9">
        <w:rPr>
          <w:rFonts w:ascii="Times New Roman" w:hAnsi="Times New Roman" w:cs="Times New Roman"/>
          <w:sz w:val="24"/>
        </w:rPr>
        <w:t>categorized</w:t>
      </w:r>
      <w:r w:rsidR="00DF1EBE">
        <w:rPr>
          <w:rFonts w:ascii="Times New Roman" w:hAnsi="Times New Roman" w:cs="Times New Roman"/>
          <w:sz w:val="24"/>
        </w:rPr>
        <w:t xml:space="preserve">. </w:t>
      </w:r>
      <w:r w:rsidR="00D82F3B">
        <w:rPr>
          <w:rFonts w:ascii="Times New Roman" w:hAnsi="Times New Roman" w:cs="Times New Roman"/>
          <w:sz w:val="24"/>
        </w:rPr>
        <w:t xml:space="preserve">The carbon emissions of each stage </w:t>
      </w:r>
      <w:r w:rsidR="00253648">
        <w:rPr>
          <w:rFonts w:ascii="Times New Roman" w:hAnsi="Times New Roman" w:cs="Times New Roman"/>
          <w:sz w:val="24"/>
        </w:rPr>
        <w:t>are</w:t>
      </w:r>
      <w:r w:rsidR="00D82F3B">
        <w:rPr>
          <w:rFonts w:ascii="Times New Roman" w:hAnsi="Times New Roman" w:cs="Times New Roman"/>
          <w:sz w:val="24"/>
        </w:rPr>
        <w:t xml:space="preserve"> then added up together to form the carbon footprint</w:t>
      </w:r>
      <w:r w:rsidR="00253648">
        <w:rPr>
          <w:rFonts w:ascii="Times New Roman" w:hAnsi="Times New Roman" w:cs="Times New Roman"/>
          <w:sz w:val="24"/>
        </w:rPr>
        <w:t xml:space="preserve"> of that given item or process (</w:t>
      </w:r>
      <w:r w:rsidR="00890505">
        <w:rPr>
          <w:rFonts w:ascii="Times New Roman" w:hAnsi="Times New Roman" w:cs="Times New Roman"/>
          <w:sz w:val="24"/>
        </w:rPr>
        <w:t>Berners-Lee 2011</w:t>
      </w:r>
      <w:r w:rsidR="00EE5C98">
        <w:rPr>
          <w:rFonts w:ascii="Times New Roman" w:hAnsi="Times New Roman" w:cs="Times New Roman"/>
          <w:sz w:val="24"/>
        </w:rPr>
        <w:t>, 199)</w:t>
      </w:r>
      <w:r w:rsidR="00743A6E">
        <w:rPr>
          <w:rFonts w:ascii="Times New Roman" w:hAnsi="Times New Roman" w:cs="Times New Roman"/>
          <w:sz w:val="24"/>
        </w:rPr>
        <w:t xml:space="preserve">. This method </w:t>
      </w:r>
      <w:r w:rsidR="00426A35">
        <w:rPr>
          <w:rFonts w:ascii="Times New Roman" w:hAnsi="Times New Roman" w:cs="Times New Roman"/>
          <w:sz w:val="24"/>
        </w:rPr>
        <w:t>starts from the bottom and builds up (hence, bottom-up approach)</w:t>
      </w:r>
      <w:r w:rsidR="00743A6E">
        <w:rPr>
          <w:rFonts w:ascii="Times New Roman" w:hAnsi="Times New Roman" w:cs="Times New Roman"/>
          <w:sz w:val="24"/>
        </w:rPr>
        <w:t xml:space="preserve"> and it employs a </w:t>
      </w:r>
      <w:r w:rsidR="00426A35">
        <w:rPr>
          <w:rFonts w:ascii="Times New Roman" w:hAnsi="Times New Roman" w:cs="Times New Roman"/>
          <w:sz w:val="24"/>
        </w:rPr>
        <w:t>straightforward</w:t>
      </w:r>
      <w:r w:rsidR="00743A6E">
        <w:rPr>
          <w:rFonts w:ascii="Times New Roman" w:hAnsi="Times New Roman" w:cs="Times New Roman"/>
          <w:sz w:val="24"/>
        </w:rPr>
        <w:t xml:space="preserve"> and brute-force like approach.</w:t>
      </w:r>
      <w:r w:rsidR="009618E5">
        <w:rPr>
          <w:rFonts w:ascii="Times New Roman" w:hAnsi="Times New Roman" w:cs="Times New Roman"/>
          <w:sz w:val="24"/>
        </w:rPr>
        <w:t xml:space="preserve"> Because it considers all the factors involved within the given item or process, </w:t>
      </w:r>
      <w:r w:rsidR="00CA674A">
        <w:rPr>
          <w:rFonts w:ascii="Times New Roman" w:hAnsi="Times New Roman" w:cs="Times New Roman"/>
          <w:sz w:val="24"/>
        </w:rPr>
        <w:t xml:space="preserve">the result generated from this method will be very </w:t>
      </w:r>
      <w:r w:rsidR="00CA674A">
        <w:rPr>
          <w:rFonts w:ascii="Times New Roman" w:hAnsi="Times New Roman" w:cs="Times New Roman"/>
          <w:sz w:val="24"/>
        </w:rPr>
        <w:lastRenderedPageBreak/>
        <w:t>precise.</w:t>
      </w:r>
      <w:r w:rsidR="00DF212A">
        <w:rPr>
          <w:rFonts w:ascii="Times New Roman" w:hAnsi="Times New Roman" w:cs="Times New Roman"/>
          <w:sz w:val="24"/>
        </w:rPr>
        <w:t xml:space="preserve"> It also allows for specific product comparison due to the categorization of the different process involved in the given items or processes</w:t>
      </w:r>
      <w:r w:rsidR="00552DA2">
        <w:rPr>
          <w:rFonts w:ascii="Times New Roman" w:hAnsi="Times New Roman" w:cs="Times New Roman"/>
          <w:sz w:val="24"/>
        </w:rPr>
        <w:t xml:space="preserve"> (Carnegie Mellon University 2017)</w:t>
      </w:r>
      <w:r w:rsidR="00DF212A">
        <w:rPr>
          <w:rFonts w:ascii="Times New Roman" w:hAnsi="Times New Roman" w:cs="Times New Roman"/>
          <w:sz w:val="24"/>
        </w:rPr>
        <w:t>.</w:t>
      </w:r>
      <w:r w:rsidR="00B73E2E">
        <w:rPr>
          <w:rFonts w:ascii="Times New Roman" w:hAnsi="Times New Roman" w:cs="Times New Roman"/>
          <w:sz w:val="24"/>
        </w:rPr>
        <w:t xml:space="preserve"> However,</w:t>
      </w:r>
      <w:r w:rsidR="007B236C">
        <w:rPr>
          <w:rFonts w:ascii="Times New Roman" w:hAnsi="Times New Roman" w:cs="Times New Roman"/>
          <w:sz w:val="24"/>
        </w:rPr>
        <w:t xml:space="preserve"> the</w:t>
      </w:r>
      <w:r w:rsidR="00B73E2E">
        <w:rPr>
          <w:rFonts w:ascii="Times New Roman" w:hAnsi="Times New Roman" w:cs="Times New Roman"/>
          <w:sz w:val="24"/>
        </w:rPr>
        <w:t xml:space="preserve"> PA method </w:t>
      </w:r>
      <w:r w:rsidR="008770B2">
        <w:rPr>
          <w:rFonts w:ascii="Times New Roman" w:hAnsi="Times New Roman" w:cs="Times New Roman"/>
          <w:sz w:val="24"/>
        </w:rPr>
        <w:t xml:space="preserve">is extremely inefficient, time-consuming and costly (Berners-Lee 2011), due to the </w:t>
      </w:r>
      <w:r w:rsidR="00224CDE">
        <w:rPr>
          <w:rFonts w:ascii="Times New Roman" w:hAnsi="Times New Roman" w:cs="Times New Roman"/>
          <w:sz w:val="24"/>
        </w:rPr>
        <w:t>infinite</w:t>
      </w:r>
      <w:r w:rsidR="008770B2">
        <w:rPr>
          <w:rFonts w:ascii="Times New Roman" w:hAnsi="Times New Roman" w:cs="Times New Roman"/>
          <w:sz w:val="24"/>
        </w:rPr>
        <w:t xml:space="preserve"> number of stages involved</w:t>
      </w:r>
      <w:r w:rsidR="00224CDE">
        <w:rPr>
          <w:rFonts w:ascii="Times New Roman" w:hAnsi="Times New Roman" w:cs="Times New Roman"/>
          <w:sz w:val="24"/>
        </w:rPr>
        <w:t xml:space="preserve"> in an item’s or processes’ life cycle.</w:t>
      </w:r>
      <w:r w:rsidR="00A41886">
        <w:rPr>
          <w:rFonts w:ascii="Times New Roman" w:hAnsi="Times New Roman" w:cs="Times New Roman"/>
          <w:sz w:val="24"/>
        </w:rPr>
        <w:t xml:space="preserve"> For example, if the carbon footprint of a piece of paper were to be calculated, </w:t>
      </w:r>
      <w:r w:rsidR="00C87CDC">
        <w:rPr>
          <w:rFonts w:ascii="Times New Roman" w:hAnsi="Times New Roman" w:cs="Times New Roman"/>
          <w:sz w:val="24"/>
        </w:rPr>
        <w:t xml:space="preserve">first </w:t>
      </w:r>
      <w:r w:rsidR="004B461E">
        <w:rPr>
          <w:rFonts w:ascii="Times New Roman" w:hAnsi="Times New Roman" w:cs="Times New Roman"/>
          <w:sz w:val="24"/>
        </w:rPr>
        <w:t>the GHG emissions of</w:t>
      </w:r>
      <w:r w:rsidR="00B22442">
        <w:rPr>
          <w:rFonts w:ascii="Times New Roman" w:hAnsi="Times New Roman" w:cs="Times New Roman"/>
          <w:sz w:val="24"/>
        </w:rPr>
        <w:t xml:space="preserve"> </w:t>
      </w:r>
      <w:r w:rsidR="00EC5D22">
        <w:rPr>
          <w:rFonts w:ascii="Times New Roman" w:hAnsi="Times New Roman" w:cs="Times New Roman"/>
          <w:sz w:val="24"/>
        </w:rPr>
        <w:t xml:space="preserve">direct </w:t>
      </w:r>
      <w:r w:rsidR="00B22442">
        <w:rPr>
          <w:rFonts w:ascii="Times New Roman" w:hAnsi="Times New Roman" w:cs="Times New Roman"/>
          <w:sz w:val="24"/>
        </w:rPr>
        <w:t>processes such as</w:t>
      </w:r>
      <w:r w:rsidR="004B461E">
        <w:rPr>
          <w:rFonts w:ascii="Times New Roman" w:hAnsi="Times New Roman" w:cs="Times New Roman"/>
          <w:sz w:val="24"/>
        </w:rPr>
        <w:t xml:space="preserve"> </w:t>
      </w:r>
      <w:r w:rsidR="001054A8">
        <w:rPr>
          <w:rFonts w:ascii="Times New Roman" w:hAnsi="Times New Roman" w:cs="Times New Roman"/>
          <w:sz w:val="24"/>
        </w:rPr>
        <w:t>deforestation,</w:t>
      </w:r>
      <w:r w:rsidR="004B461E">
        <w:rPr>
          <w:rFonts w:ascii="Times New Roman" w:hAnsi="Times New Roman" w:cs="Times New Roman"/>
          <w:sz w:val="24"/>
        </w:rPr>
        <w:t xml:space="preserve"> production</w:t>
      </w:r>
      <w:r w:rsidR="001054A8">
        <w:rPr>
          <w:rFonts w:ascii="Times New Roman" w:hAnsi="Times New Roman" w:cs="Times New Roman"/>
          <w:sz w:val="24"/>
        </w:rPr>
        <w:t xml:space="preserve"> and transport</w:t>
      </w:r>
      <w:r w:rsidR="004B461E">
        <w:rPr>
          <w:rFonts w:ascii="Times New Roman" w:hAnsi="Times New Roman" w:cs="Times New Roman"/>
          <w:sz w:val="24"/>
        </w:rPr>
        <w:t xml:space="preserve"> would have to be taken into account.</w:t>
      </w:r>
      <w:r w:rsidR="00EC5D22">
        <w:rPr>
          <w:rFonts w:ascii="Times New Roman" w:hAnsi="Times New Roman" w:cs="Times New Roman"/>
          <w:sz w:val="24"/>
        </w:rPr>
        <w:t xml:space="preserve"> N</w:t>
      </w:r>
      <w:r w:rsidR="00E86DDD">
        <w:rPr>
          <w:rFonts w:ascii="Times New Roman" w:hAnsi="Times New Roman" w:cs="Times New Roman"/>
          <w:sz w:val="24"/>
        </w:rPr>
        <w:t>ext, the indirect GHG emissions of such as the production of energy required for machines for paper production and the materials and fuel required for transport w</w:t>
      </w:r>
      <w:r w:rsidR="00535899">
        <w:rPr>
          <w:rFonts w:ascii="Times New Roman" w:hAnsi="Times New Roman" w:cs="Times New Roman"/>
          <w:sz w:val="24"/>
        </w:rPr>
        <w:t xml:space="preserve">ould also have to be considered. </w:t>
      </w:r>
      <w:r w:rsidR="00024AB2">
        <w:rPr>
          <w:rFonts w:ascii="Times New Roman" w:hAnsi="Times New Roman" w:cs="Times New Roman"/>
          <w:sz w:val="24"/>
        </w:rPr>
        <w:t xml:space="preserve">From there, even more processes involved can be calculated and as a result, the number of stages involved in making paper can become overwhelming, </w:t>
      </w:r>
      <w:r w:rsidR="00A85056">
        <w:rPr>
          <w:rFonts w:ascii="Times New Roman" w:hAnsi="Times New Roman" w:cs="Times New Roman"/>
          <w:sz w:val="24"/>
        </w:rPr>
        <w:t>highlighting the inconsistency of this method for larger products.</w:t>
      </w:r>
      <w:r w:rsidR="00F37694">
        <w:rPr>
          <w:rFonts w:ascii="Times New Roman" w:hAnsi="Times New Roman" w:cs="Times New Roman"/>
          <w:sz w:val="24"/>
        </w:rPr>
        <w:t xml:space="preserve"> In addition, the PA method has circulatory effects where the carbon path of an item or process can go in an infinite loop, resulting in an unlimited number of processes that </w:t>
      </w:r>
      <w:r w:rsidR="00816845">
        <w:rPr>
          <w:rFonts w:ascii="Times New Roman" w:hAnsi="Times New Roman" w:cs="Times New Roman"/>
          <w:sz w:val="24"/>
        </w:rPr>
        <w:t>must</w:t>
      </w:r>
      <w:r w:rsidR="00F37694">
        <w:rPr>
          <w:rFonts w:ascii="Times New Roman" w:hAnsi="Times New Roman" w:cs="Times New Roman"/>
          <w:sz w:val="24"/>
        </w:rPr>
        <w:t xml:space="preserve"> be </w:t>
      </w:r>
      <w:r w:rsidR="00816845">
        <w:rPr>
          <w:rFonts w:ascii="Times New Roman" w:hAnsi="Times New Roman" w:cs="Times New Roman"/>
          <w:sz w:val="24"/>
        </w:rPr>
        <w:t>assessed</w:t>
      </w:r>
      <w:r w:rsidR="00E7595C">
        <w:rPr>
          <w:rFonts w:ascii="Times New Roman" w:hAnsi="Times New Roman" w:cs="Times New Roman"/>
          <w:sz w:val="24"/>
        </w:rPr>
        <w:t xml:space="preserve"> (Carnegie Mellon University 2017)</w:t>
      </w:r>
      <w:r w:rsidR="00F37694">
        <w:rPr>
          <w:rFonts w:ascii="Times New Roman" w:hAnsi="Times New Roman" w:cs="Times New Roman"/>
          <w:sz w:val="24"/>
        </w:rPr>
        <w:t>.</w:t>
      </w:r>
      <w:r w:rsidR="00B55C80">
        <w:rPr>
          <w:rFonts w:ascii="Times New Roman" w:hAnsi="Times New Roman" w:cs="Times New Roman"/>
          <w:sz w:val="24"/>
        </w:rPr>
        <w:t xml:space="preserve"> For instance, to create paper, steel machinery is required, for which steel is required and for which steel machinery is required to make and so on.</w:t>
      </w:r>
      <w:r w:rsidR="00E91D36">
        <w:rPr>
          <w:rFonts w:ascii="Times New Roman" w:hAnsi="Times New Roman" w:cs="Times New Roman"/>
          <w:sz w:val="24"/>
        </w:rPr>
        <w:t xml:space="preserve"> Because of these limitations, PA is only practically applicable to smaller and less complex items or processes.</w:t>
      </w:r>
    </w:p>
    <w:p w:rsidR="007161AD" w:rsidRDefault="00E12656" w:rsidP="009F48E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other method is known as the “top-down” approach, or economic input-output analysis (EIO).</w:t>
      </w:r>
      <w:r w:rsidR="00C43CB5">
        <w:rPr>
          <w:rFonts w:ascii="Times New Roman" w:hAnsi="Times New Roman" w:cs="Times New Roman"/>
          <w:sz w:val="24"/>
        </w:rPr>
        <w:t xml:space="preserve"> </w:t>
      </w:r>
      <w:r w:rsidR="006C5EA5">
        <w:rPr>
          <w:rFonts w:ascii="Times New Roman" w:hAnsi="Times New Roman" w:cs="Times New Roman"/>
          <w:sz w:val="24"/>
        </w:rPr>
        <w:t xml:space="preserve">This approach is based off the input-output model designed by </w:t>
      </w:r>
      <w:proofErr w:type="spellStart"/>
      <w:r w:rsidR="006C5EA5" w:rsidRPr="006C5EA5">
        <w:rPr>
          <w:rFonts w:ascii="Times New Roman" w:hAnsi="Times New Roman" w:cs="Times New Roman"/>
          <w:sz w:val="24"/>
        </w:rPr>
        <w:t>Wassily</w:t>
      </w:r>
      <w:proofErr w:type="spellEnd"/>
      <w:r w:rsidR="006C5EA5" w:rsidRPr="006C5EA5">
        <w:rPr>
          <w:rFonts w:ascii="Times New Roman" w:hAnsi="Times New Roman" w:cs="Times New Roman"/>
          <w:sz w:val="24"/>
        </w:rPr>
        <w:t xml:space="preserve"> Leontief</w:t>
      </w:r>
      <w:r w:rsidR="006C5EA5">
        <w:rPr>
          <w:rFonts w:ascii="Times New Roman" w:hAnsi="Times New Roman" w:cs="Times New Roman"/>
          <w:sz w:val="24"/>
        </w:rPr>
        <w:t>, where the interdependencies and monetary transactions between different industries are represented mathematically in a matrix</w:t>
      </w:r>
      <w:r w:rsidR="000F5918">
        <w:rPr>
          <w:rFonts w:ascii="Times New Roman" w:hAnsi="Times New Roman" w:cs="Times New Roman"/>
          <w:sz w:val="24"/>
        </w:rPr>
        <w:t xml:space="preserve"> (Carnegie Mellon University 2017)</w:t>
      </w:r>
      <w:r w:rsidR="006C5EA5">
        <w:rPr>
          <w:rFonts w:ascii="Times New Roman" w:hAnsi="Times New Roman" w:cs="Times New Roman"/>
          <w:sz w:val="24"/>
        </w:rPr>
        <w:t>.</w:t>
      </w:r>
      <w:r w:rsidR="001367BC">
        <w:rPr>
          <w:rFonts w:ascii="Times New Roman" w:hAnsi="Times New Roman" w:cs="Times New Roman"/>
          <w:sz w:val="24"/>
        </w:rPr>
        <w:t xml:space="preserve"> </w:t>
      </w:r>
      <w:r w:rsidR="006E79D4">
        <w:rPr>
          <w:rFonts w:ascii="Times New Roman" w:hAnsi="Times New Roman" w:cs="Times New Roman"/>
          <w:sz w:val="24"/>
        </w:rPr>
        <w:t>The EIO approach takes the economy as a whole (hence, top-down</w:t>
      </w:r>
      <w:r w:rsidR="008E1EEC">
        <w:rPr>
          <w:rFonts w:ascii="Times New Roman" w:hAnsi="Times New Roman" w:cs="Times New Roman"/>
          <w:sz w:val="24"/>
        </w:rPr>
        <w:t xml:space="preserve"> approach</w:t>
      </w:r>
      <w:r w:rsidR="006E79D4">
        <w:rPr>
          <w:rFonts w:ascii="Times New Roman" w:hAnsi="Times New Roman" w:cs="Times New Roman"/>
          <w:sz w:val="24"/>
        </w:rPr>
        <w:t xml:space="preserve">) and </w:t>
      </w:r>
      <w:r w:rsidR="000918C9">
        <w:rPr>
          <w:rFonts w:ascii="Times New Roman" w:hAnsi="Times New Roman" w:cs="Times New Roman"/>
          <w:sz w:val="24"/>
        </w:rPr>
        <w:t>completely captures its rippling effects, allowing one to calculate a carbon footprint of an item or process just by knowing its cost (Berners-Lee 2011, 200).</w:t>
      </w:r>
      <w:r w:rsidR="00B05EF7">
        <w:rPr>
          <w:rFonts w:ascii="Times New Roman" w:hAnsi="Times New Roman" w:cs="Times New Roman"/>
          <w:sz w:val="24"/>
        </w:rPr>
        <w:t xml:space="preserve"> The EIO model is represented with a matrix, where each column and </w:t>
      </w:r>
      <w:r w:rsidR="00B05EF7">
        <w:rPr>
          <w:rFonts w:ascii="Times New Roman" w:hAnsi="Times New Roman" w:cs="Times New Roman"/>
          <w:sz w:val="24"/>
        </w:rPr>
        <w:lastRenderedPageBreak/>
        <w:t>rows are th</w:t>
      </w:r>
      <w:r w:rsidR="00363F14">
        <w:rPr>
          <w:rFonts w:ascii="Times New Roman" w:hAnsi="Times New Roman" w:cs="Times New Roman"/>
          <w:sz w:val="24"/>
        </w:rPr>
        <w:t>e industries involved, and the intersection of a row and column refers to the value of which the row industry input is required for the column industry to produce $1 of output</w:t>
      </w:r>
      <w:r w:rsidR="00FB3E3D">
        <w:rPr>
          <w:rFonts w:ascii="Times New Roman" w:hAnsi="Times New Roman" w:cs="Times New Roman"/>
          <w:sz w:val="24"/>
        </w:rPr>
        <w:t xml:space="preserve"> (</w:t>
      </w:r>
      <w:r w:rsidR="00FB3E3D" w:rsidRPr="00F25E71">
        <w:rPr>
          <w:rFonts w:ascii="Times New Roman" w:hAnsi="Times New Roman" w:cs="Times New Roman"/>
          <w:sz w:val="24"/>
        </w:rPr>
        <w:t>McConnell</w:t>
      </w:r>
      <w:r w:rsidR="00FB3E3D">
        <w:rPr>
          <w:rFonts w:ascii="Times New Roman" w:hAnsi="Times New Roman" w:cs="Times New Roman"/>
          <w:sz w:val="24"/>
        </w:rPr>
        <w:t xml:space="preserve"> 2017)</w:t>
      </w:r>
      <w:r w:rsidR="00363F14">
        <w:rPr>
          <w:rFonts w:ascii="Times New Roman" w:hAnsi="Times New Roman" w:cs="Times New Roman"/>
          <w:sz w:val="24"/>
        </w:rPr>
        <w:t>.</w:t>
      </w:r>
      <w:r w:rsidR="001A56FF">
        <w:rPr>
          <w:rFonts w:ascii="Times New Roman" w:hAnsi="Times New Roman" w:cs="Times New Roman"/>
          <w:sz w:val="24"/>
        </w:rPr>
        <w:t xml:space="preserve"> </w:t>
      </w:r>
      <w:r w:rsidR="0081555C">
        <w:rPr>
          <w:rFonts w:ascii="Times New Roman" w:hAnsi="Times New Roman" w:cs="Times New Roman"/>
          <w:sz w:val="24"/>
        </w:rPr>
        <w:t>Another matrix, known as the demand matrix, represents the demand of output from each industry (usually in money).</w:t>
      </w:r>
      <w:r w:rsidR="00922FD9">
        <w:rPr>
          <w:rFonts w:ascii="Times New Roman" w:hAnsi="Times New Roman" w:cs="Times New Roman"/>
          <w:sz w:val="24"/>
        </w:rPr>
        <w:t xml:space="preserve"> </w:t>
      </w:r>
      <w:r w:rsidR="00ED485D">
        <w:rPr>
          <w:rFonts w:ascii="Times New Roman" w:hAnsi="Times New Roman" w:cs="Times New Roman"/>
          <w:sz w:val="24"/>
        </w:rPr>
        <w:t>An additional matrix, the production matrix, describes the amount of output produced by each industry (usually in money).</w:t>
      </w:r>
      <w:r w:rsidR="00F20EEA">
        <w:rPr>
          <w:rFonts w:ascii="Times New Roman" w:hAnsi="Times New Roman" w:cs="Times New Roman"/>
          <w:sz w:val="24"/>
        </w:rPr>
        <w:t xml:space="preserve"> The total output can be represented with the equation: </w:t>
      </w:r>
      <m:oMath>
        <m:r>
          <w:rPr>
            <w:rFonts w:ascii="Cambria Math" w:hAnsi="Cambria Math" w:cs="Times New Roman"/>
            <w:sz w:val="24"/>
          </w:rPr>
          <m:t>X=D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(I-A)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</m:oMath>
      <w:r w:rsidR="00300FAB">
        <w:rPr>
          <w:rFonts w:ascii="Times New Roman" w:hAnsi="Times New Roman" w:cs="Times New Roman"/>
          <w:sz w:val="24"/>
        </w:rPr>
        <w:t xml:space="preserve">, where A is the </w:t>
      </w:r>
      <w:r w:rsidR="00F73A49">
        <w:rPr>
          <w:rFonts w:ascii="Times New Roman" w:hAnsi="Times New Roman" w:cs="Times New Roman"/>
          <w:sz w:val="24"/>
        </w:rPr>
        <w:t>model, D is the demand ma</w:t>
      </w:r>
      <w:r w:rsidR="00292F8A">
        <w:rPr>
          <w:rFonts w:ascii="Times New Roman" w:hAnsi="Times New Roman" w:cs="Times New Roman"/>
          <w:sz w:val="24"/>
        </w:rPr>
        <w:t>trix and X is the output matrix</w:t>
      </w:r>
      <w:r w:rsidR="003C4C40">
        <w:rPr>
          <w:rFonts w:ascii="Times New Roman" w:hAnsi="Times New Roman" w:cs="Times New Roman"/>
          <w:sz w:val="24"/>
        </w:rPr>
        <w:t xml:space="preserve"> (</w:t>
      </w:r>
      <w:r w:rsidR="003C4C40" w:rsidRPr="00F25E71">
        <w:rPr>
          <w:rFonts w:ascii="Times New Roman" w:hAnsi="Times New Roman" w:cs="Times New Roman"/>
          <w:sz w:val="24"/>
        </w:rPr>
        <w:t>McConnell</w:t>
      </w:r>
      <w:r w:rsidR="003C4C40">
        <w:rPr>
          <w:rFonts w:ascii="Times New Roman" w:hAnsi="Times New Roman" w:cs="Times New Roman"/>
          <w:sz w:val="24"/>
        </w:rPr>
        <w:t xml:space="preserve"> 2017)</w:t>
      </w:r>
      <w:r w:rsidR="00292F8A">
        <w:rPr>
          <w:rFonts w:ascii="Times New Roman" w:hAnsi="Times New Roman" w:cs="Times New Roman"/>
          <w:sz w:val="24"/>
        </w:rPr>
        <w:t>.</w:t>
      </w:r>
      <w:r w:rsidR="000F7DA4">
        <w:rPr>
          <w:rFonts w:ascii="Times New Roman" w:hAnsi="Times New Roman" w:cs="Times New Roman"/>
          <w:sz w:val="24"/>
        </w:rPr>
        <w:t xml:space="preserve"> For example:</w:t>
      </w:r>
    </w:p>
    <w:bookmarkStart w:id="0" w:name="_MON_1554465263"/>
    <w:bookmarkEnd w:id="0"/>
    <w:p w:rsidR="007161AD" w:rsidRDefault="001B2509" w:rsidP="00492462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7931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6pt;height:58.5pt" o:ole="">
            <v:imagedata r:id="rId4" o:title="" cropbottom="39295f" cropright="24787f"/>
          </v:shape>
          <o:OLEObject Type="Embed" ProgID="Excel.Sheet.12" ShapeID="_x0000_i1025" DrawAspect="Content" ObjectID="_1554470448" r:id="rId5"/>
        </w:object>
      </w:r>
    </w:p>
    <w:p w:rsidR="00292F8A" w:rsidRDefault="00292F8A" w:rsidP="0049246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0.02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0.04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0.04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0.05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0.03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0.01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0.2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0.01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0.1</m:t>
                  </m:r>
                </m:e>
              </m:mr>
            </m:m>
          </m:e>
        </m:d>
      </m:oMath>
    </w:p>
    <w:p w:rsidR="00880A71" w:rsidRDefault="00292F8A" w:rsidP="0049246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D=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400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200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600</m:t>
                  </m:r>
                </m:e>
              </m:mr>
            </m:m>
          </m:e>
        </m:d>
      </m:oMath>
    </w:p>
    <w:p w:rsidR="00880A71" w:rsidRDefault="00880A71" w:rsidP="0049246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AX=(internal costs)</m:t>
        </m:r>
      </m:oMath>
    </w:p>
    <w:p w:rsidR="00880A71" w:rsidRDefault="00880A71" w:rsidP="0049246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∴X-AX=D</m:t>
        </m:r>
      </m:oMath>
    </w:p>
    <w:p w:rsidR="0068440C" w:rsidRDefault="00880A71" w:rsidP="0049246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∴X=D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(I-A)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</m:oMath>
    </w:p>
    <w:p w:rsidR="002B6232" w:rsidRDefault="0068440C" w:rsidP="0049246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400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200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600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4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0.02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0.04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0.04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0.05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0.03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0.01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0.2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0.01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0.1</m:t>
                      </m:r>
                    </m:e>
                  </m:mr>
                </m:m>
              </m:e>
            </m:d>
          </m:e>
        </m:d>
      </m:oMath>
    </w:p>
    <w:p w:rsidR="000701D6" w:rsidRDefault="002B6232" w:rsidP="0049246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400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200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600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0.98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-0.04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-0.04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-0.05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0.97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-0.01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-0.2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-0.1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0.9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</m:oMath>
    </w:p>
    <w:p w:rsidR="00593D69" w:rsidRDefault="000701D6" w:rsidP="0049246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C1575">
        <w:rPr>
          <w:rFonts w:ascii="Times New Roman" w:hAnsi="Times New Roman" w:cs="Times New Roman"/>
          <w:sz w:val="24"/>
        </w:rPr>
        <w:t xml:space="preserve">The amount of output can be expressed as: </w:t>
      </w:r>
      <m:oMath>
        <m:r>
          <w:rPr>
            <w:rFonts w:ascii="Cambria Math" w:hAnsi="Cambria Math" w:cs="Times New Roman"/>
            <w:sz w:val="24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449.24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237.27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769.13</m:t>
                  </m:r>
                </m:e>
              </m:mr>
            </m:m>
          </m:e>
        </m:d>
      </m:oMath>
      <w:r w:rsidR="00F442D2">
        <w:rPr>
          <w:rFonts w:ascii="Times New Roman" w:hAnsi="Times New Roman" w:cs="Times New Roman"/>
          <w:sz w:val="24"/>
        </w:rPr>
        <w:t xml:space="preserve"> (</w:t>
      </w:r>
      <w:r w:rsidR="00F442D2" w:rsidRPr="00F25E71">
        <w:rPr>
          <w:rFonts w:ascii="Times New Roman" w:hAnsi="Times New Roman" w:cs="Times New Roman"/>
          <w:sz w:val="24"/>
        </w:rPr>
        <w:t>McConnell</w:t>
      </w:r>
      <w:r w:rsidR="00F442D2">
        <w:rPr>
          <w:rFonts w:ascii="Times New Roman" w:hAnsi="Times New Roman" w:cs="Times New Roman"/>
          <w:sz w:val="24"/>
        </w:rPr>
        <w:t xml:space="preserve"> 2017)</w:t>
      </w:r>
    </w:p>
    <w:p w:rsidR="002C2E74" w:rsidRDefault="00EA4303" w:rsidP="0049246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context of carbon footprints, </w:t>
      </w:r>
      <w:r w:rsidR="00411545">
        <w:rPr>
          <w:rFonts w:ascii="Times New Roman" w:hAnsi="Times New Roman" w:cs="Times New Roman"/>
          <w:sz w:val="24"/>
        </w:rPr>
        <w:t>the EIO model is modified and an additional “environment” sector is created.</w:t>
      </w:r>
      <w:r w:rsidR="00A5001D">
        <w:rPr>
          <w:rFonts w:ascii="Times New Roman" w:hAnsi="Times New Roman" w:cs="Times New Roman"/>
          <w:sz w:val="24"/>
        </w:rPr>
        <w:t xml:space="preserve"> Values in the row then represent the GHG output from an industry where it is represented as the input to the “</w:t>
      </w:r>
      <w:r w:rsidR="003E1DE9">
        <w:rPr>
          <w:rFonts w:ascii="Times New Roman" w:hAnsi="Times New Roman" w:cs="Times New Roman"/>
          <w:sz w:val="24"/>
        </w:rPr>
        <w:t>environment” sector.</w:t>
      </w:r>
      <w:r w:rsidR="00874F3B">
        <w:rPr>
          <w:rFonts w:ascii="Times New Roman" w:hAnsi="Times New Roman" w:cs="Times New Roman"/>
          <w:sz w:val="24"/>
        </w:rPr>
        <w:t xml:space="preserve"> </w:t>
      </w:r>
      <w:r w:rsidR="00127F37">
        <w:rPr>
          <w:rFonts w:ascii="Times New Roman" w:hAnsi="Times New Roman" w:cs="Times New Roman"/>
          <w:sz w:val="24"/>
        </w:rPr>
        <w:t>This allows</w:t>
      </w:r>
      <w:r w:rsidR="00151B28">
        <w:rPr>
          <w:rFonts w:ascii="Times New Roman" w:hAnsi="Times New Roman" w:cs="Times New Roman"/>
          <w:sz w:val="24"/>
        </w:rPr>
        <w:t xml:space="preserve"> the mo</w:t>
      </w:r>
      <w:r w:rsidR="00127F37">
        <w:rPr>
          <w:rFonts w:ascii="Times New Roman" w:hAnsi="Times New Roman" w:cs="Times New Roman"/>
          <w:sz w:val="24"/>
        </w:rPr>
        <w:t>del to</w:t>
      </w:r>
      <w:r w:rsidR="00151B28">
        <w:rPr>
          <w:rFonts w:ascii="Times New Roman" w:hAnsi="Times New Roman" w:cs="Times New Roman"/>
          <w:sz w:val="24"/>
        </w:rPr>
        <w:t xml:space="preserve"> depict how the </w:t>
      </w:r>
      <w:r w:rsidR="00151B28">
        <w:rPr>
          <w:rFonts w:ascii="Times New Roman" w:hAnsi="Times New Roman" w:cs="Times New Roman"/>
          <w:sz w:val="24"/>
        </w:rPr>
        <w:lastRenderedPageBreak/>
        <w:t xml:space="preserve">interdependencies and changes in the economy would </w:t>
      </w:r>
      <w:r w:rsidR="00196550">
        <w:rPr>
          <w:rFonts w:ascii="Times New Roman" w:hAnsi="Times New Roman" w:cs="Times New Roman"/>
          <w:sz w:val="24"/>
        </w:rPr>
        <w:t>a</w:t>
      </w:r>
      <w:r w:rsidR="00151B28">
        <w:rPr>
          <w:rFonts w:ascii="Times New Roman" w:hAnsi="Times New Roman" w:cs="Times New Roman"/>
          <w:sz w:val="24"/>
        </w:rPr>
        <w:t>ffect the GHG emissions to the environment</w:t>
      </w:r>
      <w:r w:rsidR="00E17B54">
        <w:rPr>
          <w:rFonts w:ascii="Times New Roman" w:hAnsi="Times New Roman" w:cs="Times New Roman"/>
          <w:sz w:val="24"/>
        </w:rPr>
        <w:t xml:space="preserve"> (Carnegie Mellon University 2017)</w:t>
      </w:r>
      <w:r w:rsidR="00151B28">
        <w:rPr>
          <w:rFonts w:ascii="Times New Roman" w:hAnsi="Times New Roman" w:cs="Times New Roman"/>
          <w:sz w:val="24"/>
        </w:rPr>
        <w:t>.</w:t>
      </w:r>
    </w:p>
    <w:p w:rsidR="005B3AB7" w:rsidRDefault="002C2E74" w:rsidP="002C2E74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Because the EIO approach encapsulates the entire economy, having a very broad boundary</w:t>
      </w:r>
      <w:r w:rsidR="00BD2E8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it</w:t>
      </w:r>
      <w:r w:rsidR="001A365E">
        <w:rPr>
          <w:rFonts w:ascii="Times New Roman" w:hAnsi="Times New Roman" w:cs="Times New Roman"/>
          <w:sz w:val="24"/>
        </w:rPr>
        <w:t xml:space="preserve"> eliminate</w:t>
      </w:r>
      <w:r>
        <w:rPr>
          <w:rFonts w:ascii="Times New Roman" w:hAnsi="Times New Roman" w:cs="Times New Roman"/>
          <w:sz w:val="24"/>
        </w:rPr>
        <w:t>s</w:t>
      </w:r>
      <w:r w:rsidR="001A365E">
        <w:rPr>
          <w:rFonts w:ascii="Times New Roman" w:hAnsi="Times New Roman" w:cs="Times New Roman"/>
          <w:sz w:val="24"/>
        </w:rPr>
        <w:t xml:space="preserve"> the inconsistencies </w:t>
      </w:r>
      <w:r w:rsidR="00742106">
        <w:rPr>
          <w:rFonts w:ascii="Times New Roman" w:hAnsi="Times New Roman" w:cs="Times New Roman"/>
          <w:sz w:val="24"/>
        </w:rPr>
        <w:t>of the PA approach</w:t>
      </w:r>
      <w:r w:rsidR="00462FA6">
        <w:rPr>
          <w:rFonts w:ascii="Times New Roman" w:hAnsi="Times New Roman" w:cs="Times New Roman"/>
          <w:sz w:val="24"/>
        </w:rPr>
        <w:t xml:space="preserve"> of </w:t>
      </w:r>
      <w:r w:rsidR="000C297D">
        <w:rPr>
          <w:rFonts w:ascii="Times New Roman" w:hAnsi="Times New Roman" w:cs="Times New Roman"/>
          <w:sz w:val="24"/>
        </w:rPr>
        <w:t xml:space="preserve">an overwhelming number of processes and </w:t>
      </w:r>
      <w:r w:rsidR="00405E82">
        <w:rPr>
          <w:rFonts w:ascii="Times New Roman" w:hAnsi="Times New Roman" w:cs="Times New Roman"/>
          <w:sz w:val="24"/>
        </w:rPr>
        <w:t>its circulatory effects</w:t>
      </w:r>
      <w:r w:rsidR="008B3E2D">
        <w:rPr>
          <w:rFonts w:ascii="Times New Roman" w:hAnsi="Times New Roman" w:cs="Times New Roman"/>
          <w:sz w:val="24"/>
        </w:rPr>
        <w:t xml:space="preserve"> (Carnegie Mellon University 2017)</w:t>
      </w:r>
      <w:r w:rsidR="00405E82">
        <w:rPr>
          <w:rFonts w:ascii="Times New Roman" w:hAnsi="Times New Roman" w:cs="Times New Roman"/>
          <w:sz w:val="24"/>
        </w:rPr>
        <w:t>.</w:t>
      </w:r>
      <w:r w:rsidR="00FE46BB">
        <w:rPr>
          <w:rFonts w:ascii="Times New Roman" w:hAnsi="Times New Roman" w:cs="Times New Roman"/>
          <w:sz w:val="24"/>
        </w:rPr>
        <w:t xml:space="preserve"> Furthermore, </w:t>
      </w:r>
      <w:r w:rsidR="009E4245">
        <w:rPr>
          <w:rFonts w:ascii="Times New Roman" w:hAnsi="Times New Roman" w:cs="Times New Roman"/>
          <w:sz w:val="24"/>
        </w:rPr>
        <w:t>since</w:t>
      </w:r>
      <w:r w:rsidR="00FE46BB">
        <w:rPr>
          <w:rFonts w:ascii="Times New Roman" w:hAnsi="Times New Roman" w:cs="Times New Roman"/>
          <w:sz w:val="24"/>
        </w:rPr>
        <w:t xml:space="preserve"> it is a developed model, it requires very little input and is very quick and efficient in return a carbon footprint estimate</w:t>
      </w:r>
      <w:r w:rsidR="007122FF">
        <w:rPr>
          <w:rFonts w:ascii="Times New Roman" w:hAnsi="Times New Roman" w:cs="Times New Roman"/>
          <w:sz w:val="24"/>
        </w:rPr>
        <w:t xml:space="preserve"> (Berners-Lee 2011, 200)</w:t>
      </w:r>
      <w:r w:rsidR="00FE46BB">
        <w:rPr>
          <w:rFonts w:ascii="Times New Roman" w:hAnsi="Times New Roman" w:cs="Times New Roman"/>
          <w:sz w:val="24"/>
        </w:rPr>
        <w:t>.</w:t>
      </w:r>
      <w:r w:rsidR="00185705">
        <w:rPr>
          <w:rFonts w:ascii="Times New Roman" w:hAnsi="Times New Roman" w:cs="Times New Roman"/>
          <w:sz w:val="24"/>
        </w:rPr>
        <w:t xml:space="preserve"> Ho</w:t>
      </w:r>
      <w:r w:rsidR="009E4245">
        <w:rPr>
          <w:rFonts w:ascii="Times New Roman" w:hAnsi="Times New Roman" w:cs="Times New Roman"/>
          <w:sz w:val="24"/>
        </w:rPr>
        <w:t>wever, the industries represented by the EIO model are an aggregated collection of types, results acquired may</w:t>
      </w:r>
      <w:r w:rsidR="00682ED9">
        <w:rPr>
          <w:rFonts w:ascii="Times New Roman" w:hAnsi="Times New Roman" w:cs="Times New Roman"/>
          <w:sz w:val="24"/>
        </w:rPr>
        <w:t xml:space="preserve"> be very generic (Carnegie Mellon University 2017).</w:t>
      </w:r>
      <w:r w:rsidR="00605AEB">
        <w:rPr>
          <w:rFonts w:ascii="Times New Roman" w:hAnsi="Times New Roman" w:cs="Times New Roman"/>
          <w:sz w:val="24"/>
        </w:rPr>
        <w:t xml:space="preserve"> In addition, the model views imports as products created within the economic boundary, leading to an overestimate of the carbon footprint of an item or process.</w:t>
      </w:r>
    </w:p>
    <w:p w:rsidR="009045C2" w:rsidRDefault="00232D7D" w:rsidP="00232D7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Many carbon footprint calculations employ the use of both PA-LCA and EIO-LCA models, creating a hybrid method</w:t>
      </w:r>
      <w:r w:rsidR="007560F9">
        <w:rPr>
          <w:rFonts w:ascii="Times New Roman" w:hAnsi="Times New Roman" w:cs="Times New Roman"/>
          <w:sz w:val="24"/>
        </w:rPr>
        <w:t>. Small emissions would be covered with PA while the rest is left to EIO</w:t>
      </w:r>
      <w:r w:rsidR="001548B8">
        <w:rPr>
          <w:rFonts w:ascii="Times New Roman" w:hAnsi="Times New Roman" w:cs="Times New Roman"/>
          <w:sz w:val="24"/>
        </w:rPr>
        <w:t xml:space="preserve"> which allows for an increase in precision while maintaining the efficiency and</w:t>
      </w:r>
      <w:r w:rsidR="007E6F03">
        <w:rPr>
          <w:rFonts w:ascii="Times New Roman" w:hAnsi="Times New Roman" w:cs="Times New Roman"/>
          <w:sz w:val="24"/>
        </w:rPr>
        <w:t xml:space="preserve"> speed of the EIO (Pandey 2011)</w:t>
      </w:r>
      <w:r w:rsidR="002330C8">
        <w:rPr>
          <w:rFonts w:ascii="Times New Roman" w:hAnsi="Times New Roman" w:cs="Times New Roman"/>
          <w:sz w:val="24"/>
        </w:rPr>
        <w:t>.</w:t>
      </w:r>
    </w:p>
    <w:p w:rsidR="004F67B6" w:rsidRDefault="004F67B6" w:rsidP="00232D7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06CC2">
        <w:rPr>
          <w:rFonts w:ascii="Times New Roman" w:hAnsi="Times New Roman" w:cs="Times New Roman"/>
          <w:sz w:val="24"/>
        </w:rPr>
        <w:t>The process of GHG accounting involves three steps: selection of GHGs, setting boundaries and collection of GHG data</w:t>
      </w:r>
      <w:r w:rsidR="003B1C89">
        <w:rPr>
          <w:rFonts w:ascii="Times New Roman" w:hAnsi="Times New Roman" w:cs="Times New Roman"/>
          <w:sz w:val="24"/>
        </w:rPr>
        <w:t xml:space="preserve"> (Pandey 2011)</w:t>
      </w:r>
      <w:r w:rsidR="00D06CC2">
        <w:rPr>
          <w:rFonts w:ascii="Times New Roman" w:hAnsi="Times New Roman" w:cs="Times New Roman"/>
          <w:sz w:val="24"/>
        </w:rPr>
        <w:t>.</w:t>
      </w:r>
      <w:r w:rsidR="003B1C89">
        <w:rPr>
          <w:rFonts w:ascii="Times New Roman" w:hAnsi="Times New Roman" w:cs="Times New Roman"/>
          <w:sz w:val="24"/>
        </w:rPr>
        <w:t xml:space="preserve"> In the first step, the GHGs selected is dependent on</w:t>
      </w:r>
      <w:r w:rsidR="00592F0D">
        <w:rPr>
          <w:rFonts w:ascii="Times New Roman" w:hAnsi="Times New Roman" w:cs="Times New Roman"/>
          <w:sz w:val="24"/>
        </w:rPr>
        <w:t xml:space="preserve"> </w:t>
      </w:r>
      <w:r w:rsidR="00590EDA">
        <w:rPr>
          <w:rFonts w:ascii="Times New Roman" w:hAnsi="Times New Roman" w:cs="Times New Roman"/>
          <w:sz w:val="24"/>
        </w:rPr>
        <w:t>the</w:t>
      </w:r>
      <w:r w:rsidR="006334F8">
        <w:rPr>
          <w:rFonts w:ascii="Times New Roman" w:hAnsi="Times New Roman" w:cs="Times New Roman"/>
          <w:sz w:val="24"/>
        </w:rPr>
        <w:t xml:space="preserve"> given</w:t>
      </w:r>
      <w:r w:rsidR="002A2C5F">
        <w:rPr>
          <w:rFonts w:ascii="Times New Roman" w:hAnsi="Times New Roman" w:cs="Times New Roman"/>
          <w:sz w:val="24"/>
        </w:rPr>
        <w:t xml:space="preserve"> item or process</w:t>
      </w:r>
      <w:r w:rsidR="00936B15">
        <w:rPr>
          <w:rFonts w:ascii="Times New Roman" w:hAnsi="Times New Roman" w:cs="Times New Roman"/>
          <w:sz w:val="24"/>
        </w:rPr>
        <w:t>, whether to just include a specific GHG such as CO</w:t>
      </w:r>
      <w:r w:rsidR="00936B15">
        <w:rPr>
          <w:rFonts w:ascii="Times New Roman" w:hAnsi="Times New Roman" w:cs="Times New Roman"/>
          <w:sz w:val="24"/>
          <w:vertAlign w:val="subscript"/>
        </w:rPr>
        <w:t>2</w:t>
      </w:r>
      <w:r w:rsidR="00936B15">
        <w:rPr>
          <w:rFonts w:ascii="Times New Roman" w:hAnsi="Times New Roman" w:cs="Times New Roman"/>
          <w:sz w:val="24"/>
        </w:rPr>
        <w:t xml:space="preserve"> or to include a whole range such as the six Kyoto gases which include</w:t>
      </w:r>
      <w:r w:rsidR="00F4629F">
        <w:rPr>
          <w:rFonts w:ascii="Times New Roman" w:hAnsi="Times New Roman" w:cs="Times New Roman"/>
          <w:sz w:val="24"/>
        </w:rPr>
        <w:t xml:space="preserve"> carbon dioxide (CO</w:t>
      </w:r>
      <w:r w:rsidR="00F4629F">
        <w:rPr>
          <w:rFonts w:ascii="Times New Roman" w:hAnsi="Times New Roman" w:cs="Times New Roman"/>
          <w:sz w:val="24"/>
          <w:vertAlign w:val="subscript"/>
        </w:rPr>
        <w:t>2</w:t>
      </w:r>
      <w:r w:rsidR="00F4629F">
        <w:rPr>
          <w:rFonts w:ascii="Times New Roman" w:hAnsi="Times New Roman" w:cs="Times New Roman"/>
          <w:sz w:val="24"/>
        </w:rPr>
        <w:t>), methane (CH</w:t>
      </w:r>
      <w:r w:rsidR="00F4629F">
        <w:rPr>
          <w:rFonts w:ascii="Times New Roman" w:hAnsi="Times New Roman" w:cs="Times New Roman"/>
          <w:sz w:val="24"/>
          <w:vertAlign w:val="subscript"/>
        </w:rPr>
        <w:t>4</w:t>
      </w:r>
      <w:r w:rsidR="00F4629F">
        <w:rPr>
          <w:rFonts w:ascii="Times New Roman" w:hAnsi="Times New Roman" w:cs="Times New Roman"/>
          <w:sz w:val="24"/>
        </w:rPr>
        <w:t>), nitrous oxide (N</w:t>
      </w:r>
      <w:r w:rsidR="00F4629F">
        <w:rPr>
          <w:rFonts w:ascii="Times New Roman" w:hAnsi="Times New Roman" w:cs="Times New Roman"/>
          <w:sz w:val="24"/>
          <w:vertAlign w:val="subscript"/>
        </w:rPr>
        <w:t>2</w:t>
      </w:r>
      <w:r w:rsidR="00F4629F">
        <w:rPr>
          <w:rFonts w:ascii="Times New Roman" w:hAnsi="Times New Roman" w:cs="Times New Roman"/>
          <w:sz w:val="24"/>
        </w:rPr>
        <w:t xml:space="preserve">O), </w:t>
      </w:r>
      <w:r w:rsidR="005B45E2">
        <w:rPr>
          <w:rFonts w:ascii="Times New Roman" w:hAnsi="Times New Roman" w:cs="Times New Roman"/>
          <w:sz w:val="24"/>
        </w:rPr>
        <w:t>h</w:t>
      </w:r>
      <w:r w:rsidR="00F4629F" w:rsidRPr="00F4629F">
        <w:rPr>
          <w:rFonts w:ascii="Times New Roman" w:hAnsi="Times New Roman" w:cs="Times New Roman"/>
          <w:sz w:val="24"/>
        </w:rPr>
        <w:t>ydrofluorocarbons</w:t>
      </w:r>
      <w:r w:rsidR="00F4629F">
        <w:rPr>
          <w:rFonts w:ascii="Times New Roman" w:hAnsi="Times New Roman" w:cs="Times New Roman"/>
          <w:sz w:val="24"/>
        </w:rPr>
        <w:t xml:space="preserve"> (HFCs), </w:t>
      </w:r>
      <w:r w:rsidR="005B45E2">
        <w:rPr>
          <w:rFonts w:ascii="Times New Roman" w:hAnsi="Times New Roman" w:cs="Times New Roman"/>
          <w:sz w:val="24"/>
        </w:rPr>
        <w:t>p</w:t>
      </w:r>
      <w:r w:rsidR="00F4629F" w:rsidRPr="00F4629F">
        <w:rPr>
          <w:rFonts w:ascii="Times New Roman" w:hAnsi="Times New Roman" w:cs="Times New Roman"/>
          <w:sz w:val="24"/>
        </w:rPr>
        <w:t xml:space="preserve">erfluorocarbons </w:t>
      </w:r>
      <w:r w:rsidR="00F4629F">
        <w:rPr>
          <w:rFonts w:ascii="Times New Roman" w:hAnsi="Times New Roman" w:cs="Times New Roman"/>
          <w:sz w:val="24"/>
        </w:rPr>
        <w:t xml:space="preserve">(PFCs), and </w:t>
      </w:r>
      <w:r w:rsidR="00CA38C5">
        <w:rPr>
          <w:rFonts w:ascii="Times New Roman" w:hAnsi="Times New Roman" w:cs="Times New Roman"/>
          <w:sz w:val="24"/>
        </w:rPr>
        <w:t>Sulphur</w:t>
      </w:r>
      <w:r w:rsidR="00F4629F">
        <w:rPr>
          <w:rFonts w:ascii="Times New Roman" w:hAnsi="Times New Roman" w:cs="Times New Roman"/>
          <w:sz w:val="24"/>
        </w:rPr>
        <w:t xml:space="preserve"> hexafluoride (SF</w:t>
      </w:r>
      <w:r w:rsidR="00F4629F">
        <w:rPr>
          <w:rFonts w:ascii="Times New Roman" w:hAnsi="Times New Roman" w:cs="Times New Roman"/>
          <w:sz w:val="24"/>
        </w:rPr>
        <w:softHyphen/>
      </w:r>
      <w:r w:rsidR="00F4629F">
        <w:rPr>
          <w:rFonts w:ascii="Times New Roman" w:hAnsi="Times New Roman" w:cs="Times New Roman"/>
          <w:sz w:val="24"/>
          <w:vertAlign w:val="subscript"/>
        </w:rPr>
        <w:t>6</w:t>
      </w:r>
      <w:r w:rsidR="00F4629F">
        <w:rPr>
          <w:rFonts w:ascii="Times New Roman" w:hAnsi="Times New Roman" w:cs="Times New Roman"/>
          <w:sz w:val="24"/>
        </w:rPr>
        <w:t xml:space="preserve">) </w:t>
      </w:r>
      <w:r w:rsidR="00457FAE">
        <w:rPr>
          <w:rFonts w:ascii="Times New Roman" w:hAnsi="Times New Roman" w:cs="Times New Roman"/>
          <w:sz w:val="24"/>
        </w:rPr>
        <w:t>(UNFCCC 2010)</w:t>
      </w:r>
      <w:r w:rsidR="00F4629F">
        <w:rPr>
          <w:rFonts w:ascii="Times New Roman" w:hAnsi="Times New Roman" w:cs="Times New Roman"/>
          <w:sz w:val="24"/>
        </w:rPr>
        <w:t>.</w:t>
      </w:r>
      <w:r w:rsidR="00593266">
        <w:rPr>
          <w:rFonts w:ascii="Times New Roman" w:hAnsi="Times New Roman" w:cs="Times New Roman"/>
          <w:sz w:val="24"/>
        </w:rPr>
        <w:t xml:space="preserve"> For instance, </w:t>
      </w:r>
      <w:r w:rsidR="00F446F9">
        <w:rPr>
          <w:rFonts w:ascii="Times New Roman" w:hAnsi="Times New Roman" w:cs="Times New Roman"/>
          <w:sz w:val="24"/>
        </w:rPr>
        <w:t>in farming, CO</w:t>
      </w:r>
      <w:r w:rsidR="00F446F9">
        <w:rPr>
          <w:rFonts w:ascii="Times New Roman" w:hAnsi="Times New Roman" w:cs="Times New Roman"/>
          <w:sz w:val="24"/>
          <w:vertAlign w:val="subscript"/>
        </w:rPr>
        <w:t>2</w:t>
      </w:r>
      <w:r w:rsidR="00F446F9">
        <w:rPr>
          <w:rFonts w:ascii="Times New Roman" w:hAnsi="Times New Roman" w:cs="Times New Roman"/>
          <w:sz w:val="24"/>
        </w:rPr>
        <w:t xml:space="preserve"> and CH</w:t>
      </w:r>
      <w:r w:rsidR="00F446F9">
        <w:rPr>
          <w:rFonts w:ascii="Times New Roman" w:hAnsi="Times New Roman" w:cs="Times New Roman"/>
          <w:sz w:val="24"/>
          <w:vertAlign w:val="subscript"/>
        </w:rPr>
        <w:t>4</w:t>
      </w:r>
      <w:r w:rsidR="00F446F9">
        <w:rPr>
          <w:rFonts w:ascii="Times New Roman" w:hAnsi="Times New Roman" w:cs="Times New Roman"/>
          <w:sz w:val="24"/>
        </w:rPr>
        <w:t xml:space="preserve"> are significant GHG emissions w</w:t>
      </w:r>
      <w:r w:rsidR="00A87316">
        <w:rPr>
          <w:rFonts w:ascii="Times New Roman" w:hAnsi="Times New Roman" w:cs="Times New Roman"/>
          <w:sz w:val="24"/>
        </w:rPr>
        <w:t>hile the significant GHG emission in other items or processes may differ. Therefore, it would be important to identify which GHG would be assessed.</w:t>
      </w:r>
    </w:p>
    <w:p w:rsidR="004E1A30" w:rsidRDefault="004E1A30" w:rsidP="001E7D6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The second step is to define a boundary, which refers to, “an imaginary line drawn around the activities that will be used for calculating carbon footprint” (Pandey 2011).</w:t>
      </w:r>
      <w:r w:rsidR="0046623C">
        <w:rPr>
          <w:rFonts w:ascii="Times New Roman" w:hAnsi="Times New Roman" w:cs="Times New Roman"/>
          <w:sz w:val="24"/>
        </w:rPr>
        <w:t xml:space="preserve"> This step is especially relevant for PA-LCA where a clear boundary must be defined so as to not go on calculating the emissions for </w:t>
      </w:r>
      <w:r w:rsidR="00D3271E">
        <w:rPr>
          <w:rFonts w:ascii="Times New Roman" w:hAnsi="Times New Roman" w:cs="Times New Roman"/>
          <w:sz w:val="24"/>
        </w:rPr>
        <w:t>infinity</w:t>
      </w:r>
      <w:r w:rsidR="0046623C">
        <w:rPr>
          <w:rFonts w:ascii="Times New Roman" w:hAnsi="Times New Roman" w:cs="Times New Roman"/>
          <w:sz w:val="24"/>
        </w:rPr>
        <w:t>.</w:t>
      </w:r>
      <w:r w:rsidR="00D3271E">
        <w:rPr>
          <w:rFonts w:ascii="Times New Roman" w:hAnsi="Times New Roman" w:cs="Times New Roman"/>
          <w:sz w:val="24"/>
        </w:rPr>
        <w:t xml:space="preserve"> </w:t>
      </w:r>
      <w:r w:rsidR="005B77FD">
        <w:rPr>
          <w:rFonts w:ascii="Times New Roman" w:hAnsi="Times New Roman" w:cs="Times New Roman"/>
          <w:sz w:val="24"/>
        </w:rPr>
        <w:t>This step is yet again dependent on the characteristics and properties of the given item or process.</w:t>
      </w:r>
      <w:r w:rsidR="001E7D63">
        <w:rPr>
          <w:rFonts w:ascii="Times New Roman" w:hAnsi="Times New Roman" w:cs="Times New Roman"/>
          <w:sz w:val="24"/>
        </w:rPr>
        <w:t xml:space="preserve"> After the boundary has been defined, an operational boundary will be initialized next, which refers to, “the </w:t>
      </w:r>
      <w:r w:rsidR="000A5A5B">
        <w:rPr>
          <w:rFonts w:ascii="Times New Roman" w:hAnsi="Times New Roman" w:cs="Times New Roman"/>
          <w:sz w:val="24"/>
        </w:rPr>
        <w:t xml:space="preserve">selection of the direct and </w:t>
      </w:r>
      <w:r w:rsidR="001E7D63" w:rsidRPr="001E7D63">
        <w:rPr>
          <w:rFonts w:ascii="Times New Roman" w:hAnsi="Times New Roman" w:cs="Times New Roman"/>
          <w:sz w:val="24"/>
        </w:rPr>
        <w:t>indirect emissions, which will be accounted for</w:t>
      </w:r>
      <w:r w:rsidR="001E7D63">
        <w:rPr>
          <w:rFonts w:ascii="Times New Roman" w:hAnsi="Times New Roman" w:cs="Times New Roman"/>
          <w:sz w:val="24"/>
        </w:rPr>
        <w:t>” (Pandey 2011).</w:t>
      </w:r>
      <w:r w:rsidR="00597C5E">
        <w:rPr>
          <w:rFonts w:ascii="Times New Roman" w:hAnsi="Times New Roman" w:cs="Times New Roman"/>
          <w:sz w:val="24"/>
        </w:rPr>
        <w:t xml:space="preserve"> </w:t>
      </w:r>
      <w:r w:rsidR="00D221C7">
        <w:rPr>
          <w:rFonts w:ascii="Times New Roman" w:hAnsi="Times New Roman" w:cs="Times New Roman"/>
          <w:sz w:val="24"/>
        </w:rPr>
        <w:t>Three different scopes categorizing e</w:t>
      </w:r>
      <w:r w:rsidR="00A95053">
        <w:rPr>
          <w:rFonts w:ascii="Times New Roman" w:hAnsi="Times New Roman" w:cs="Times New Roman"/>
          <w:sz w:val="24"/>
        </w:rPr>
        <w:t>missions have been standardized</w:t>
      </w:r>
      <w:r w:rsidR="00F530EC">
        <w:rPr>
          <w:rFonts w:ascii="Times New Roman" w:hAnsi="Times New Roman" w:cs="Times New Roman"/>
          <w:sz w:val="24"/>
        </w:rPr>
        <w:t>, which help to avoid redundant accounting</w:t>
      </w:r>
      <w:r w:rsidR="007D1991">
        <w:rPr>
          <w:rFonts w:ascii="Times New Roman" w:hAnsi="Times New Roman" w:cs="Times New Roman"/>
          <w:sz w:val="24"/>
        </w:rPr>
        <w:t xml:space="preserve"> and to provide a sense of organization</w:t>
      </w:r>
      <w:r w:rsidR="00A95053">
        <w:rPr>
          <w:rFonts w:ascii="Times New Roman" w:hAnsi="Times New Roman" w:cs="Times New Roman"/>
          <w:sz w:val="24"/>
        </w:rPr>
        <w:t xml:space="preserve"> (Boles 2017).</w:t>
      </w:r>
      <w:r w:rsidR="00F9494D">
        <w:rPr>
          <w:rFonts w:ascii="Times New Roman" w:hAnsi="Times New Roman" w:cs="Times New Roman"/>
          <w:sz w:val="24"/>
        </w:rPr>
        <w:t xml:space="preserve"> </w:t>
      </w:r>
      <w:r w:rsidR="00A30995">
        <w:rPr>
          <w:rFonts w:ascii="Times New Roman" w:hAnsi="Times New Roman" w:cs="Times New Roman"/>
          <w:sz w:val="24"/>
        </w:rPr>
        <w:t>Scope 1 refers to “emissions from sources that are owned or controlled by the organization”</w:t>
      </w:r>
      <w:r w:rsidR="00E12531">
        <w:rPr>
          <w:rFonts w:ascii="Times New Roman" w:hAnsi="Times New Roman" w:cs="Times New Roman"/>
          <w:sz w:val="24"/>
        </w:rPr>
        <w:t xml:space="preserve">, which include </w:t>
      </w:r>
      <w:r w:rsidR="007006C3">
        <w:rPr>
          <w:rFonts w:ascii="Times New Roman" w:hAnsi="Times New Roman" w:cs="Times New Roman"/>
          <w:sz w:val="24"/>
        </w:rPr>
        <w:t>stationary combustion, mobile combustion, process emissions and fugitive emissions</w:t>
      </w:r>
      <w:r w:rsidR="00067CB2">
        <w:rPr>
          <w:rFonts w:ascii="Times New Roman" w:hAnsi="Times New Roman" w:cs="Times New Roman"/>
          <w:sz w:val="24"/>
        </w:rPr>
        <w:t xml:space="preserve"> (Boles 2017)</w:t>
      </w:r>
      <w:r w:rsidR="007006C3">
        <w:rPr>
          <w:rFonts w:ascii="Times New Roman" w:hAnsi="Times New Roman" w:cs="Times New Roman"/>
          <w:sz w:val="24"/>
        </w:rPr>
        <w:t>.</w:t>
      </w:r>
      <w:r w:rsidR="00E50A7A">
        <w:rPr>
          <w:rFonts w:ascii="Times New Roman" w:hAnsi="Times New Roman" w:cs="Times New Roman"/>
          <w:sz w:val="24"/>
        </w:rPr>
        <w:t xml:space="preserve"> Scope 2 emissions are indirect emissions which are defined as “emissions from the </w:t>
      </w:r>
      <w:r w:rsidR="002A1F01">
        <w:rPr>
          <w:rFonts w:ascii="Times New Roman" w:hAnsi="Times New Roman" w:cs="Times New Roman"/>
          <w:sz w:val="24"/>
        </w:rPr>
        <w:t>consumption</w:t>
      </w:r>
      <w:r w:rsidR="00E50A7A">
        <w:rPr>
          <w:rFonts w:ascii="Times New Roman" w:hAnsi="Times New Roman" w:cs="Times New Roman"/>
          <w:sz w:val="24"/>
        </w:rPr>
        <w:t xml:space="preserve"> of purchased electricity, steam or other sources of energy generated upstream from the organization</w:t>
      </w:r>
      <w:r w:rsidR="002A1F01">
        <w:rPr>
          <w:rFonts w:ascii="Times New Roman" w:hAnsi="Times New Roman" w:cs="Times New Roman"/>
          <w:sz w:val="24"/>
        </w:rPr>
        <w:t xml:space="preserve"> (Boles 2017)</w:t>
      </w:r>
      <w:r w:rsidR="00E50A7A">
        <w:rPr>
          <w:rFonts w:ascii="Times New Roman" w:hAnsi="Times New Roman" w:cs="Times New Roman"/>
          <w:sz w:val="24"/>
        </w:rPr>
        <w:t>.</w:t>
      </w:r>
      <w:r w:rsidR="008B1A06">
        <w:rPr>
          <w:rFonts w:ascii="Times New Roman" w:hAnsi="Times New Roman" w:cs="Times New Roman"/>
          <w:sz w:val="24"/>
        </w:rPr>
        <w:t xml:space="preserve"> Finally, scope 3 is known as other indirect emissions and is defined as “emissions that are a consequence of operations of an organization, but are not directly owned or controlled by the organization”</w:t>
      </w:r>
      <w:r w:rsidR="000E08B9">
        <w:rPr>
          <w:rFonts w:ascii="Times New Roman" w:hAnsi="Times New Roman" w:cs="Times New Roman"/>
          <w:sz w:val="24"/>
        </w:rPr>
        <w:t xml:space="preserve"> (Boles 2017)</w:t>
      </w:r>
      <w:r w:rsidR="008B1A06">
        <w:rPr>
          <w:rFonts w:ascii="Times New Roman" w:hAnsi="Times New Roman" w:cs="Times New Roman"/>
          <w:sz w:val="24"/>
        </w:rPr>
        <w:t>.</w:t>
      </w:r>
      <w:r w:rsidR="000E08B9">
        <w:rPr>
          <w:rFonts w:ascii="Times New Roman" w:hAnsi="Times New Roman" w:cs="Times New Roman"/>
          <w:sz w:val="24"/>
        </w:rPr>
        <w:t xml:space="preserve"> Most carbon footprints only </w:t>
      </w:r>
      <w:r w:rsidR="00A23D91">
        <w:rPr>
          <w:rFonts w:ascii="Times New Roman" w:hAnsi="Times New Roman" w:cs="Times New Roman"/>
          <w:sz w:val="24"/>
        </w:rPr>
        <w:t>account fo</w:t>
      </w:r>
      <w:r w:rsidR="000E08B9">
        <w:rPr>
          <w:rFonts w:ascii="Times New Roman" w:hAnsi="Times New Roman" w:cs="Times New Roman"/>
          <w:sz w:val="24"/>
        </w:rPr>
        <w:t>r</w:t>
      </w:r>
      <w:r w:rsidR="00A23D91">
        <w:rPr>
          <w:rFonts w:ascii="Times New Roman" w:hAnsi="Times New Roman" w:cs="Times New Roman"/>
          <w:sz w:val="24"/>
        </w:rPr>
        <w:t xml:space="preserve"> scope 1 and 2 as the complexity and number of processes found in scope 3 is too high.</w:t>
      </w:r>
    </w:p>
    <w:p w:rsidR="00955746" w:rsidRDefault="00955746" w:rsidP="001E7D6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D50D8">
        <w:rPr>
          <w:rFonts w:ascii="Times New Roman" w:hAnsi="Times New Roman" w:cs="Times New Roman"/>
          <w:sz w:val="24"/>
        </w:rPr>
        <w:t xml:space="preserve">Finally, </w:t>
      </w:r>
      <w:r w:rsidR="00DD0C10">
        <w:rPr>
          <w:rFonts w:ascii="Times New Roman" w:hAnsi="Times New Roman" w:cs="Times New Roman"/>
          <w:sz w:val="24"/>
        </w:rPr>
        <w:t>GHG data is collected, which can be done with models such as the EIO-LCA discussed earlier or directly through real-time measurements.</w:t>
      </w:r>
      <w:r w:rsidR="0032777D">
        <w:rPr>
          <w:rFonts w:ascii="Times New Roman" w:hAnsi="Times New Roman" w:cs="Times New Roman"/>
          <w:sz w:val="24"/>
        </w:rPr>
        <w:t xml:space="preserve"> The GHG data is then converted into units of CO</w:t>
      </w:r>
      <w:r w:rsidR="0032777D">
        <w:rPr>
          <w:rFonts w:ascii="Times New Roman" w:hAnsi="Times New Roman" w:cs="Times New Roman"/>
          <w:sz w:val="24"/>
          <w:vertAlign w:val="subscript"/>
        </w:rPr>
        <w:t>2</w:t>
      </w:r>
      <w:r w:rsidR="0032777D">
        <w:rPr>
          <w:rFonts w:ascii="Times New Roman" w:hAnsi="Times New Roman" w:cs="Times New Roman"/>
          <w:sz w:val="24"/>
        </w:rPr>
        <w:t xml:space="preserve"> using conversion ratios (GWP).</w:t>
      </w:r>
    </w:p>
    <w:p w:rsidR="00693772" w:rsidRPr="0032777D" w:rsidRDefault="00693772" w:rsidP="001E7D6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02F04">
        <w:rPr>
          <w:rFonts w:ascii="Times New Roman" w:hAnsi="Times New Roman" w:cs="Times New Roman"/>
          <w:sz w:val="24"/>
        </w:rPr>
        <w:t xml:space="preserve">The process of measuring the carbon footprint of a select item or process is </w:t>
      </w:r>
      <w:r w:rsidR="007112CA">
        <w:rPr>
          <w:rFonts w:ascii="Times New Roman" w:hAnsi="Times New Roman" w:cs="Times New Roman"/>
          <w:sz w:val="24"/>
        </w:rPr>
        <w:t>not simple.</w:t>
      </w:r>
      <w:r w:rsidR="00082C75">
        <w:rPr>
          <w:rFonts w:ascii="Times New Roman" w:hAnsi="Times New Roman" w:cs="Times New Roman"/>
          <w:sz w:val="24"/>
        </w:rPr>
        <w:t xml:space="preserve"> A LCA has to be first performed, where the inputs and outputs of the item or process is quantified.</w:t>
      </w:r>
      <w:r w:rsidR="00355736">
        <w:rPr>
          <w:rFonts w:ascii="Times New Roman" w:hAnsi="Times New Roman" w:cs="Times New Roman"/>
          <w:sz w:val="24"/>
        </w:rPr>
        <w:t xml:space="preserve"> </w:t>
      </w:r>
      <w:r w:rsidR="00CD0581">
        <w:rPr>
          <w:rFonts w:ascii="Times New Roman" w:hAnsi="Times New Roman" w:cs="Times New Roman"/>
          <w:sz w:val="24"/>
        </w:rPr>
        <w:t>From there, there are three different methods that can be us</w:t>
      </w:r>
      <w:r w:rsidR="003F5752">
        <w:rPr>
          <w:rFonts w:ascii="Times New Roman" w:hAnsi="Times New Roman" w:cs="Times New Roman"/>
          <w:sz w:val="24"/>
        </w:rPr>
        <w:t xml:space="preserve">ed to perform a LCA and calculate </w:t>
      </w:r>
      <w:r w:rsidR="003F5752">
        <w:rPr>
          <w:rFonts w:ascii="Times New Roman" w:hAnsi="Times New Roman" w:cs="Times New Roman"/>
          <w:sz w:val="24"/>
        </w:rPr>
        <w:lastRenderedPageBreak/>
        <w:t xml:space="preserve">the carbon footprint of the item or process: the process analysis approach or economic input-output approach. </w:t>
      </w:r>
      <w:r w:rsidR="003B0C63">
        <w:rPr>
          <w:rFonts w:ascii="Times New Roman" w:hAnsi="Times New Roman" w:cs="Times New Roman"/>
          <w:sz w:val="24"/>
        </w:rPr>
        <w:t>The PA approach is mainly used for smaller products that do not have a complex carbon path while the EIO approach is used for more complex products.</w:t>
      </w:r>
      <w:r w:rsidR="00B61039">
        <w:rPr>
          <w:rFonts w:ascii="Times New Roman" w:hAnsi="Times New Roman" w:cs="Times New Roman"/>
          <w:sz w:val="24"/>
        </w:rPr>
        <w:t xml:space="preserve"> </w:t>
      </w:r>
      <w:r w:rsidR="00A53DB9">
        <w:rPr>
          <w:rFonts w:ascii="Times New Roman" w:hAnsi="Times New Roman" w:cs="Times New Roman"/>
          <w:sz w:val="24"/>
        </w:rPr>
        <w:t xml:space="preserve">Both methodologies have their respective strengths and weaknesses. </w:t>
      </w:r>
      <w:r w:rsidR="00B61039">
        <w:rPr>
          <w:rFonts w:ascii="Times New Roman" w:hAnsi="Times New Roman" w:cs="Times New Roman"/>
          <w:sz w:val="24"/>
        </w:rPr>
        <w:t>The third approach is combining the two methods to get the benefits from both.</w:t>
      </w:r>
      <w:r w:rsidR="00BB4C97">
        <w:rPr>
          <w:rFonts w:ascii="Times New Roman" w:hAnsi="Times New Roman" w:cs="Times New Roman"/>
          <w:sz w:val="24"/>
        </w:rPr>
        <w:t xml:space="preserve"> Furthermore, the process of GHG accounting involves three steps, which are identifying the important GHGs, </w:t>
      </w:r>
      <w:r w:rsidR="00597BDA">
        <w:rPr>
          <w:rFonts w:ascii="Times New Roman" w:hAnsi="Times New Roman" w:cs="Times New Roman"/>
          <w:sz w:val="24"/>
        </w:rPr>
        <w:t xml:space="preserve">defining a boundary and </w:t>
      </w:r>
      <w:r w:rsidR="008344A3">
        <w:rPr>
          <w:rFonts w:ascii="Times New Roman" w:hAnsi="Times New Roman" w:cs="Times New Roman"/>
          <w:sz w:val="24"/>
        </w:rPr>
        <w:t>collecting GHG data.</w:t>
      </w:r>
      <w:r w:rsidR="00894AAC">
        <w:rPr>
          <w:rFonts w:ascii="Times New Roman" w:hAnsi="Times New Roman" w:cs="Times New Roman"/>
          <w:sz w:val="24"/>
        </w:rPr>
        <w:t xml:space="preserve"> In order to calculate the carbon footprint of a region, </w:t>
      </w:r>
      <w:r w:rsidR="00767699">
        <w:rPr>
          <w:rFonts w:ascii="Times New Roman" w:hAnsi="Times New Roman" w:cs="Times New Roman"/>
          <w:sz w:val="24"/>
        </w:rPr>
        <w:t>the approach should be to take the prominent carbon emitting aspects and perform a combination of PA-LCA and EIO-LCA to yield the best results.</w:t>
      </w:r>
      <w:r w:rsidR="003C4BAC">
        <w:rPr>
          <w:rFonts w:ascii="Times New Roman" w:hAnsi="Times New Roman" w:cs="Times New Roman"/>
          <w:sz w:val="24"/>
        </w:rPr>
        <w:t xml:space="preserve"> Given the time frame for this project, it would be impractical to create a whole new approach that relies on the intricacies and in-depth study of cities to create the most precise results.</w:t>
      </w:r>
      <w:r w:rsidR="00E04AC2">
        <w:rPr>
          <w:rFonts w:ascii="Times New Roman" w:hAnsi="Times New Roman" w:cs="Times New Roman"/>
          <w:sz w:val="24"/>
        </w:rPr>
        <w:t xml:space="preserve"> Rather, it would be better to rely on the current methods and implement it in a </w:t>
      </w:r>
      <w:r w:rsidR="00D5187E">
        <w:rPr>
          <w:rFonts w:ascii="Times New Roman" w:hAnsi="Times New Roman" w:cs="Times New Roman"/>
          <w:sz w:val="24"/>
        </w:rPr>
        <w:t>reusable</w:t>
      </w:r>
      <w:r w:rsidR="00E04AC2">
        <w:rPr>
          <w:rFonts w:ascii="Times New Roman" w:hAnsi="Times New Roman" w:cs="Times New Roman"/>
          <w:sz w:val="24"/>
        </w:rPr>
        <w:t xml:space="preserve"> computer program.</w:t>
      </w:r>
    </w:p>
    <w:p w:rsidR="00D13625" w:rsidRPr="00880A71" w:rsidRDefault="005B3AB7" w:rsidP="0049246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13625">
        <w:rPr>
          <w:rFonts w:ascii="Times New Roman" w:hAnsi="Times New Roman" w:cs="Times New Roman"/>
          <w:sz w:val="24"/>
        </w:rPr>
        <w:br w:type="page"/>
      </w:r>
    </w:p>
    <w:p w:rsidR="00B05635" w:rsidRDefault="00D13625" w:rsidP="000B273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References</w:t>
      </w:r>
    </w:p>
    <w:p w:rsidR="00253648" w:rsidRDefault="00B05635" w:rsidP="00E1448E">
      <w:pPr>
        <w:spacing w:line="240" w:lineRule="auto"/>
        <w:rPr>
          <w:rFonts w:ascii="Times New Roman" w:hAnsi="Times New Roman" w:cs="Times New Roman"/>
          <w:sz w:val="24"/>
        </w:rPr>
      </w:pPr>
      <w:r w:rsidRPr="00B05635">
        <w:rPr>
          <w:rFonts w:ascii="Times New Roman" w:hAnsi="Times New Roman" w:cs="Times New Roman"/>
          <w:sz w:val="24"/>
        </w:rPr>
        <w:t>"Life Cycle Analysis." The Environmental Literacy Council. Accessed April 22, 2017.</w:t>
      </w:r>
      <w:r w:rsidR="00E1448E">
        <w:rPr>
          <w:rFonts w:ascii="Times New Roman" w:hAnsi="Times New Roman" w:cs="Times New Roman"/>
          <w:sz w:val="24"/>
        </w:rPr>
        <w:tab/>
      </w:r>
      <w:r w:rsidR="00253648" w:rsidRPr="00253648">
        <w:rPr>
          <w:rFonts w:ascii="Times New Roman" w:hAnsi="Times New Roman" w:cs="Times New Roman"/>
          <w:sz w:val="24"/>
        </w:rPr>
        <w:t>https://enviroliteracy.org/environment-society/life-cycle-analysis/</w:t>
      </w:r>
      <w:r w:rsidRPr="00B05635">
        <w:rPr>
          <w:rFonts w:ascii="Times New Roman" w:hAnsi="Times New Roman" w:cs="Times New Roman"/>
          <w:sz w:val="24"/>
        </w:rPr>
        <w:t>.</w:t>
      </w:r>
    </w:p>
    <w:p w:rsidR="00A03186" w:rsidRDefault="00253648" w:rsidP="00E1448E">
      <w:pPr>
        <w:spacing w:line="240" w:lineRule="auto"/>
        <w:rPr>
          <w:rFonts w:ascii="Times New Roman" w:hAnsi="Times New Roman" w:cs="Times New Roman"/>
          <w:sz w:val="24"/>
        </w:rPr>
      </w:pPr>
      <w:r w:rsidRPr="00924B7B">
        <w:rPr>
          <w:rFonts w:ascii="Times New Roman" w:hAnsi="Times New Roman" w:cs="Times New Roman"/>
          <w:sz w:val="24"/>
        </w:rPr>
        <w:t>Berners-Lee, Mike. How bad are bananas?: the carbon footprin</w:t>
      </w:r>
      <w:r>
        <w:rPr>
          <w:rFonts w:ascii="Times New Roman" w:hAnsi="Times New Roman" w:cs="Times New Roman"/>
          <w:sz w:val="24"/>
        </w:rPr>
        <w:t>t of everything. Vancouver: D &amp;</w:t>
      </w:r>
      <w:r>
        <w:rPr>
          <w:rFonts w:ascii="Times New Roman" w:hAnsi="Times New Roman" w:cs="Times New Roman"/>
          <w:sz w:val="24"/>
        </w:rPr>
        <w:tab/>
      </w:r>
      <w:r w:rsidRPr="00924B7B">
        <w:rPr>
          <w:rFonts w:ascii="Times New Roman" w:hAnsi="Times New Roman" w:cs="Times New Roman"/>
          <w:sz w:val="24"/>
        </w:rPr>
        <w:t>M Publishers, 2011.</w:t>
      </w:r>
    </w:p>
    <w:p w:rsidR="00B05635" w:rsidRDefault="00A03186" w:rsidP="00E1448E">
      <w:pPr>
        <w:spacing w:line="240" w:lineRule="auto"/>
        <w:rPr>
          <w:rFonts w:ascii="Times New Roman" w:hAnsi="Times New Roman" w:cs="Times New Roman"/>
          <w:sz w:val="24"/>
        </w:rPr>
      </w:pPr>
      <w:r w:rsidRPr="00A03186">
        <w:rPr>
          <w:rFonts w:ascii="Times New Roman" w:hAnsi="Times New Roman" w:cs="Times New Roman"/>
          <w:sz w:val="24"/>
        </w:rPr>
        <w:t>Boles, Steve. "What are the differences between Scope 1, 2 a</w:t>
      </w:r>
      <w:r>
        <w:rPr>
          <w:rFonts w:ascii="Times New Roman" w:hAnsi="Times New Roman" w:cs="Times New Roman"/>
          <w:sz w:val="24"/>
        </w:rPr>
        <w:t>nd 3 Greenhouse Gas emissions?"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A03186">
        <w:rPr>
          <w:rFonts w:ascii="Times New Roman" w:hAnsi="Times New Roman" w:cs="Times New Roman"/>
          <w:sz w:val="24"/>
        </w:rPr>
        <w:t>ICompli</w:t>
      </w:r>
      <w:proofErr w:type="spellEnd"/>
      <w:r w:rsidRPr="00A03186">
        <w:rPr>
          <w:rFonts w:ascii="Times New Roman" w:hAnsi="Times New Roman" w:cs="Times New Roman"/>
          <w:sz w:val="24"/>
        </w:rPr>
        <w:t xml:space="preserve"> Sustainab</w:t>
      </w:r>
      <w:r>
        <w:rPr>
          <w:rFonts w:ascii="Times New Roman" w:hAnsi="Times New Roman" w:cs="Times New Roman"/>
          <w:sz w:val="24"/>
        </w:rPr>
        <w:t>ility. Accessed April 23, 2017.</w:t>
      </w:r>
      <w:r>
        <w:rPr>
          <w:rFonts w:ascii="Times New Roman" w:hAnsi="Times New Roman" w:cs="Times New Roman"/>
          <w:sz w:val="24"/>
        </w:rPr>
        <w:tab/>
      </w:r>
      <w:hyperlink r:id="rId6" w:history="1">
        <w:r w:rsidRPr="00A03186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http://www.icomplisustainability.com/index.php/ask-the-expert/ghg</w:t>
        </w:r>
      </w:hyperlink>
      <w:r>
        <w:rPr>
          <w:rFonts w:ascii="Times New Roman" w:hAnsi="Times New Roman" w:cs="Times New Roman"/>
          <w:sz w:val="24"/>
        </w:rPr>
        <w:tab/>
      </w:r>
      <w:r w:rsidRPr="00A03186">
        <w:rPr>
          <w:rFonts w:ascii="Times New Roman" w:hAnsi="Times New Roman" w:cs="Times New Roman"/>
          <w:sz w:val="24"/>
        </w:rPr>
        <w:t>management/item/63-what-are-the-differences-betwe</w:t>
      </w:r>
      <w:r>
        <w:rPr>
          <w:rFonts w:ascii="Times New Roman" w:hAnsi="Times New Roman" w:cs="Times New Roman"/>
          <w:sz w:val="24"/>
        </w:rPr>
        <w:t>en-scope-1-2-and-3-greenhouse</w:t>
      </w:r>
      <w:r>
        <w:rPr>
          <w:rFonts w:ascii="Times New Roman" w:hAnsi="Times New Roman" w:cs="Times New Roman"/>
          <w:sz w:val="24"/>
        </w:rPr>
        <w:tab/>
      </w:r>
      <w:r w:rsidRPr="00A03186">
        <w:rPr>
          <w:rFonts w:ascii="Times New Roman" w:hAnsi="Times New Roman" w:cs="Times New Roman"/>
          <w:sz w:val="24"/>
        </w:rPr>
        <w:t>gas-emissions/63-what-are-the-differences-between</w:t>
      </w:r>
      <w:r>
        <w:rPr>
          <w:rFonts w:ascii="Times New Roman" w:hAnsi="Times New Roman" w:cs="Times New Roman"/>
          <w:sz w:val="24"/>
        </w:rPr>
        <w:t>-scope-1-2-and-3-greenhouse-gas</w:t>
      </w:r>
      <w:r>
        <w:rPr>
          <w:rFonts w:ascii="Times New Roman" w:hAnsi="Times New Roman" w:cs="Times New Roman"/>
          <w:sz w:val="24"/>
        </w:rPr>
        <w:tab/>
      </w:r>
      <w:r w:rsidRPr="00A03186">
        <w:rPr>
          <w:rFonts w:ascii="Times New Roman" w:hAnsi="Times New Roman" w:cs="Times New Roman"/>
          <w:sz w:val="24"/>
        </w:rPr>
        <w:t>emissions.</w:t>
      </w:r>
    </w:p>
    <w:p w:rsidR="00E91CCB" w:rsidRDefault="00B05635" w:rsidP="00E1448E">
      <w:pPr>
        <w:spacing w:line="240" w:lineRule="auto"/>
        <w:rPr>
          <w:rFonts w:ascii="Times New Roman" w:hAnsi="Times New Roman" w:cs="Times New Roman"/>
          <w:sz w:val="24"/>
        </w:rPr>
      </w:pPr>
      <w:r w:rsidRPr="00B05635">
        <w:rPr>
          <w:rFonts w:ascii="Times New Roman" w:hAnsi="Times New Roman" w:cs="Times New Roman"/>
          <w:sz w:val="24"/>
        </w:rPr>
        <w:t xml:space="preserve">Pandey, </w:t>
      </w:r>
      <w:proofErr w:type="spellStart"/>
      <w:r w:rsidRPr="00B05635">
        <w:rPr>
          <w:rFonts w:ascii="Times New Roman" w:hAnsi="Times New Roman" w:cs="Times New Roman"/>
          <w:sz w:val="24"/>
        </w:rPr>
        <w:t>Divya</w:t>
      </w:r>
      <w:proofErr w:type="spellEnd"/>
      <w:r w:rsidRPr="00B056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5635">
        <w:rPr>
          <w:rFonts w:ascii="Times New Roman" w:hAnsi="Times New Roman" w:cs="Times New Roman"/>
          <w:sz w:val="24"/>
        </w:rPr>
        <w:t>Madhoolika</w:t>
      </w:r>
      <w:proofErr w:type="spellEnd"/>
      <w:r w:rsidRPr="00B05635">
        <w:rPr>
          <w:rFonts w:ascii="Times New Roman" w:hAnsi="Times New Roman" w:cs="Times New Roman"/>
          <w:sz w:val="24"/>
        </w:rPr>
        <w:t xml:space="preserve"> Agrawal, and Jai </w:t>
      </w:r>
      <w:proofErr w:type="spellStart"/>
      <w:r w:rsidRPr="00B05635">
        <w:rPr>
          <w:rFonts w:ascii="Times New Roman" w:hAnsi="Times New Roman" w:cs="Times New Roman"/>
          <w:sz w:val="24"/>
        </w:rPr>
        <w:t>Shanker</w:t>
      </w:r>
      <w:proofErr w:type="spellEnd"/>
      <w:r w:rsidRPr="00B05635">
        <w:rPr>
          <w:rFonts w:ascii="Times New Roman" w:hAnsi="Times New Roman" w:cs="Times New Roman"/>
          <w:sz w:val="24"/>
        </w:rPr>
        <w:t xml:space="preserve"> Pan</w:t>
      </w:r>
      <w:r w:rsidR="00E1448E">
        <w:rPr>
          <w:rFonts w:ascii="Times New Roman" w:hAnsi="Times New Roman" w:cs="Times New Roman"/>
          <w:sz w:val="24"/>
        </w:rPr>
        <w:t>dey. "Carbon Footprint: Current</w:t>
      </w:r>
      <w:r w:rsidR="00E1448E">
        <w:rPr>
          <w:rFonts w:ascii="Times New Roman" w:hAnsi="Times New Roman" w:cs="Times New Roman"/>
          <w:sz w:val="24"/>
        </w:rPr>
        <w:tab/>
      </w:r>
      <w:r w:rsidRPr="00B05635">
        <w:rPr>
          <w:rFonts w:ascii="Times New Roman" w:hAnsi="Times New Roman" w:cs="Times New Roman"/>
          <w:sz w:val="24"/>
        </w:rPr>
        <w:t>Methods of Estimation." ResearchGate. July 2011. Accessed April 21, 2017.</w:t>
      </w:r>
      <w:r w:rsidR="00E1448E">
        <w:rPr>
          <w:rFonts w:ascii="Times New Roman" w:hAnsi="Times New Roman" w:cs="Times New Roman"/>
          <w:sz w:val="24"/>
        </w:rPr>
        <w:tab/>
      </w:r>
      <w:r w:rsidR="00E1448E" w:rsidRPr="008C6053">
        <w:rPr>
          <w:rFonts w:ascii="Times New Roman" w:hAnsi="Times New Roman" w:cs="Times New Roman"/>
          <w:sz w:val="24"/>
        </w:rPr>
        <w:t>https://www.researchgate.net/publication/46289480_Carbon_Footprint_Current_Method</w:t>
      </w:r>
      <w:r w:rsidR="008C6053">
        <w:rPr>
          <w:rFonts w:ascii="Times New Roman" w:hAnsi="Times New Roman" w:cs="Times New Roman"/>
          <w:sz w:val="24"/>
        </w:rPr>
        <w:t>s</w:t>
      </w:r>
      <w:r w:rsidR="00E1448E">
        <w:rPr>
          <w:rFonts w:ascii="Times New Roman" w:hAnsi="Times New Roman" w:cs="Times New Roman"/>
          <w:sz w:val="24"/>
        </w:rPr>
        <w:br/>
      </w:r>
      <w:r w:rsidR="00E1448E">
        <w:rPr>
          <w:rFonts w:ascii="Times New Roman" w:hAnsi="Times New Roman" w:cs="Times New Roman"/>
          <w:sz w:val="24"/>
        </w:rPr>
        <w:tab/>
      </w:r>
      <w:r w:rsidR="00E1448E" w:rsidRPr="00E1448E">
        <w:rPr>
          <w:rFonts w:ascii="Times New Roman" w:hAnsi="Times New Roman" w:cs="Times New Roman"/>
          <w:sz w:val="24"/>
        </w:rPr>
        <w:t>_</w:t>
      </w:r>
      <w:proofErr w:type="spellStart"/>
      <w:r w:rsidR="00E1448E" w:rsidRPr="00E1448E">
        <w:rPr>
          <w:rFonts w:ascii="Times New Roman" w:hAnsi="Times New Roman" w:cs="Times New Roman"/>
          <w:sz w:val="24"/>
        </w:rPr>
        <w:t>of_Estimation</w:t>
      </w:r>
      <w:proofErr w:type="spellEnd"/>
      <w:r w:rsidR="00E1448E" w:rsidRPr="00B05635">
        <w:rPr>
          <w:rFonts w:ascii="Times New Roman" w:hAnsi="Times New Roman" w:cs="Times New Roman"/>
          <w:sz w:val="24"/>
        </w:rPr>
        <w:t>.</w:t>
      </w:r>
    </w:p>
    <w:p w:rsidR="00E91CCB" w:rsidRDefault="00F25E71" w:rsidP="00E1448E">
      <w:pPr>
        <w:spacing w:line="240" w:lineRule="auto"/>
        <w:rPr>
          <w:rFonts w:ascii="Times New Roman" w:hAnsi="Times New Roman" w:cs="Times New Roman"/>
          <w:sz w:val="24"/>
        </w:rPr>
      </w:pPr>
      <w:r w:rsidRPr="00F25E71">
        <w:rPr>
          <w:rFonts w:ascii="Times New Roman" w:hAnsi="Times New Roman" w:cs="Times New Roman"/>
          <w:sz w:val="24"/>
        </w:rPr>
        <w:t>McConnell, Terry. Lecture 32. Accessed April 23, 2017. http://barnyard.syr.edu/mat183/l32/.</w:t>
      </w:r>
    </w:p>
    <w:p w:rsidR="00936B15" w:rsidRDefault="00936B15" w:rsidP="00E1448E">
      <w:pPr>
        <w:spacing w:line="240" w:lineRule="auto"/>
        <w:rPr>
          <w:rFonts w:ascii="Times New Roman" w:hAnsi="Times New Roman" w:cs="Times New Roman"/>
          <w:sz w:val="24"/>
        </w:rPr>
      </w:pPr>
      <w:r w:rsidRPr="00936B15">
        <w:rPr>
          <w:rFonts w:ascii="Times New Roman" w:hAnsi="Times New Roman" w:cs="Times New Roman"/>
          <w:sz w:val="24"/>
        </w:rPr>
        <w:t>United Nations Framework Convention on Climate Change. "K</w:t>
      </w:r>
      <w:r>
        <w:rPr>
          <w:rFonts w:ascii="Times New Roman" w:hAnsi="Times New Roman" w:cs="Times New Roman"/>
          <w:sz w:val="24"/>
        </w:rPr>
        <w:t>yoto Protocol." Kyoto Protocol.</w:t>
      </w:r>
      <w:r>
        <w:rPr>
          <w:rFonts w:ascii="Times New Roman" w:hAnsi="Times New Roman" w:cs="Times New Roman"/>
          <w:sz w:val="24"/>
        </w:rPr>
        <w:tab/>
      </w:r>
      <w:r w:rsidRPr="00936B15">
        <w:rPr>
          <w:rFonts w:ascii="Times New Roman" w:hAnsi="Times New Roman" w:cs="Times New Roman"/>
          <w:sz w:val="24"/>
        </w:rPr>
        <w:t>November 18,</w:t>
      </w:r>
      <w:r>
        <w:rPr>
          <w:rFonts w:ascii="Times New Roman" w:hAnsi="Times New Roman" w:cs="Times New Roman"/>
          <w:sz w:val="24"/>
        </w:rPr>
        <w:t xml:space="preserve"> 2010. Accessed April 23, 2017.</w:t>
      </w:r>
      <w:r>
        <w:rPr>
          <w:rFonts w:ascii="Times New Roman" w:hAnsi="Times New Roman" w:cs="Times New Roman"/>
          <w:sz w:val="24"/>
        </w:rPr>
        <w:tab/>
      </w:r>
      <w:r w:rsidRPr="00936B15">
        <w:rPr>
          <w:rFonts w:ascii="Times New Roman" w:hAnsi="Times New Roman" w:cs="Times New Roman"/>
          <w:sz w:val="24"/>
        </w:rPr>
        <w:t>http://unfccc.int/kyoto_protocol/items/3145.php.</w:t>
      </w:r>
      <w:bookmarkStart w:id="1" w:name="_GoBack"/>
      <w:bookmarkEnd w:id="1"/>
    </w:p>
    <w:p w:rsidR="00B05635" w:rsidRPr="00E076C8" w:rsidRDefault="00B05635" w:rsidP="00E1448E">
      <w:pPr>
        <w:spacing w:line="240" w:lineRule="auto"/>
        <w:rPr>
          <w:rFonts w:ascii="Times New Roman" w:hAnsi="Times New Roman" w:cs="Times New Roman"/>
          <w:sz w:val="24"/>
        </w:rPr>
      </w:pPr>
      <w:r w:rsidRPr="00B05635">
        <w:rPr>
          <w:rFonts w:ascii="Times New Roman" w:hAnsi="Times New Roman" w:cs="Times New Roman"/>
          <w:sz w:val="24"/>
        </w:rPr>
        <w:t>University, Carnegie Mellon. Economic Input-Output Life Cyc</w:t>
      </w:r>
      <w:r w:rsidR="0053732C">
        <w:rPr>
          <w:rFonts w:ascii="Times New Roman" w:hAnsi="Times New Roman" w:cs="Times New Roman"/>
          <w:sz w:val="24"/>
        </w:rPr>
        <w:t>le Assessment - Carnegie Mellon</w:t>
      </w:r>
      <w:r w:rsidR="0053732C">
        <w:rPr>
          <w:rFonts w:ascii="Times New Roman" w:hAnsi="Times New Roman" w:cs="Times New Roman"/>
          <w:sz w:val="24"/>
        </w:rPr>
        <w:tab/>
      </w:r>
      <w:r w:rsidRPr="00B05635">
        <w:rPr>
          <w:rFonts w:ascii="Times New Roman" w:hAnsi="Times New Roman" w:cs="Times New Roman"/>
          <w:sz w:val="24"/>
        </w:rPr>
        <w:t xml:space="preserve">University. Accessed April 22, 2017. </w:t>
      </w:r>
      <w:r w:rsidRPr="0053732C">
        <w:rPr>
          <w:rFonts w:ascii="Times New Roman" w:hAnsi="Times New Roman" w:cs="Times New Roman"/>
          <w:sz w:val="24"/>
        </w:rPr>
        <w:t>http://www.eiolca.net/index.html</w:t>
      </w:r>
      <w:r w:rsidRPr="00B05635">
        <w:rPr>
          <w:rFonts w:ascii="Times New Roman" w:hAnsi="Times New Roman" w:cs="Times New Roman"/>
          <w:sz w:val="24"/>
        </w:rPr>
        <w:t>.</w:t>
      </w:r>
    </w:p>
    <w:sectPr w:rsidR="00B05635" w:rsidRPr="00E0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4A"/>
    <w:rsid w:val="00023884"/>
    <w:rsid w:val="00024AB2"/>
    <w:rsid w:val="00025BBC"/>
    <w:rsid w:val="000435F4"/>
    <w:rsid w:val="00067CB2"/>
    <w:rsid w:val="000701D6"/>
    <w:rsid w:val="00082C75"/>
    <w:rsid w:val="000918C9"/>
    <w:rsid w:val="00097D42"/>
    <w:rsid w:val="000A40F2"/>
    <w:rsid w:val="000A5A5B"/>
    <w:rsid w:val="000B273E"/>
    <w:rsid w:val="000C297D"/>
    <w:rsid w:val="000D50D8"/>
    <w:rsid w:val="000E08B9"/>
    <w:rsid w:val="000F3A0A"/>
    <w:rsid w:val="000F455F"/>
    <w:rsid w:val="000F5918"/>
    <w:rsid w:val="000F7DA4"/>
    <w:rsid w:val="00102F04"/>
    <w:rsid w:val="001054A8"/>
    <w:rsid w:val="001279F5"/>
    <w:rsid w:val="00127F37"/>
    <w:rsid w:val="001367BC"/>
    <w:rsid w:val="00140D30"/>
    <w:rsid w:val="001412FF"/>
    <w:rsid w:val="00151B28"/>
    <w:rsid w:val="001548B8"/>
    <w:rsid w:val="00173BCE"/>
    <w:rsid w:val="00185705"/>
    <w:rsid w:val="001914D7"/>
    <w:rsid w:val="00196550"/>
    <w:rsid w:val="001A365E"/>
    <w:rsid w:val="001A56FF"/>
    <w:rsid w:val="001B2509"/>
    <w:rsid w:val="001E2139"/>
    <w:rsid w:val="001E7D63"/>
    <w:rsid w:val="00224CDE"/>
    <w:rsid w:val="00232D7D"/>
    <w:rsid w:val="002330C8"/>
    <w:rsid w:val="00253648"/>
    <w:rsid w:val="00292F8A"/>
    <w:rsid w:val="002A1F01"/>
    <w:rsid w:val="002A2C5F"/>
    <w:rsid w:val="002B6232"/>
    <w:rsid w:val="002B6FCD"/>
    <w:rsid w:val="002C2E74"/>
    <w:rsid w:val="002D4B38"/>
    <w:rsid w:val="002F3FF6"/>
    <w:rsid w:val="002F718D"/>
    <w:rsid w:val="00300FAB"/>
    <w:rsid w:val="00320655"/>
    <w:rsid w:val="0032777D"/>
    <w:rsid w:val="003335A0"/>
    <w:rsid w:val="00355736"/>
    <w:rsid w:val="00363F14"/>
    <w:rsid w:val="00394F80"/>
    <w:rsid w:val="003A2EB2"/>
    <w:rsid w:val="003B0C63"/>
    <w:rsid w:val="003B1C89"/>
    <w:rsid w:val="003C4BAC"/>
    <w:rsid w:val="003C4C40"/>
    <w:rsid w:val="003C76A4"/>
    <w:rsid w:val="003E1DE9"/>
    <w:rsid w:val="003F5752"/>
    <w:rsid w:val="00405E82"/>
    <w:rsid w:val="00411545"/>
    <w:rsid w:val="00426A35"/>
    <w:rsid w:val="00441217"/>
    <w:rsid w:val="00451C13"/>
    <w:rsid w:val="00457FAE"/>
    <w:rsid w:val="00462ACE"/>
    <w:rsid w:val="00462FA6"/>
    <w:rsid w:val="0046623C"/>
    <w:rsid w:val="00490A14"/>
    <w:rsid w:val="00492462"/>
    <w:rsid w:val="004B461E"/>
    <w:rsid w:val="004E1A30"/>
    <w:rsid w:val="004F0102"/>
    <w:rsid w:val="004F67B6"/>
    <w:rsid w:val="00514204"/>
    <w:rsid w:val="00535899"/>
    <w:rsid w:val="0053732C"/>
    <w:rsid w:val="00552DA2"/>
    <w:rsid w:val="00554608"/>
    <w:rsid w:val="00574410"/>
    <w:rsid w:val="00590EDA"/>
    <w:rsid w:val="00592F0D"/>
    <w:rsid w:val="00593266"/>
    <w:rsid w:val="00593D69"/>
    <w:rsid w:val="00597BDA"/>
    <w:rsid w:val="00597C5E"/>
    <w:rsid w:val="005A40F7"/>
    <w:rsid w:val="005B3AB7"/>
    <w:rsid w:val="005B45E2"/>
    <w:rsid w:val="005B77FD"/>
    <w:rsid w:val="005D7921"/>
    <w:rsid w:val="00605AEB"/>
    <w:rsid w:val="00613979"/>
    <w:rsid w:val="006334F8"/>
    <w:rsid w:val="006342AA"/>
    <w:rsid w:val="00637D09"/>
    <w:rsid w:val="00644633"/>
    <w:rsid w:val="006678A6"/>
    <w:rsid w:val="00677A4C"/>
    <w:rsid w:val="0068004A"/>
    <w:rsid w:val="00682C21"/>
    <w:rsid w:val="00682ED9"/>
    <w:rsid w:val="0068440C"/>
    <w:rsid w:val="00693772"/>
    <w:rsid w:val="00695481"/>
    <w:rsid w:val="006A47B3"/>
    <w:rsid w:val="006B0343"/>
    <w:rsid w:val="006B4BEB"/>
    <w:rsid w:val="006C5EA5"/>
    <w:rsid w:val="006D7A4B"/>
    <w:rsid w:val="006E31A8"/>
    <w:rsid w:val="006E79D4"/>
    <w:rsid w:val="006F5CA4"/>
    <w:rsid w:val="007006C3"/>
    <w:rsid w:val="007112CA"/>
    <w:rsid w:val="007122FF"/>
    <w:rsid w:val="007161AD"/>
    <w:rsid w:val="007242E6"/>
    <w:rsid w:val="0074206D"/>
    <w:rsid w:val="00742106"/>
    <w:rsid w:val="00743A6E"/>
    <w:rsid w:val="0075177A"/>
    <w:rsid w:val="007560F9"/>
    <w:rsid w:val="00767699"/>
    <w:rsid w:val="00770399"/>
    <w:rsid w:val="007B236C"/>
    <w:rsid w:val="007C4574"/>
    <w:rsid w:val="007D1991"/>
    <w:rsid w:val="007E6F03"/>
    <w:rsid w:val="0081555C"/>
    <w:rsid w:val="00816845"/>
    <w:rsid w:val="00820D1B"/>
    <w:rsid w:val="008344A3"/>
    <w:rsid w:val="008375D1"/>
    <w:rsid w:val="00851960"/>
    <w:rsid w:val="00874F3B"/>
    <w:rsid w:val="008770B2"/>
    <w:rsid w:val="00880A71"/>
    <w:rsid w:val="00890505"/>
    <w:rsid w:val="00894AAC"/>
    <w:rsid w:val="008B1A06"/>
    <w:rsid w:val="008B3E2D"/>
    <w:rsid w:val="008B49E4"/>
    <w:rsid w:val="008C6053"/>
    <w:rsid w:val="008D1314"/>
    <w:rsid w:val="008D74A2"/>
    <w:rsid w:val="008E1EEC"/>
    <w:rsid w:val="008F7BF4"/>
    <w:rsid w:val="00900444"/>
    <w:rsid w:val="009045C2"/>
    <w:rsid w:val="00922FD9"/>
    <w:rsid w:val="00936B15"/>
    <w:rsid w:val="00955746"/>
    <w:rsid w:val="009618E5"/>
    <w:rsid w:val="009678AA"/>
    <w:rsid w:val="00983E4C"/>
    <w:rsid w:val="0098614B"/>
    <w:rsid w:val="009D534C"/>
    <w:rsid w:val="009D71AE"/>
    <w:rsid w:val="009E4245"/>
    <w:rsid w:val="009F48EC"/>
    <w:rsid w:val="00A03186"/>
    <w:rsid w:val="00A040E3"/>
    <w:rsid w:val="00A23D91"/>
    <w:rsid w:val="00A24F59"/>
    <w:rsid w:val="00A25BEE"/>
    <w:rsid w:val="00A30995"/>
    <w:rsid w:val="00A41886"/>
    <w:rsid w:val="00A5001D"/>
    <w:rsid w:val="00A53DB9"/>
    <w:rsid w:val="00A573D7"/>
    <w:rsid w:val="00A85056"/>
    <w:rsid w:val="00A86964"/>
    <w:rsid w:val="00A87316"/>
    <w:rsid w:val="00A95053"/>
    <w:rsid w:val="00A977CB"/>
    <w:rsid w:val="00AA31BF"/>
    <w:rsid w:val="00AB382C"/>
    <w:rsid w:val="00AE6C5F"/>
    <w:rsid w:val="00AF6F9A"/>
    <w:rsid w:val="00B05635"/>
    <w:rsid w:val="00B05EF7"/>
    <w:rsid w:val="00B22442"/>
    <w:rsid w:val="00B337ED"/>
    <w:rsid w:val="00B55C80"/>
    <w:rsid w:val="00B61039"/>
    <w:rsid w:val="00B73E2E"/>
    <w:rsid w:val="00BA611F"/>
    <w:rsid w:val="00BB4C97"/>
    <w:rsid w:val="00BC29B8"/>
    <w:rsid w:val="00BD2E8F"/>
    <w:rsid w:val="00BD5361"/>
    <w:rsid w:val="00BF0131"/>
    <w:rsid w:val="00C11A7B"/>
    <w:rsid w:val="00C25384"/>
    <w:rsid w:val="00C43CB5"/>
    <w:rsid w:val="00C74840"/>
    <w:rsid w:val="00C77E47"/>
    <w:rsid w:val="00C87CDC"/>
    <w:rsid w:val="00C97F72"/>
    <w:rsid w:val="00CA38C5"/>
    <w:rsid w:val="00CA674A"/>
    <w:rsid w:val="00CB0347"/>
    <w:rsid w:val="00CB26CB"/>
    <w:rsid w:val="00CD04FF"/>
    <w:rsid w:val="00CD0581"/>
    <w:rsid w:val="00CF1A61"/>
    <w:rsid w:val="00D06CC2"/>
    <w:rsid w:val="00D13625"/>
    <w:rsid w:val="00D221C7"/>
    <w:rsid w:val="00D3271E"/>
    <w:rsid w:val="00D5187E"/>
    <w:rsid w:val="00D82F3B"/>
    <w:rsid w:val="00DA4FC4"/>
    <w:rsid w:val="00DC1575"/>
    <w:rsid w:val="00DD0C10"/>
    <w:rsid w:val="00DF1EBE"/>
    <w:rsid w:val="00DF212A"/>
    <w:rsid w:val="00E04AC2"/>
    <w:rsid w:val="00E051C9"/>
    <w:rsid w:val="00E076C8"/>
    <w:rsid w:val="00E12531"/>
    <w:rsid w:val="00E12656"/>
    <w:rsid w:val="00E1448E"/>
    <w:rsid w:val="00E17B54"/>
    <w:rsid w:val="00E17F8D"/>
    <w:rsid w:val="00E23588"/>
    <w:rsid w:val="00E427D3"/>
    <w:rsid w:val="00E50A7A"/>
    <w:rsid w:val="00E73349"/>
    <w:rsid w:val="00E7595C"/>
    <w:rsid w:val="00E86DDD"/>
    <w:rsid w:val="00E91CCB"/>
    <w:rsid w:val="00E91D36"/>
    <w:rsid w:val="00EA4303"/>
    <w:rsid w:val="00EC4737"/>
    <w:rsid w:val="00EC5D22"/>
    <w:rsid w:val="00ED485D"/>
    <w:rsid w:val="00ED5A2F"/>
    <w:rsid w:val="00EE5C98"/>
    <w:rsid w:val="00F13F46"/>
    <w:rsid w:val="00F20EEA"/>
    <w:rsid w:val="00F25E71"/>
    <w:rsid w:val="00F35F79"/>
    <w:rsid w:val="00F37694"/>
    <w:rsid w:val="00F442D2"/>
    <w:rsid w:val="00F446F9"/>
    <w:rsid w:val="00F4629F"/>
    <w:rsid w:val="00F530EC"/>
    <w:rsid w:val="00F73A49"/>
    <w:rsid w:val="00F941E3"/>
    <w:rsid w:val="00F9494D"/>
    <w:rsid w:val="00FA2D83"/>
    <w:rsid w:val="00FB3E3D"/>
    <w:rsid w:val="00FE46BB"/>
    <w:rsid w:val="00FF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5315"/>
  <w15:chartTrackingRefBased/>
  <w15:docId w15:val="{B1C5FCE4-D80B-42D9-A9D1-70F590A5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63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05635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F20EEA"/>
    <w:rPr>
      <w:color w:val="808080"/>
    </w:rPr>
  </w:style>
  <w:style w:type="table" w:styleId="TableGrid">
    <w:name w:val="Table Grid"/>
    <w:basedOn w:val="TableNormal"/>
    <w:uiPriority w:val="39"/>
    <w:rsid w:val="00716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complisustainability.com/index.php/ask-the-expert/ghg" TargetMode="Externa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254</cp:revision>
  <dcterms:created xsi:type="dcterms:W3CDTF">2017-04-22T06:07:00Z</dcterms:created>
  <dcterms:modified xsi:type="dcterms:W3CDTF">2017-04-23T23:34:00Z</dcterms:modified>
</cp:coreProperties>
</file>