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威廉姆斯2026赛季分析节目方案</w:t>
      </w:r>
    </w:p>
    <w:p>
      <w:r>
        <w:rPr>
          <w:b/>
        </w:rPr>
        <w:t>参考视频拆解与十分钟节目结构</w:t>
      </w:r>
    </w:p>
    <w:p>
      <w:r>
        <w:rPr>
          <w:b w:val="0"/>
          <w:sz w:val="18"/>
        </w:rPr>
        <w:t>整理日期  2026年10月19日    建议时长  约10分钟</w:t>
      </w:r>
    </w:p>
    <w:p>
      <w:r>
        <w:rPr>
          <w:b w:val="0"/>
        </w:rPr>
        <w:t>建议立项。节目以“提前押注2026，为什么还是掉队了”为主问题，借鉴参考视频从赛道表现追到技术和组织原因的递进方式。主持人负责提出问题、连接段落和作出判断，图表与素材负责解释和举证。</w:t>
      </w:r>
    </w:p>
    <w:p>
      <w:pPr>
        <w:pStyle w:val="Heading1"/>
      </w:pPr>
      <w:r>
        <w:t>一 参考视频与分析范围</w:t>
      </w:r>
    </w:p>
    <w:p>
      <w:r>
        <w:rPr>
          <w:b w:val="0"/>
        </w:rPr>
        <w:t>参考视频为F1围场传媒中心发布的《凯迪拉克2026赛季F1表现低迷原因分析》，时长15分55秒。以下结构基于每15秒抽样查看的画面和内嵌字幕，时间段为近似划分。配音、音乐和音效未作可靠核听；视频作者的说法不视为已经独立核实的事实。</w:t>
      </w:r>
    </w:p>
    <w:p>
      <w:pPr>
        <w:pStyle w:val="Heading1"/>
      </w:pPr>
      <w:r>
        <w:t>二 参考视频的叙事结构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608"/>
        <w:gridCol w:w="3960"/>
      </w:tblGrid>
      <w:tr>
        <w:trPr>
          <w:tblHeader/>
          <w:cantSplit/>
        </w:trPr>
        <w:tc>
          <w:tcPr>
            <w:tcW w:type="dxa" w:w="1512"/>
            <w:shd w:fill="E8ED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20"/>
              </w:rPr>
              <w:t>近似位置</w:t>
            </w:r>
          </w:p>
        </w:tc>
        <w:tc>
          <w:tcPr>
            <w:tcW w:type="dxa" w:w="4608"/>
            <w:shd w:fill="E8ED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20"/>
              </w:rPr>
              <w:t>内容推进</w:t>
            </w:r>
          </w:p>
        </w:tc>
        <w:tc>
          <w:tcPr>
            <w:tcW w:type="dxa" w:w="3960"/>
            <w:shd w:fill="E8ED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20"/>
              </w:rPr>
              <w:t>叙事作用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0—2分30秒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积分、弯速、平衡与轮胎表现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明确赛车慢在哪里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2分30秒—5分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斯帕案例、下压力取舍与升级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从表现进入技术解释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5—8分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刹车散热、故障与车手反馈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展示问题如何相互牵连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8—10分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无法完赛对学习的影响、研发与采购整合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扩大到车队的研发能力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10—12分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项目时间线、领导与技术人才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转向组织层面的原因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12—14分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多国基地、信息传递与招聘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将协作困难具体化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14分以后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历史对照、准备程度与未来动力单元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收束到前景判断</w:t>
            </w:r>
          </w:p>
        </w:tc>
      </w:tr>
    </w:tbl>
    <w:p>
      <w:r>
        <w:rPr>
          <w:b w:val="0"/>
        </w:rPr>
        <w:t>最值得借鉴的是问题逐层深入。观众先看到“车慢”，再理解调校、轮胎与散热的取舍，最后进入研发效率、人员和协作层面。每一段应为下一段留下一个需要回答的问题。</w:t>
      </w:r>
    </w:p>
    <w:p>
      <w:r>
        <w:br w:type="page"/>
      </w:r>
    </w:p>
    <w:p>
      <w:pPr>
        <w:pStyle w:val="Heading1"/>
      </w:pPr>
      <w:r>
        <w:t>三 视觉包装与可借鉴做法</w:t>
      </w:r>
    </w:p>
    <w:p>
      <w:r>
        <w:rPr>
          <w:b w:val="0"/>
        </w:rPr>
        <w:t>抽样画面以赛车素材、技术图和信息卡片为主，未见固定主持人出镜。荧光黄与灰白黑形成统一体系，大字、赛车抠图、手写批注反复出现。</w:t>
      </w:r>
    </w:p>
    <w:p>
      <w:r>
        <w:drawing>
          <wp:inline xmlns:a="http://schemas.openxmlformats.org/drawingml/2006/main" xmlns:pic="http://schemas.openxmlformats.org/drawingml/2006/picture">
            <wp:extent cx="5806440" cy="352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exampl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参考视频抽样画面  仅用于本方案的分析举例  右下图展示研发循环涉及多处地点</w:t>
      </w:r>
    </w:p>
    <w:p>
      <w:pPr>
        <w:pStyle w:val="Heading2"/>
      </w:pPr>
      <w:r>
        <w:t>统一色彩与字体</w:t>
      </w:r>
    </w:p>
    <w:p>
      <w:r>
        <w:rPr>
          <w:b w:val="0"/>
        </w:rPr>
        <w:t>参考视频以亮色提示重点，灰白底承载解释。威廉姆斯版本可采用蓝、白、黑；保留统一的标题和数字样式，中文优先保证手机端可读。</w:t>
      </w:r>
    </w:p>
    <w:p>
      <w:pPr>
        <w:pStyle w:val="Heading2"/>
      </w:pPr>
      <w:r>
        <w:t>让图承担解释</w:t>
      </w:r>
    </w:p>
    <w:p>
      <w:r>
        <w:rPr>
          <w:b w:val="0"/>
        </w:rPr>
        <w:t>约5分30秒的刹车气流示意、12至13分多钟的基地地图，分别把技术机制和协作流程变成可见关系。技术示意图与流程图应优先于装饰性转场。</w:t>
      </w:r>
    </w:p>
    <w:p>
      <w:pPr>
        <w:pStyle w:val="Heading2"/>
      </w:pPr>
      <w:r>
        <w:t>用批注引导视线</w:t>
      </w:r>
    </w:p>
    <w:p>
      <w:r>
        <w:rPr>
          <w:b w:val="0"/>
        </w:rPr>
        <w:t>箭头、圈画与短批注告诉观众此刻该看哪里。每张图集中解释一个关系，避免人物、英文、赛车和双语字幕同时争夺注意力。</w:t>
      </w:r>
    </w:p>
    <w:p>
      <w:r>
        <w:br w:type="page"/>
      </w:r>
    </w:p>
    <w:p>
      <w:pPr>
        <w:pStyle w:val="Heading1"/>
      </w:pPr>
      <w:r>
        <w:t>四 威廉姆斯十分钟节目结构</w:t>
      </w:r>
    </w:p>
    <w:p>
      <w:r>
        <w:rPr>
          <w:b/>
        </w:rPr>
        <w:t>建议标题  提前押注2026 威廉姆斯为什么还是掉队了</w:t>
      </w:r>
    </w:p>
    <w:p>
      <w:r>
        <w:rPr>
          <w:b w:val="0"/>
        </w:rPr>
        <w:t>第一层解释赛车为什么慢；第二层解释发现问题后为什么修得慢；第三层追问提前投入为什么没有兑现。具体原因应在正式写稿前逐项核验。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84"/>
        <w:gridCol w:w="3240"/>
      </w:tblGrid>
      <w:tr>
        <w:trPr>
          <w:tblHeader/>
          <w:cantSplit/>
        </w:trPr>
        <w:tc>
          <w:tcPr>
            <w:tcW w:type="dxa" w:w="1656"/>
            <w:shd w:fill="E8ED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5184"/>
            <w:shd w:fill="E8ED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20"/>
              </w:rPr>
              <w:t>内容与任务</w:t>
            </w:r>
          </w:p>
        </w:tc>
        <w:tc>
          <w:tcPr>
            <w:tcW w:type="dxa" w:w="3240"/>
            <w:shd w:fill="E8ED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20"/>
              </w:rPr>
              <w:t>核心画面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0:00—0:40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用提前准备与现实掉队的反差提出主问题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主持人出镜与两张对比卡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0:40—1:40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用成绩和排位差距界定低迷，区分速度与得分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表现对比图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1:40—3:40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解释赛车的超重和性能问题，明确影响机制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赛车示意与减重解释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3:40—6:00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解释制造、减重、气动更新与预算之间的取舍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研发 制造 验证流程图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6:00—8:20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结合研发工具、判断和执行能力，回答为何提前投入仍出错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研发时间线与采访证据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8:20—10:00</w:t>
            </w:r>
          </w:p>
        </w:tc>
        <w:tc>
          <w:tcPr>
            <w:tcW w:type="dxa" w:w="51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评价重建进展，提出后续可以检验的观察指标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sz w:val="20"/>
              </w:rPr>
              <w:t>主持人出镜与观察指标</w:t>
            </w:r>
          </w:p>
        </w:tc>
      </w:tr>
    </w:tbl>
    <w:p>
      <w:pPr>
        <w:pStyle w:val="Heading2"/>
      </w:pPr>
      <w:r>
        <w:t>开场口播示例</w:t>
      </w:r>
    </w:p>
    <w:p>
      <w:r>
        <w:rPr>
          <w:b w:val="0"/>
        </w:rPr>
        <w:t>“提前把研发重心转向2026，意味着威廉姆斯比一些对手更早开始准备。但问题是，准备得早，为什么最后仍然掉队？今天我们沿着赛车的问题往回找，看看时间究竟耗在了哪里。”</w:t>
      </w:r>
    </w:p>
    <w:p>
      <w:pPr>
        <w:pStyle w:val="Heading2"/>
      </w:pPr>
      <w:r>
        <w:t>结尾应回答的问题</w:t>
      </w:r>
    </w:p>
    <w:p>
      <w:r>
        <w:rPr>
          <w:b w:val="0"/>
        </w:rPr>
        <w:t>把判断落到可以继续观察的事情上：升级是否按计划交付，赛道收益是否接近预期，与中游的差距是否缩小。同一口径、相近条件下的数据，比单场是否拿分更适合检验重建进展。</w:t>
      </w:r>
    </w:p>
    <w:p>
      <w:pPr>
        <w:pStyle w:val="Heading2"/>
      </w:pPr>
      <w:r>
        <w:t>制作形式建议</w:t>
      </w:r>
    </w:p>
    <w:p>
      <w:r>
        <w:rPr>
          <w:b w:val="0"/>
        </w:rPr>
        <w:t>主持人负责开场、关键过渡和结尾；主体使用技术图、数据与比赛素材。先完成四张关键图：表现对比、研发时间线、减重取舍、升级与对手进步，再补充辅助画面。</w:t>
      </w:r>
    </w:p>
    <w:p>
      <w:r>
        <w:br w:type="page"/>
      </w:r>
    </w:p>
    <w:p>
      <w:pPr>
        <w:pStyle w:val="Heading1"/>
      </w:pPr>
      <w:r>
        <w:t>五 写稿和制作前的核验事项</w:t>
      </w:r>
    </w:p>
    <w:p>
      <w:pPr>
        <w:pStyle w:val="Heading2"/>
      </w:pPr>
      <w:r>
        <w:t>明确数据截止日期</w:t>
      </w:r>
    </w:p>
    <w:p>
      <w:r>
        <w:rPr>
          <w:b w:val="0"/>
        </w:rPr>
        <w:t>正式稿统一写明统计截止到哪一站。补齐巴库升级后至发布前的成绩与表现，不把9月报道当作最新结论。</w:t>
      </w:r>
    </w:p>
    <w:p>
      <w:pPr>
        <w:pStyle w:val="Heading2"/>
      </w:pPr>
      <w:r>
        <w:t>统一比较口径</w:t>
      </w:r>
    </w:p>
    <w:p>
      <w:r>
        <w:rPr>
          <w:b w:val="0"/>
        </w:rPr>
        <w:t>排位差距、比赛速度和积分分别陈述。不同轮胎、天气、交通和退赛会影响比较；选取可比的例子，避免用单场成绩代表整季速度。</w:t>
      </w:r>
    </w:p>
    <w:p>
      <w:pPr>
        <w:pStyle w:val="Heading2"/>
      </w:pPr>
      <w:r>
        <w:t>逐项确认技术说法</w:t>
      </w:r>
    </w:p>
    <w:p>
      <w:r>
        <w:rPr>
          <w:b w:val="0"/>
        </w:rPr>
        <w:t>超重的具体公斤数、研发工具投入时间、车身高度与升级效果，均需找到对应原始出处；不把坊间估算写成已确认数字。</w:t>
      </w:r>
    </w:p>
    <w:p>
      <w:pPr>
        <w:pStyle w:val="Heading2"/>
      </w:pPr>
      <w:r>
        <w:t>区分事实与判断</w:t>
      </w:r>
    </w:p>
    <w:p>
      <w:r>
        <w:rPr>
          <w:b w:val="0"/>
        </w:rPr>
        <w:t>采访原话、车队解释、媒体分析和自己的推断分别表述。由故障追到管理责任时，说明证据支持到哪一步。</w:t>
      </w:r>
    </w:p>
    <w:p>
      <w:pPr>
        <w:pStyle w:val="Heading2"/>
      </w:pPr>
      <w:r>
        <w:t>保留来源和素材权限记录</w:t>
      </w:r>
    </w:p>
    <w:p>
      <w:r>
        <w:rPr>
          <w:b w:val="0"/>
        </w:rPr>
        <w:t>图表标注数据来源与日期，采访标注人物及场合。公开可观看的比赛镜头或参考视频画面，不等于获得再次使用许可。</w:t>
      </w:r>
    </w:p>
    <w:p>
      <w:pPr>
        <w:pStyle w:val="Heading2"/>
      </w:pPr>
      <w:r>
        <w:t>检查观看体验</w:t>
      </w:r>
    </w:p>
    <w:p>
      <w:r>
        <w:rPr>
          <w:b w:val="0"/>
        </w:rPr>
        <w:t>手机端检查字幕、图表与批注大小；确认图中关系与口播同步。删去不能解释问题的装饰性信息。</w:t>
      </w:r>
    </w:p>
    <w:p>
      <w:pPr>
        <w:pStyle w:val="Heading1"/>
      </w:pPr>
      <w:r>
        <w:t>六 参考来源</w:t>
      </w:r>
    </w:p>
    <w:p>
      <w:r>
        <w:rPr>
          <w:b w:val="0"/>
          <w:sz w:val="18"/>
        </w:rPr>
        <w:t>参考视频  凯迪拉克2026赛季F1表现低迷原因分析  F1围场传媒中心</w:t>
      </w:r>
    </w:p>
    <w:p>
      <w:hyperlink r:id="rId10">
        <w:r>
          <w:rPr>
            <w:color w:val="205A87"/>
          </w:rPr>
          <w:t>打开B站参考视频</w:t>
        </w:r>
      </w:hyperlink>
    </w:p>
    <w:p>
      <w:r>
        <w:rPr>
          <w:b w:val="0"/>
          <w:sz w:val="18"/>
        </w:rPr>
        <w:t>后续核验入口  F1官方2026年5月8日报道  Vowles explains why Williams had a messy winter</w:t>
      </w:r>
    </w:p>
    <w:p>
      <w:hyperlink r:id="rId11">
        <w:r>
          <w:rPr>
            <w:color w:val="205A87"/>
          </w:rPr>
          <w:t>打开F1官方5月8日报道</w:t>
        </w:r>
      </w:hyperlink>
    </w:p>
    <w:p>
      <w:r>
        <w:rPr>
          <w:b w:val="0"/>
          <w:sz w:val="18"/>
        </w:rPr>
        <w:t>后续核验入口  F1官方2026年9月18日报道  Why the FW48 upgrade package in Baku is so crucial for Williams</w:t>
      </w:r>
    </w:p>
    <w:p>
      <w:hyperlink r:id="rId12">
        <w:r>
          <w:rPr>
            <w:color w:val="205A87"/>
          </w:rPr>
          <w:t>打开F1官方9月18日报道</w:t>
        </w:r>
      </w:hyperlink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bilibili.com/video/BV1XtpM6vE5a/" TargetMode="External"/><Relationship Id="rId11" Type="http://schemas.openxmlformats.org/officeDocument/2006/relationships/hyperlink" Target="https://www.formula1.com/en/latest/article/vowles-explains-why-williams-had-messy-winter-as-team-bounce-back-with-miami-double-points-finish.695XvQJgGKaoBh0Vsf4s02.695XvQJgGKaoBh0Vsf4s02" TargetMode="External"/><Relationship Id="rId12" Type="http://schemas.openxmlformats.org/officeDocument/2006/relationships/hyperlink" Target="https://www.formula1.com/en/latest/article/why-the-fw48-upgrade-package-in-baku-is-so-crucial-for-williams.2vxRlXS2yDBqT7O5VMCn3s.2vxRlXS2yDBqT7O5VMCn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威廉姆斯2026赛季分析节目方案</dc:title>
  <dc:subject>参考视频拆解与十分钟节目结构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