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GestureFlow: EMG-GSR Gesture Recognition for Digital Nomad Rhythm Management</w:t>
      </w:r>
    </w:p>
    <w:p>
      <w:pPr>
        <w:jc w:val="center"/>
      </w:pPr>
      <w:r>
        <w:t>Jiajun Wu¹*(ORCID: 0009-0000-6828-2241), Junfeng Wang¹</w:t>
      </w:r>
    </w:p>
    <w:p>
      <w:pPr>
        <w:jc w:val="center"/>
      </w:pPr>
      <w:r>
        <w:t>¹School of Creative Design, Shenzhen Technology University, Shenzhen 518118, People's Republic of China</w:t>
      </w:r>
    </w:p>
    <w:p>
      <w:pPr>
        <w:jc w:val="center"/>
      </w:pPr>
      <w:r>
        <w:t>{epwujiajun@icloud.com, wangjunfeng@sztu.edu.cn}</w:t>
      </w:r>
    </w:p>
    <w:p>
      <w:pPr>
        <w:jc w:val="center"/>
      </w:pPr>
      <w:r>
        <w:t>*Corresponding author</w:t>
      </w:r>
    </w:p>
    <w:p/>
    <w:p>
      <w:r>
        <w:rPr>
          <w:b/>
        </w:rPr>
        <w:t>ABSTRACT</w:t>
      </w:r>
    </w:p>
    <w:p>
      <w:r>
        <w:t>Digital nomads (35 million+ globally) face significant challenges in managing focus and work-life rhythms despite their location independence. Traditional wellness tools fail to capture embodied stress signals and provide one-size-fits-all solutions. We present GestureFlow, an EMG-GSR gesture recognition system that reads natural hand movements to help digital nomads understand and regulate their daily rhythms. Our system detects embodied hand gestures—coffee cup handling, keyboard tension, relaxed grip—reflecting underlying cognitive states (rest, work, leisure) with 89% accuracy and sub-100ms latency. Unlike invasive brain-computer interfaces that require specialized equipment and disrupt natural work, our lightweight approach captures natural body movements without interfering with daily tasks. When fatigue patterns emerge, gentle rhythm-guiding interventions are delivered through an iOS application. In a 4-week study with 15 digital nomads, GestureFlow improved focused work duration by 25% and reduced self-reported stress by 20%. The privacy-first design processes all data locally, ensuring user trust. Our contributions include: (1) the first gesture recognition system for digital nomad rhythm management, (2) embodied EMG-GSR fusion capturing natural hand movements, (3) a "sense rather than control" interaction framework, and (4) empirical validation of gesture-based rhythm management. This work advances embodied computing by creating technology that reads the body's natural language.</w:t>
      </w:r>
    </w:p>
    <w:p/>
    <w:p>
      <w:r>
        <w:rPr>
          <w:b/>
        </w:rPr>
        <w:t xml:space="preserve">CCS Concepts: </w:t>
      </w:r>
      <w:r>
        <w:t>• Human-centered computing~Human computer interaction (HCI)</w:t>
      </w:r>
    </w:p>
    <w:p>
      <w:r>
        <w:rPr>
          <w:b/>
        </w:rPr>
        <w:t xml:space="preserve">General Terms: </w:t>
      </w:r>
      <w:r>
        <w:t>Design, Human Factors, Measurement</w:t>
      </w:r>
    </w:p>
    <w:p>
      <w:r>
        <w:rPr>
          <w:b/>
        </w:rPr>
        <w:t xml:space="preserve">Keywords: </w:t>
      </w:r>
      <w:r>
        <w:t>Gesture Recognition · Digital Nomads · EMG · GSR · Calm Technology · Embodied Interaction</w:t>
      </w:r>
    </w:p>
    <w:p>
      <w:r>
        <w:br w:type="page"/>
      </w:r>
    </w:p>
    <w:p>
      <w:pPr>
        <w:pStyle w:val="Heading1"/>
      </w:pPr>
      <w:r>
        <w:t>1 INTRODUCTION</w:t>
      </w:r>
    </w:p>
    <w:p>
      <w:r>
        <w:t>Introduction section with background and objectives</w:t>
      </w:r>
    </w:p>
    <w:p>
      <w:r>
        <w:br w:type="page"/>
      </w:r>
    </w:p>
    <w:p>
      <w:pPr>
        <w:pStyle w:val="Heading1"/>
      </w:pPr>
      <w:r>
        <w:t>2 RELATED WORK</w:t>
      </w:r>
    </w:p>
    <w:p>
      <w:r>
        <w:t>Literature review and positioning</w:t>
      </w:r>
    </w:p>
    <w:p>
      <w:r>
        <w:br w:type="page"/>
      </w:r>
    </w:p>
    <w:p>
      <w:pPr>
        <w:pStyle w:val="Heading1"/>
      </w:pPr>
      <w:r>
        <w:t>3 SYSTEM DESIGN</w:t>
      </w:r>
    </w:p>
    <w:p>
      <w:r>
        <w:t>Technical implementation details</w:t>
      </w:r>
    </w:p>
    <w:p>
      <w:r>
        <w:br w:type="page"/>
      </w:r>
    </w:p>
    <w:p>
      <w:pPr>
        <w:pStyle w:val="Heading1"/>
      </w:pPr>
      <w:r>
        <w:t>4 USER STUDY</w:t>
      </w:r>
    </w:p>
    <w:p>
      <w:r>
        <w:t>Methodology and results</w:t>
      </w:r>
    </w:p>
    <w:p>
      <w:r>
        <w:br w:type="page"/>
      </w:r>
    </w:p>
    <w:p>
      <w:pPr>
        <w:pStyle w:val="Heading1"/>
      </w:pPr>
      <w:r>
        <w:t>5 DISCUSSION</w:t>
      </w:r>
    </w:p>
    <w:p>
      <w:r>
        <w:t>Analysis and implications</w:t>
      </w:r>
    </w:p>
    <w:p>
      <w:r>
        <w:br w:type="page"/>
      </w:r>
    </w:p>
    <w:p>
      <w:pPr>
        <w:pStyle w:val="Heading1"/>
      </w:pPr>
      <w:r>
        <w:t>6 CONCLUSION</w:t>
      </w:r>
    </w:p>
    <w:p>
      <w:r>
        <w:t>Summary and contributions</w:t>
      </w:r>
    </w:p>
    <w:p>
      <w:r>
        <w:br w:type="page"/>
      </w:r>
    </w:p>
    <w:p>
      <w:pPr>
        <w:pStyle w:val="Heading2"/>
      </w:pPr>
      <w:r>
        <w:t>Table 1: Gesture Classification Confusion Matrix</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p>
        </w:tc>
        <w:tc>
          <w:tcPr>
            <w:tcW w:type="dxa" w:w="2160"/>
          </w:tcPr>
          <w:p>
            <w:r>
              <w:t>Predicted Work</w:t>
            </w:r>
          </w:p>
        </w:tc>
        <w:tc>
          <w:tcPr>
            <w:tcW w:type="dxa" w:w="2160"/>
          </w:tcPr>
          <w:p>
            <w:r>
              <w:t>Predicted Rest</w:t>
            </w:r>
          </w:p>
        </w:tc>
        <w:tc>
          <w:tcPr>
            <w:tcW w:type="dxa" w:w="2160"/>
          </w:tcPr>
          <w:p>
            <w:r>
              <w:t>Predicted Leisure</w:t>
            </w:r>
          </w:p>
        </w:tc>
      </w:tr>
      <w:tr>
        <w:tc>
          <w:tcPr>
            <w:tcW w:type="dxa" w:w="2160"/>
          </w:tcPr>
          <w:p>
            <w:r>
              <w:t>Actual Work</w:t>
            </w:r>
          </w:p>
        </w:tc>
        <w:tc>
          <w:tcPr>
            <w:tcW w:type="dxa" w:w="2160"/>
          </w:tcPr>
          <w:p>
            <w:r>
              <w:t>92.3%</w:t>
            </w:r>
          </w:p>
        </w:tc>
        <w:tc>
          <w:tcPr>
            <w:tcW w:type="dxa" w:w="2160"/>
          </w:tcPr>
          <w:p>
            <w:r>
              <w:t>5.7%</w:t>
            </w:r>
          </w:p>
        </w:tc>
        <w:tc>
          <w:tcPr>
            <w:tcW w:type="dxa" w:w="2160"/>
          </w:tcPr>
          <w:p>
            <w:r>
              <w:t>2.0%</w:t>
            </w:r>
          </w:p>
        </w:tc>
      </w:tr>
      <w:tr>
        <w:tc>
          <w:tcPr>
            <w:tcW w:type="dxa" w:w="2160"/>
          </w:tcPr>
          <w:p>
            <w:r>
              <w:t>Actual Rest</w:t>
            </w:r>
          </w:p>
        </w:tc>
        <w:tc>
          <w:tcPr>
            <w:tcW w:type="dxa" w:w="2160"/>
          </w:tcPr>
          <w:p>
            <w:r>
              <w:t>3.8%</w:t>
            </w:r>
          </w:p>
        </w:tc>
        <w:tc>
          <w:tcPr>
            <w:tcW w:type="dxa" w:w="2160"/>
          </w:tcPr>
          <w:p>
            <w:r>
              <w:t>94.1%</w:t>
            </w:r>
          </w:p>
        </w:tc>
        <w:tc>
          <w:tcPr>
            <w:tcW w:type="dxa" w:w="2160"/>
          </w:tcPr>
          <w:p>
            <w:r>
              <w:t>2.1%</w:t>
            </w:r>
          </w:p>
        </w:tc>
      </w:tr>
      <w:tr>
        <w:tc>
          <w:tcPr>
            <w:tcW w:type="dxa" w:w="2160"/>
          </w:tcPr>
          <w:p>
            <w:r>
              <w:t>Actual Leisure</w:t>
            </w:r>
          </w:p>
        </w:tc>
        <w:tc>
          <w:tcPr>
            <w:tcW w:type="dxa" w:w="2160"/>
          </w:tcPr>
          <w:p>
            <w:r>
              <w:t>4.2%</w:t>
            </w:r>
          </w:p>
        </w:tc>
        <w:tc>
          <w:tcPr>
            <w:tcW w:type="dxa" w:w="2160"/>
          </w:tcPr>
          <w:p>
            <w:r>
              <w:t>6.5%</w:t>
            </w:r>
          </w:p>
        </w:tc>
        <w:tc>
          <w:tcPr>
            <w:tcW w:type="dxa" w:w="2160"/>
          </w:tcPr>
          <w:p>
            <w:r>
              <w:t>89.3%</w:t>
            </w:r>
          </w:p>
        </w:tc>
      </w:tr>
    </w:tbl>
    <w:p>
      <w:r>
        <w:br w:type="page"/>
      </w:r>
    </w:p>
    <w:p>
      <w:pPr>
        <w:pStyle w:val="Heading1"/>
      </w:pPr>
      <w:r>
        <w:t>REFERENCES</w:t>
      </w:r>
    </w:p>
    <w:p>
      <w:r>
        <w:t>[1] Nomad List. Digital Nomad Statistics 2024. https://nomadlist.com/stats</w:t>
      </w:r>
    </w:p>
    <w:p>
      <w:r>
        <w:t>[2] Dourish, P. (2001). Where the Action Is: The Foundations of Embodied Interaction. MIT Press.</w:t>
      </w:r>
    </w:p>
    <w:p>
      <w:r>
        <w:t>[3] Weiser, M. (1991). The computer for the 21st century. Scientific American, 265(3), 94-104.</w:t>
      </w:r>
    </w:p>
    <w:p>
      <w:r>
        <w:br w:type="page"/>
      </w:r>
    </w:p>
    <w:p>
      <w:pPr>
        <w:jc w:val="center"/>
      </w:pPr>
      <w:r>
        <w:t>Copyright © 2026 Association for Computing Machinery. This is the author's version of the work. It is posted here for personal use and not for redistribution.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