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CFA741" w14:textId="77777777" w:rsidR="001920B6" w:rsidRDefault="00A3665A" w:rsidP="00645E66">
      <w:pPr>
        <w:keepNext w:val="true"/>
        <w:pageBreakBefore w:val="false"/>
        <w:spacing w:line="480" w:lineRule="auto" w:before="0" w:beforeLines="0" w:beforeAutospacing="0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一、</w:t>
      </w:r>
      <w:r w:rsidR="001920B6">
        <w:rPr>
          <w:rFonts w:ascii="Arial" w:hAnsi="Arial" w:cs="Arial" w:eastAsia="宋体"/>
          <w:sz w:val="24"/>
        </w:rPr>
        <w:t>样机的基本信息</w:t>
      </w:r>
    </w:p>
    <w:tbl>
      <w:tblPr>
        <w:tblW w:w="8897" w:type="dxa"/>
        <w:tblLayout w:type="fixed"/>
        <w:tblLook w:val="0000" w:firstRow="0" w:lastRow="0" w:firstColumn="0" w:lastColumn="0" w:noHBand="0" w:noVBand="0"/>
      </w:tblPr>
      <w:tblGrid>
        <w:gridCol w:w="1418"/>
        <w:gridCol w:w="2943"/>
        <w:gridCol w:w="1701"/>
        <w:gridCol w:w="2835"/>
      </w:tblGrid>
      <w:tr w:rsidR="00D56D90" w14:paraId="4D8CB82B" w14:textId="77777777" w:rsidTr="00BE3AC2">
        <w:trPr>
          <w:trHeight w:val="57"/>
        </w:trPr>
        <w:tc>
          <w:tcPr>
            <w:tcW w:w="1418" w:type="dxa"/>
            <w:vAlign w:val="center"/>
          </w:tcPr>
          <w:p w14:paraId="32505842" w14:textId="051B7F6D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申请单位</w:t>
            </w:r>
          </w:p>
        </w:tc>
        <w:tc>
          <w:tcPr>
            <w:tcW w:w="2943" w:type="dxa"/>
            <w:vAlign w:val="center"/>
            <w:noWrap w:val="0"/>
          </w:tcPr>
          <w:p w14:paraId="4F56A82E" w14:textId="77777777" w:rsidR="00796AFF" w:rsidRDefault="00D56D90" w:rsidP="00796AFF">
            <w:pPr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int="eastAsia" w:hAnsi="Arial" w:cs="Arial" w:eastAsia="宋体"/>
                <w:sz w:val="24"/>
              </w:rPr>
              <w:t>上海</w:t>
            </w:r>
            <w:r w:rsidR="00796AFF">
              <w:rPr>
                <w:rFonts w:ascii="Arial" w:hint="eastAsia" w:hAnsi="Arial" w:cs="Arial" w:eastAsia="宋体"/>
                <w:sz w:val="24"/>
              </w:rPr>
              <w:t>真兰仪表科技股份</w:t>
            </w:r>
          </w:p>
          <w:p w14:paraId="4A7EBC22" w14:textId="77777777" w:rsidR="00D56D90" w:rsidRPr="00FE0D39" w:rsidRDefault="00D56D90" w:rsidP="00796AFF">
            <w:pPr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int="eastAsia" w:hAnsi="Arial" w:cs="Arial" w:eastAsia="宋体"/>
                <w:sz w:val="24"/>
              </w:rPr>
              <w:t>有限公司</w:t>
            </w:r>
          </w:p>
        </w:tc>
        <w:tc>
          <w:tcPr>
            <w:tcW w:w="1701" w:type="dxa"/>
            <w:vAlign w:val="center"/>
          </w:tcPr>
          <w:p w14:paraId="7B0452DE" w14:textId="77777777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计量器具名称</w:t>
            </w:r>
          </w:p>
        </w:tc>
        <w:tc>
          <w:tcPr>
            <w:tcW w:w="2835" w:type="dxa"/>
            <w:vAlign w:val="center"/>
            <w:noWrap w:val="0"/>
          </w:tcPr>
          <w:p w14:paraId="6FEC0BC7" w14:textId="77777777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超声波燃气表</w:t>
            </w:r>
          </w:p>
        </w:tc>
      </w:tr>
      <w:tr w:rsidR="00F7187E" w14:paraId="2205FDF9" w14:textId="77777777" w:rsidTr="00BE3AC2">
        <w:trPr>
          <w:trHeight w:val="680" w:hRule="atLeast"/>
        </w:trPr>
        <w:tc>
          <w:tcPr>
            <w:tcW w:w="1418" w:type="dxa"/>
            <w:vAlign w:val="center"/>
          </w:tcPr>
          <w:p w14:paraId="2A823299" w14:textId="77777777" w:rsidR="00F7187E" w:rsidRDefault="00F7187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规格型号</w:t>
            </w:r>
          </w:p>
        </w:tc>
        <w:tc>
          <w:tcPr>
            <w:tcW w:w="2943" w:type="dxa"/>
            <w:vAlign w:val="center"/>
            <w:noWrap w:val="0"/>
          </w:tcPr>
          <w:p w14:paraId="5FDBDD6A" w14:textId="77777777" w:rsidR="00F7187E" w:rsidRPr="00A634FA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AAA</w:t>
            </w:r>
          </w:p>
        </w:tc>
        <w:tc>
          <w:tcPr>
            <w:tcW w:w="1701" w:type="dxa"/>
            <w:vAlign w:val="center"/>
          </w:tcPr>
          <w:p w14:paraId="10CA1070" w14:textId="77777777" w:rsidR="00F7187E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样机编号</w:t>
            </w:r>
          </w:p>
        </w:tc>
        <w:tc>
          <w:tcPr>
            <w:tcW w:w="2835" w:type="dxa"/>
            <w:vAlign w:val="center"/>
            <w:noWrap w:val="0"/>
          </w:tcPr>
          <w:p w14:paraId="32E565DD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</w:tr>
      <w:tr w:rsidR="00F7187E" w14:paraId="2205FDF9" w14:textId="77777777" w:rsidTr="00BE3AC2">
        <w:trPr>
          <w:trHeight w:val="680" w:hRule="atLeast"/>
        </w:trPr>
        <w:tc>
          <w:tcPr>
            <w:tcW w:w="1418" w:type="dxa"/>
            <w:vAlign w:val="center"/>
          </w:tcPr>
          <w:p w14:paraId="2A823299" w14:textId="77777777" w:rsidR="00F7187E" w:rsidRDefault="00F7187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规格型号</w:t>
            </w:r>
          </w:p>
        </w:tc>
        <w:tc>
          <w:tcPr>
            <w:tcW w:w="2943" w:type="dxa"/>
            <w:vAlign w:val="center"/>
            <w:noWrap w:val="0"/>
          </w:tcPr>
          <w:p w14:paraId="5FDBDD6A" w14:textId="77777777" w:rsidR="00F7187E" w:rsidRPr="00A634FA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BBB</w:t>
            </w:r>
          </w:p>
        </w:tc>
        <w:tc>
          <w:tcPr>
            <w:tcW w:w="1701" w:type="dxa"/>
            <w:vAlign w:val="center"/>
          </w:tcPr>
          <w:p w14:paraId="10CA1070" w14:textId="77777777" w:rsidR="00F7187E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样机编号</w:t>
            </w:r>
          </w:p>
        </w:tc>
        <w:tc>
          <w:tcPr>
            <w:tcW w:w="2835" w:type="dxa"/>
            <w:vAlign w:val="center"/>
            <w:noWrap w:val="0"/>
          </w:tcPr>
          <w:p w14:paraId="32E565DD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  <w:br/>
              <w:t xml:space="preserve">B002</w:t>
              <w:br/>
              <w:t xml:space="preserve">B003</w:t>
            </w:r>
          </w:p>
        </w:tc>
      </w:tr>
      <w:tr w:rsidR="00F7187E" w14:paraId="2205FDF9" w14:textId="77777777" w:rsidTr="00BE3AC2">
        <w:trPr>
          <w:trHeight w:val="680" w:hRule="atLeast"/>
        </w:trPr>
        <w:tc>
          <w:tcPr>
            <w:tcW w:w="1418" w:type="dxa"/>
            <w:vAlign w:val="center"/>
          </w:tcPr>
          <w:p w14:paraId="2A823299" w14:textId="77777777" w:rsidR="00F7187E" w:rsidRDefault="00F7187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规格型号</w:t>
            </w:r>
          </w:p>
        </w:tc>
        <w:tc>
          <w:tcPr>
            <w:tcW w:w="2943" w:type="dxa"/>
            <w:vAlign w:val="center"/>
            <w:noWrap w:val="0"/>
          </w:tcPr>
          <w:p w14:paraId="5FDBDD6A" w14:textId="77777777" w:rsidR="00F7187E" w:rsidRPr="00A634FA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CCC</w:t>
            </w:r>
          </w:p>
        </w:tc>
        <w:tc>
          <w:tcPr>
            <w:tcW w:w="1701" w:type="dxa"/>
            <w:vAlign w:val="center"/>
          </w:tcPr>
          <w:p w14:paraId="10CA1070" w14:textId="77777777" w:rsidR="00F7187E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样机编号</w:t>
            </w:r>
          </w:p>
        </w:tc>
        <w:tc>
          <w:tcPr>
            <w:tcW w:w="2835" w:type="dxa"/>
            <w:vAlign w:val="center"/>
            <w:noWrap w:val="0"/>
          </w:tcPr>
          <w:p w14:paraId="32E565DD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  <w:br/>
              <w:t xml:space="preserve">C002</w:t>
              <w:br/>
              <w:t xml:space="preserve">C003</w:t>
            </w:r>
          </w:p>
        </w:tc>
      </w:tr>
    </w:tbl>
    <w:p w14:paraId="73A4B42A" w14:textId="77777777" w:rsidR="001920B6" w:rsidRDefault="00D11DAE" w:rsidP="00D11DAE">
      <w:pPr>
        <w:spacing w:line="48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二、</w:t>
      </w:r>
      <w:r w:rsidR="001920B6">
        <w:rPr>
          <w:rFonts w:ascii="Arial" w:hAnsi="Arial" w:cs="Arial" w:eastAsia="宋体"/>
          <w:sz w:val="24"/>
        </w:rPr>
        <w:t>观察项目记录</w:t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07991555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EBBC88C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5.1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计量单位</w:t>
            </w:r>
          </w:p>
        </w:tc>
        <w:tc>
          <w:tcPr>
            <w:tcW w:w="4082" w:type="dxa"/>
            <w:vAlign w:val="center"/>
          </w:tcPr>
          <w:p w14:paraId="14F6B3C0" w14:textId="77777777" w:rsidR="00FC5EA4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燃气表及其相关部件的测量、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显示的计量单位均应采用法定计量单位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，应符合以下规定：</w:t>
            </w:r>
          </w:p>
          <w:p w14:paraId="575A840C" w14:textId="77777777" w:rsidR="00FC5EA4" w:rsidRPr="00E526F9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累积流量单位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立方米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 xml:space="preserve">3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升（立方分米），符号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L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（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 xml:space="preserve">3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）。</w:t>
            </w:r>
          </w:p>
          <w:p w14:paraId="46889C25" w14:textId="77777777" w:rsidR="00FC5EA4" w:rsidRDefault="00FC5EA4" w:rsidP="00D05BF6">
            <w:pPr>
              <w:keepLines w:val="false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瞬时流量单位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立方米每小时，符号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 xml:space="preserve">3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/h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  <w:p w14:paraId="01DB24D7" w14:textId="77777777" w:rsidR="00FC5EA4" w:rsidRDefault="00FC5EA4" w:rsidP="00D05BF6">
            <w:pPr>
              <w:keepLines w:val="false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压力单位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帕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[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斯卡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]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Pa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千帕，符号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kPa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  <w:p w14:paraId="4F210713" w14:textId="77777777" w:rsidR="00FC5EA4" w:rsidRDefault="00FC5EA4" w:rsidP="00D05BF6">
            <w:pPr>
              <w:keepLines w:val="false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温度单位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摄氏度，符号</w:t>
            </w: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℃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  <w:p w14:paraId="41193BDF" w14:textId="77777777" w:rsidR="00FC5EA4" w:rsidRPr="00E526F9" w:rsidRDefault="00FC5EA4" w:rsidP="00D05BF6">
            <w:pPr>
              <w:keepNext w:val="false"/>
              <w:keepLines w:val="false"/>
              <w:rPr>
                <w:rFonts w:ascii="Arial" w:hAnsi="Arial" w:cs="Arial" w:eastAsia="宋体"/>
                <w:lang w:val="en-US"/>
              </w:rPr>
            </w:pP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e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时间单位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小时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h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秒，符号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s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001AADF0" w14:textId="77777777" w:rsidR="00FC5EA4" w:rsidRPr="00647208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001AADF0" w14:textId="77777777" w:rsidR="00FC5EA4" w:rsidRPr="00647208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25AB103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C45AA0A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57DFC7D1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16D40D3D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5.2.1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机械封印</w:t>
            </w:r>
          </w:p>
        </w:tc>
        <w:tc>
          <w:tcPr>
            <w:tcW w:w="4082" w:type="dxa"/>
            <w:vAlign w:val="center"/>
          </w:tcPr>
          <w:p w14:paraId="5BEA9C56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 xml:space="preserve">燃气表应具有防护装置，即不经破坏不能打开的封印。凡能影响计量准确度及计量相关数据的任何人为机械干扰，应在检定封印上或保护标志上留下可见的永久性的损坏痕迹。机械封印还应对燃气表数据具有保护功能，即在对燃气表数据修改时必须先破坏机械封印。</w:t>
            </w:r>
          </w:p>
        </w:tc>
        <w:tc>
          <w:tcPr>
            <w:tcW w:w="1653" w:type="dxa"/>
            <w:vAlign w:val="center"/>
          </w:tcPr>
          <w:p w14:paraId="527C6F3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527C6F3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5D9E6A83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169188E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72BFA3D8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F017AA9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4082" w:type="dxa"/>
            <w:vAlign w:val="center"/>
          </w:tcPr>
          <w:p w14:paraId="39330314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在采用机械封印的同时增加电子封印，用以保护与确定测量结果及计量相关的参数，采用电子封印应满足下列规定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</w:p>
        </w:tc>
        <w:tc>
          <w:tcPr>
            <w:tcW w:w="1653" w:type="dxa"/>
            <w:vAlign w:val="center"/>
          </w:tcPr>
          <w:p w14:paraId="7285ABCD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</w:r>
          </w:p>
        </w:tc>
        <w:tc>
          <w:tcPr>
            <w:tcW w:w="425" w:type="dxa"/>
            <w:vAlign w:val="center"/>
          </w:tcPr>
          <w:p w14:paraId="7285ABCD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D243417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0EF2DE0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72BFA3D8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F017AA9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4082" w:type="dxa"/>
            <w:vAlign w:val="center"/>
          </w:tcPr>
          <w:p w14:paraId="7509F7F8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）仅允许获授权人员使用代码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（密码）或者专门的装置（硬件密匙等）等安全工具，进入设置模式修改这些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参数：</w:t>
            </w:r>
          </w:p>
          <w:p w14:paraId="1A7ADFE7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1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）对于参数无任何修改的访问，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访问后，表可不受限制地返回到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下继续运行；</w:t>
            </w:r>
          </w:p>
          <w:p w14:paraId="76EC6FAA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2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）参数修改后，经确认再返回到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下继续运行（与传统封印相似）。</w:t>
            </w:r>
          </w:p>
          <w:p w14:paraId="6784C949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）代码（密码）应可更改。</w:t>
            </w:r>
          </w:p>
          <w:p w14:paraId="6C2AF160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）在设置模式（不在法制计量管理控制）下，燃气表应有清晰显示，或不能运行。</w:t>
            </w:r>
          </w:p>
          <w:p w14:paraId="467AD361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在按照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）规定在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下投入运行之前，燃气表应一直保持此状态。</w:t>
            </w:r>
          </w:p>
          <w:p w14:paraId="710C1277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）应在事件记录器中保存最近一次参数修改记录。记录至少应包含以下内容：</w:t>
            </w:r>
          </w:p>
          <w:p w14:paraId="772D6473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1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）执行参数修改的获授权人员的身份信息；</w:t>
            </w:r>
          </w:p>
          <w:p w14:paraId="23738E55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2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）内部时钟产生的事件记数器或修改参数的日期和时间。</w:t>
            </w:r>
          </w:p>
          <w:p w14:paraId="232824C7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除上述数据外，还应存储以下内容：</w:t>
            </w:r>
          </w:p>
          <w:p w14:paraId="5617AE39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——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被更改的参数的原值；</w:t>
            </w:r>
          </w:p>
          <w:p w14:paraId="6583A8E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——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记录的总条数。</w:t>
            </w:r>
          </w:p>
          <w:p w14:paraId="06F4A5B4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应保存所有修改的参数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,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并且有可追溯性。</w:t>
            </w:r>
          </w:p>
        </w:tc>
        <w:tc>
          <w:tcPr>
            <w:tcW w:w="1653" w:type="dxa"/>
            <w:vAlign w:val="center"/>
          </w:tcPr>
          <w:p w14:paraId="7285ABCD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7285ABCD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D243417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>
            <w:pPr>
              <w:keepNext w:val="false"/>
              <w:keepLines w:val="false"/>
            </w:pPr>
          </w:p>
        </w:tc>
      </w:tr>
      <w:tr w:rsidR="00FC5EA4" w14:paraId="4DDDB789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CFD7B86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5.3.1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计量法制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4082" w:type="dxa"/>
            <w:vAlign w:val="center"/>
          </w:tcPr>
          <w:p w14:paraId="6825E45B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计量器具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的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型式批准标志和编号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（型评试验时预留）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10B65792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10B65792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BC49DD0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0E720AF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1D075DBF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4DD6D411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计量器具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标识</w:t>
            </w:r>
          </w:p>
        </w:tc>
        <w:tc>
          <w:tcPr>
            <w:tcW w:w="4082" w:type="dxa"/>
            <w:vAlign w:val="center"/>
          </w:tcPr>
          <w:p w14:paraId="6451B388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燃气表铭牌或表体应有清晰、永久性的标识，至少应包括：</w:t>
            </w:r>
          </w:p>
          <w:p w14:paraId="2D6145FE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）制造商名称；</w:t>
            </w:r>
          </w:p>
        </w:tc>
        <w:tc>
          <w:tcPr>
            <w:tcW w:w="1653" w:type="dxa"/>
            <w:vAlign w:val="center"/>
          </w:tcPr>
          <w:p w14:paraId="76E9679B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76E9679B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9C76BEB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284002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1D075DBF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4DD6D411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计量器具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标识</w:t>
            </w:r>
          </w:p>
        </w:tc>
        <w:tc>
          <w:tcPr>
            <w:tcW w:w="4082" w:type="dxa"/>
            <w:vAlign w:val="center"/>
          </w:tcPr>
          <w:p w14:paraId="07C6F619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）产品名称；</w:t>
            </w:r>
          </w:p>
          <w:p w14:paraId="76DBC1D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）型号规格；</w:t>
            </w:r>
          </w:p>
          <w:p w14:paraId="67A968F8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）准确度等级；</w:t>
            </w:r>
          </w:p>
          <w:p w14:paraId="692CCD94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e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）出厂编号；</w:t>
            </w:r>
          </w:p>
          <w:p w14:paraId="76D79EA6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f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）计量器具型式批准标志和编号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（预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留）；</w:t>
            </w:r>
          </w:p>
          <w:p w14:paraId="48EE381F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g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）流量范围；</w:t>
            </w:r>
          </w:p>
          <w:p w14:paraId="75EBD3CD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h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）最大工作压力；</w:t>
            </w:r>
          </w:p>
          <w:p w14:paraId="732957C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proofErr w:type="spellStart"/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i</w:t>
            </w:r>
            <w:proofErr w:type="spellEnd"/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）制造年月；</w:t>
            </w:r>
          </w:p>
          <w:p w14:paraId="141A6F1A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j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）适用环境温度范围（如果是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-10</w:t>
            </w:r>
            <w:r w:rsidRPr="00E74207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℃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~40</w:t>
            </w:r>
            <w:r w:rsidRPr="00E74207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℃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可不标注）；</w:t>
            </w:r>
          </w:p>
          <w:p w14:paraId="5524F643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k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）表体上应有清晰、永久性的标明气体流向的箭头或文字；</w:t>
            </w:r>
          </w:p>
          <w:p w14:paraId="06083C90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l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）电源（电压）标记；</w:t>
            </w:r>
          </w:p>
          <w:p w14:paraId="05081A16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m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）防爆标志及防爆合格证编号；</w:t>
            </w:r>
          </w:p>
          <w:p w14:paraId="22DD7332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n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）适用的气体类别；</w:t>
            </w:r>
          </w:p>
          <w:p w14:paraId="2498F74B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o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）体积量显示（标况体积或工况体积）；</w:t>
            </w:r>
          </w:p>
          <w:p w14:paraId="1B53BF95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p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）如果燃气表带有脉冲信号输出，则还应增加单位脉冲当量。</w:t>
            </w:r>
          </w:p>
        </w:tc>
        <w:tc>
          <w:tcPr>
            <w:tcW w:w="1653" w:type="dxa"/>
            <w:vAlign w:val="center"/>
          </w:tcPr>
          <w:p w14:paraId="76E9679B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76E9679B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9C76BEB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>
            <w:pPr>
              <w:keepNext w:val="false"/>
              <w:keepLines w:val="false"/>
            </w:pPr>
          </w:p>
        </w:tc>
      </w:tr>
      <w:tr w:rsidR="00FC5EA4" w14:paraId="71A466A5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EA41FFC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6.8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流量范围</w:t>
            </w:r>
          </w:p>
        </w:tc>
        <w:tc>
          <w:tcPr>
            <w:tcW w:w="4082" w:type="dxa"/>
            <w:vAlign w:val="center"/>
          </w:tcPr>
          <w:p w14:paraId="7CB6CEAC" w14:textId="77777777" w:rsidR="00FC5EA4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型号：</w:t>
            </w:r>
            <w:r w:rsidRPr="00585550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AAA</w:t>
            </w:r>
          </w:p>
          <w:p w14:paraId="0C23A681" w14:textId="77777777" w:rsidR="00FC5EA4" w:rsidRPr="00DA389A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最大流量：</w:t>
            </w:r>
            <w:r>
              <w:rPr>
                <w:rFonts w:ascii="Arial" w:hAnsi="Arial" w:cs="Arial" w:hint="eastAsia" w:eastAsia="宋体"/>
                <w:sz w:val="24"/>
              </w:rPr>
              <w:t xml:space="preserve">2.5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 w:rsidRPr="00A94D27">
              <w:rPr>
                <w:rFonts w:ascii="Arial" w:hAnsi="Arial" w:cs="Arial" w:eastAsia="宋体"/>
                <w:sz w:val="24"/>
              </w:rPr>
              <w:t xml:space="preserve">0.016m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分界流量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 w:rsidRPr="00A94D27">
              <w:rPr>
                <w:rFonts w:ascii="Arial" w:hAnsi="Arial" w:cs="Arial" w:eastAsia="宋体"/>
                <w:sz w:val="24"/>
              </w:rPr>
              <w:t xml:space="preserve">0.25m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</w:p>
          <w:p w14:paraId="4EB76CAB" w14:textId="77777777" w:rsidR="00FC5EA4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型号：</w:t>
            </w:r>
            <w:r w:rsidRPr="00585550">
              <w:rPr>
                <w:rFonts w:ascii="Arial" w:hAnsi="Arial" w:cs="Arial" w:eastAsia="宋体"/>
                <w:sz w:val="24"/>
                <w:szCs w:val="24"/>
              </w:rPr>
              <w:t xml:space="preserve">BBB</w:t>
            </w:r>
          </w:p>
          <w:p w14:paraId="6DD0B2BC" w14:textId="77777777" w:rsidR="00FC5EA4" w:rsidRPr="00C83797" w:rsidRDefault="00FC5EA4" w:rsidP="00D05BF6">
            <w:pPr>
              <w:keepLines w:val="false"/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最大流量：</w:t>
            </w:r>
            <w:r>
              <w:rPr>
                <w:rFonts w:ascii="Arial" w:hAnsi="Arial" w:cs="Arial" w:hint="eastAsia" w:eastAsia="宋体"/>
                <w:sz w:val="24"/>
              </w:rPr>
              <w:t xml:space="preserve">6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>
              <w:rPr>
                <w:rFonts w:ascii="Arial" w:hAnsi="Arial" w:cs="Arial" w:eastAsia="宋体"/>
                <w:sz w:val="24"/>
              </w:rPr>
              <w:t xml:space="preserve">0.0</w:t>
            </w:r>
            <w:r>
              <w:rPr>
                <w:rFonts w:ascii="Arial" w:hAnsi="Arial" w:cs="Arial" w:hint="eastAsia" w:eastAsia="宋体"/>
                <w:sz w:val="24"/>
              </w:rPr>
              <w:t xml:space="preserve">4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分界流量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>
              <w:rPr>
                <w:rFonts w:ascii="Arial" w:hAnsi="Arial" w:cs="Arial" w:eastAsia="宋体"/>
                <w:sz w:val="24"/>
              </w:rPr>
              <w:t xml:space="preserve">0.</w:t>
            </w:r>
            <w:r>
              <w:rPr>
                <w:rFonts w:ascii="Arial" w:hAnsi="Arial" w:cs="Arial" w:hint="eastAsia" w:eastAsia="宋体"/>
                <w:sz w:val="24"/>
              </w:rPr>
              <w:t xml:space="preserve">6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</w:p>
          <w:p w14:paraId="4EB76CAB" w14:textId="77777777" w:rsidR="00FC5EA4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型号：</w:t>
            </w:r>
            <w:r w:rsidRPr="00585550">
              <w:rPr>
                <w:rFonts w:ascii="Arial" w:hAnsi="Arial" w:cs="Arial" w:eastAsia="宋体"/>
                <w:sz w:val="24"/>
                <w:szCs w:val="24"/>
              </w:rPr>
              <w:t xml:space="preserve">CCC</w:t>
            </w:r>
          </w:p>
          <w:p w14:paraId="6DD0B2BC" w14:textId="77777777" w:rsidR="00FC5EA4" w:rsidRPr="00C8379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最大流量：</w:t>
            </w:r>
            <w:r>
              <w:rPr>
                <w:rFonts w:ascii="Arial" w:hAnsi="Arial" w:cs="Arial" w:hint="eastAsia" w:eastAsia="宋体"/>
                <w:sz w:val="24"/>
              </w:rPr>
              <w:t xml:space="preserve">6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>
              <w:rPr>
                <w:rFonts w:ascii="Arial" w:hAnsi="Arial" w:cs="Arial" w:eastAsia="宋体"/>
                <w:sz w:val="24"/>
              </w:rPr>
              <w:t xml:space="preserve">0.0</w:t>
            </w:r>
            <w:r>
              <w:rPr>
                <w:rFonts w:ascii="Arial" w:hAnsi="Arial" w:cs="Arial" w:hint="eastAsia" w:eastAsia="宋体"/>
                <w:sz w:val="24"/>
              </w:rPr>
              <w:t xml:space="preserve">4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分界流量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>
              <w:rPr>
                <w:rFonts w:ascii="Arial" w:hAnsi="Arial" w:cs="Arial" w:eastAsia="宋体"/>
                <w:sz w:val="24"/>
              </w:rPr>
              <w:t xml:space="preserve">0.</w:t>
            </w:r>
            <w:r>
              <w:rPr>
                <w:rFonts w:ascii="Arial" w:hAnsi="Arial" w:cs="Arial" w:hint="eastAsia" w:eastAsia="宋体"/>
                <w:sz w:val="24"/>
              </w:rPr>
              <w:t xml:space="preserve">6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7A65D59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7A65D59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1F0E62F5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5F70C6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58211132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4B02B8DC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6.9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分辨力</w:t>
            </w:r>
          </w:p>
        </w:tc>
        <w:tc>
          <w:tcPr>
            <w:tcW w:w="4082" w:type="dxa"/>
            <w:vAlign w:val="center"/>
          </w:tcPr>
          <w:p w14:paraId="75488119" w14:textId="77777777" w:rsidR="00FC5EA4" w:rsidRPr="0026357D" w:rsidRDefault="00FC5EA4" w:rsidP="00D05BF6">
            <w:pPr>
              <w:keepLines w:val="false"/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552CEF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552CEF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r>
              <w:rPr>
                <w:rFonts w:ascii="Arial" w:hAnsi="Arial" w:cs="Arial" w:eastAsia="宋体"/>
                <w:sz w:val="24"/>
              </w:rPr>
              <w:t xml:space="preserve">≤10m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</w:rPr>
              <w:t xml:space="preserve">，用户模式时，末位数字代表的最大体积值是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1</w:t>
            </w:r>
            <w:r>
              <w:rPr>
                <w:rFonts w:ascii="Arial" w:hAnsi="Arial" w:cs="Arial" w:eastAsia="宋体"/>
                <w:sz w:val="24"/>
              </w:rPr>
              <w:t xml:space="preserve">dm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</w:rPr>
              <w:t xml:space="preserve">，最小累积显示位数是</w:t>
            </w:r>
            <w:r>
              <w:rPr>
                <w:rFonts w:ascii="Arial" w:hAnsi="Arial" w:cs="Arial" w:hint="eastAsia" w:eastAsia="宋体"/>
                <w:sz w:val="24"/>
              </w:rPr>
              <w:t xml:space="preserve">12345.678</w:t>
            </w:r>
            <w:r>
              <w:rPr>
                <w:rFonts w:ascii="Arial" w:hAnsi="Arial" w:cs="Arial" w:eastAsia="宋体"/>
                <w:sz w:val="24"/>
              </w:rPr>
              <w:t xml:space="preserve"> 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</w:rPr>
              <w:t xml:space="preserve">，最少显示位数是</w:t>
            </w:r>
            <w:r>
              <w:rPr>
                <w:rFonts w:ascii="Arial" w:hAnsi="Arial" w:cs="Arial" w:hint="eastAsia" w:eastAsia="宋体"/>
                <w:sz w:val="24"/>
              </w:rPr>
              <w:t xml:space="preserve">8</w:t>
            </w:r>
            <w:r>
              <w:rPr>
                <w:rFonts w:ascii="Arial" w:hAnsi="Arial" w:cs="Arial" w:hint="eastAsia" w:eastAsia="宋体"/>
                <w:sz w:val="24"/>
              </w:rPr>
              <w:t xml:space="preserve">位；检测模式时，分辨力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hint="eastAsia" w:eastAsia="宋体"/>
                <w:sz w:val="24"/>
              </w:rPr>
              <w:t xml:space="preserve">0.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1</w:t>
            </w:r>
            <w:r>
              <w:rPr>
                <w:rFonts w:ascii="Arial" w:hAnsi="Arial" w:cs="Arial" w:eastAsia="宋体"/>
                <w:sz w:val="24"/>
              </w:rPr>
              <w:t xml:space="preserve">dm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</w:rPr>
              <w:t xml:space="preserve">。</w:t>
            </w:r>
          </w:p>
          <w:p w14:paraId="798D8CD9" w14:textId="77777777" w:rsidR="00FC5EA4" w:rsidRPr="0073096E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燃气表应有满足检测需要的信号输出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，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如光电信号、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 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脉冲信号或通信信号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r>
              <w:rPr>
                <w:rFonts w:ascii="Arial" w:hAnsi="Arial" w:cs="Arial" w:eastAsia="宋体"/>
                <w:sz w:val="24"/>
              </w:rPr>
              <w:t xml:space="preserve">≤10m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</w:rPr>
              <w:t xml:space="preserve">，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t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proofErr w:type="spellEnd"/>
            <w:r w:rsidRPr="00FF0594">
              <w:rPr>
                <w:rFonts w:ascii="Arial" w:hAnsi="Arial" w:cs="Arial" w:hint="eastAsia" w:eastAsia="宋体"/>
                <w:sz w:val="24"/>
              </w:rPr>
              <w:t xml:space="preserve">时，</w:t>
            </w:r>
            <w:r>
              <w:rPr>
                <w:rFonts w:ascii="Arial" w:hAnsi="Arial" w:cs="Arial" w:hint="eastAsia" w:eastAsia="宋体"/>
                <w:sz w:val="24"/>
              </w:rPr>
              <w:t xml:space="preserve">检测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信号的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分辨力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5L/</w:t>
            </w:r>
            <w:proofErr w:type="spellStart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pul</w:t>
            </w:r>
            <w:proofErr w:type="spellEnd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，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min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 xml:space="preserve"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t</w:t>
            </w:r>
            <w:proofErr w:type="spellEnd"/>
            <w:r w:rsidRPr="00FF0594">
              <w:rPr>
                <w:rFonts w:ascii="Arial" w:hAnsi="Arial" w:cs="Arial" w:hint="eastAsia" w:eastAsia="宋体"/>
                <w:sz w:val="24"/>
              </w:rPr>
              <w:t xml:space="preserve">时，</w:t>
            </w:r>
            <w:r>
              <w:rPr>
                <w:rFonts w:ascii="Arial" w:hAnsi="Arial" w:cs="Arial" w:hint="eastAsia" w:eastAsia="宋体"/>
                <w:sz w:val="24"/>
              </w:rPr>
              <w:t xml:space="preserve">检测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信号的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分辨力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1L/</w:t>
            </w:r>
            <w:proofErr w:type="spellStart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pul</w:t>
            </w:r>
            <w:proofErr w:type="spellEnd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466148E8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466148E8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50A3FDD8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3E4E2CFF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14983543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079D8DD9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7.1.1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材料</w:t>
            </w:r>
          </w:p>
        </w:tc>
        <w:tc>
          <w:tcPr>
            <w:tcW w:w="4082" w:type="dxa"/>
            <w:vAlign w:val="center"/>
          </w:tcPr>
          <w:p w14:paraId="30E786C2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燃气表的制造材料和设计结构应能承受预期的物理、化学和热效应影响，确保满足预期寿命的使用要求（燃气表制造厂提供说明或依据）。</w:t>
            </w:r>
          </w:p>
        </w:tc>
        <w:tc>
          <w:tcPr>
            <w:tcW w:w="1653" w:type="dxa"/>
            <w:vAlign w:val="center"/>
          </w:tcPr>
          <w:p w14:paraId="3D29948C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3D29948C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7E0D17DB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75936C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26F954A6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2E3FF633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7.1.2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外壳</w:t>
            </w:r>
          </w:p>
        </w:tc>
        <w:tc>
          <w:tcPr>
            <w:tcW w:w="4082" w:type="dxa"/>
            <w:vAlign w:val="center"/>
          </w:tcPr>
          <w:p w14:paraId="0E815A8C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）燃气表外壳应满足相关安全规定要求，在最大工作压力下保持良好的气密性。如燃气表在户外安装使用，还应能防雨水渗透。</w:t>
            </w:r>
          </w:p>
          <w:p w14:paraId="137B765E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）燃气表壳体涂层应均匀，不应有起泡、脱落、划痕、凹陷、污斑等缺陷。</w:t>
            </w:r>
          </w:p>
        </w:tc>
        <w:tc>
          <w:tcPr>
            <w:tcW w:w="1653" w:type="dxa"/>
            <w:vAlign w:val="center"/>
          </w:tcPr>
          <w:p w14:paraId="0278AEE5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0278AEE5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38708AB0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0855AC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774B6461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4631268B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7.1.3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铭牌和标记</w:t>
            </w:r>
          </w:p>
        </w:tc>
        <w:tc>
          <w:tcPr>
            <w:tcW w:w="4082" w:type="dxa"/>
            <w:vAlign w:val="center"/>
          </w:tcPr>
          <w:p w14:paraId="33565D5E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铭牌和标记应满足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5.3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的要求。燃气表的命名应符合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JJF 1051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《计量器具命名与分类编码》的要求。</w:t>
            </w:r>
          </w:p>
        </w:tc>
        <w:tc>
          <w:tcPr>
            <w:tcW w:w="1653" w:type="dxa"/>
            <w:vAlign w:val="center"/>
          </w:tcPr>
          <w:p w14:paraId="1348AA74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1348AA74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2AE1A29D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D281F74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20F64EAC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2256C2C5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7.1.4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显示器</w:t>
            </w:r>
          </w:p>
        </w:tc>
        <w:tc>
          <w:tcPr>
            <w:tcW w:w="4082" w:type="dxa"/>
            <w:vAlign w:val="center"/>
          </w:tcPr>
          <w:p w14:paraId="7FEB7663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燃气表的显示器应清晰易读，显示的数字和表示功能的文字或符号应完整、整齐。若显示器处于休眠状态可以通过按钮（或插卡、手持器）等方式唤醒。</w:t>
            </w:r>
          </w:p>
          <w:p w14:paraId="0729B884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累积流量显示：</w:t>
            </w:r>
          </w:p>
          <w:p w14:paraId="66985FDD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）除了字母标识字符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累积流量计数器至少应显示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8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位数字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；</w:t>
            </w:r>
          </w:p>
          <w:p w14:paraId="7EA29F29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）应有足够的数字位数显示</w:t>
            </w:r>
            <w:proofErr w:type="spellStart"/>
            <w:r w:rsidRPr="00E74207"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 w:rsidRPr="00E74207"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proofErr w:type="spellEnd"/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流量下运行</w:t>
            </w:r>
            <w:r w:rsidR="00304AA3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8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000 h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的气体体积量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且显示值不应回零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；</w:t>
            </w:r>
          </w:p>
          <w:p w14:paraId="3FC0EE17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显示器应易于读数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显示字符的高度不低于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4.95 mm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显示器应清晰</w:t>
            </w:r>
          </w:p>
        </w:tc>
        <w:tc>
          <w:tcPr>
            <w:tcW w:w="1653" w:type="dxa"/>
            <w:vAlign w:val="center"/>
          </w:tcPr>
          <w:p w14:paraId="4DFBCFE7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4DFBCFE7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06D56FE1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4531C243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20F64EAC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2256C2C5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7.1.4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显示器</w:t>
            </w:r>
          </w:p>
        </w:tc>
        <w:tc>
          <w:tcPr>
            <w:tcW w:w="4082" w:type="dxa"/>
            <w:vAlign w:val="center"/>
          </w:tcPr>
          <w:p w14:paraId="3FC0EE17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显示计量单位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（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m</w:t>
            </w:r>
            <w:r w:rsidRPr="0044027D">
              <w:rPr>
                <w:rFonts w:ascii="Arial" w:hAnsi="Arial" w:cs="Arial" w:eastAsia="宋体"/>
                <w:sz w:val="24"/>
                <w:szCs w:val="24"/>
                <w:vertAlign w:val="superscript"/>
                <w:lang w:val="en-US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）；</w:t>
            </w:r>
          </w:p>
          <w:p w14:paraId="677ACE7B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显示立方米位数的数字应与其他数字区用一个明显小数点区分。</w:t>
            </w:r>
          </w:p>
          <w:p w14:paraId="6D5034A0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其他显示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：</w:t>
            </w:r>
          </w:p>
          <w:p w14:paraId="38FFC633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选择的字母标识字符不应与数字混淆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；</w:t>
            </w:r>
          </w:p>
          <w:p w14:paraId="476377E8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其他显示部分的数字应醒目、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整齐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表示功能的文字符号和标志应完整、清晰、端正。</w:t>
            </w:r>
          </w:p>
        </w:tc>
        <w:tc>
          <w:tcPr>
            <w:tcW w:w="1653" w:type="dxa"/>
            <w:vAlign w:val="center"/>
          </w:tcPr>
          <w:p>
            <w:pPr>
              <w:keepNext w:val="false"/>
            </w:pPr>
          </w:p>
        </w:tc>
        <w:tc>
          <w:tcPr>
            <w:tcW w:w="425" w:type="dxa"/>
            <w:vAlign w:val="center"/>
          </w:tcPr>
          <w:p>
            <w:pPr>
              <w:keepNext w:val="false"/>
              <w:jc w:val="center"/>
            </w:pPr>
            <w:r>
              <w:t xml:space="preserve"/>
            </w:r>
          </w:p>
        </w:tc>
        <w:tc>
          <w:tcPr>
            <w:tcW w:w="426" w:type="dxa"/>
            <w:vAlign w:val="center"/>
          </w:tcPr>
          <w:p w14:paraId="06D56FE1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>
            <w:pPr>
              <w:keepNext w:val="false"/>
              <w:keepLines w:val="false"/>
            </w:pPr>
          </w:p>
        </w:tc>
      </w:tr>
      <w:tr w:rsidR="00FC5EA4" w14:paraId="02A7C04A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2434D728" w14:textId="77777777" w:rsidR="00FC5EA4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7.6</w:t>
            </w:r>
            <w:r>
              <w:br/>
            </w:r>
            <w:r w:rsidRPr="00FF4BB1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防爆性能</w:t>
            </w:r>
          </w:p>
        </w:tc>
        <w:tc>
          <w:tcPr>
            <w:tcW w:w="4082" w:type="dxa"/>
            <w:vAlign w:val="center"/>
          </w:tcPr>
          <w:p w14:paraId="11C62887" w14:textId="77777777" w:rsidR="00FC5EA4" w:rsidRPr="00432052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FF4BB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燃气表应符合相应防爆性能要求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FF4BB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并取得具有国家资质的防爆检验机构颁发的防爆合格证书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7A0D8EDE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  <w:br/>
              <w:t xml:space="preserve">C001</w:t>
              <w:br/>
              <w:t xml:space="preserve">C002</w:t>
              <w:br/>
              <w:t xml:space="preserve">C003</w:t>
            </w:r>
          </w:p>
        </w:tc>
        <w:tc>
          <w:tcPr>
            <w:tcW w:w="425" w:type="dxa"/>
            <w:vAlign w:val="center"/>
          </w:tcPr>
          <w:p w14:paraId="7A0D8EDE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6ED3EF26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38A7B44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证书</w:t>
            </w:r>
            <w:r w:rsidRPr="007663FE">
              <w:rPr>
                <w:rFonts w:ascii="Arial" w:hAnsi="Arial" w:cs="Arial" w:hint="eastAsia" w:eastAsia="宋体"/>
                <w:sz w:val="24"/>
                <w:lang w:val="en-US"/>
              </w:rPr>
              <w:t xml:space="preserve">编号：</w:t>
            </w:r>
            <w:r w:rsidRPr="00752928">
              <w:rPr>
                <w:rFonts w:ascii="Arial" w:hAnsi="Arial" w:cs="Arial" w:hint="eastAsia" w:eastAsia="宋体"/>
                <w:sz w:val="24"/>
                <w:szCs w:val="24"/>
              </w:rPr>
              <w:t xml:space="preserve">GYB25.2137X</w:t>
            </w:r>
          </w:p>
        </w:tc>
      </w:tr>
    </w:tbl>
    <w:p w14:paraId="78888F87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29F7142D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06CDBC92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1DC7E5B0" w14:textId="77777777" w:rsidR="001920B6" w:rsidRDefault="001920B6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1920B6" w14:paraId="57B1C2EC" w14:textId="77777777" w:rsidTr="001920B6">
        <w:tc>
          <w:tcPr>
            <w:tcW w:w="1242" w:type="dxa"/>
            <w:vAlign w:val="center"/>
          </w:tcPr>
          <w:p w14:paraId="18C350B4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7FBD2F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D95C2C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1920B6" w14:paraId="691C4790" w14:textId="77777777" w:rsidTr="001920B6">
        <w:tc>
          <w:tcPr>
            <w:tcW w:w="1242" w:type="dxa"/>
            <w:vAlign w:val="center"/>
          </w:tcPr>
          <w:p w14:paraId="598FC7C0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BEEFFCA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D7EFEE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通过</w:t>
            </w:r>
          </w:p>
        </w:tc>
      </w:tr>
      <w:tr w:rsidR="001920B6" w14:paraId="2FC9C405" w14:textId="77777777" w:rsidTr="001920B6">
        <w:tc>
          <w:tcPr>
            <w:tcW w:w="1242" w:type="dxa"/>
            <w:vAlign w:val="center"/>
          </w:tcPr>
          <w:p w14:paraId="7CF251CD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739144A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CC4D9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不通过</w:t>
            </w:r>
          </w:p>
        </w:tc>
      </w:tr>
    </w:tbl>
    <w:p>
      <w:pPr>
        <w:spacing w:before="0" w:after="0" w:line="1" w:lineRule="exact"/>
      </w:pPr>
    </w:p>
    <w:sectPr w:rsidR="00192075" w:rsidRPr="000B3796">
      <w:footerReference w:type="first" r:id="rId10"/>
      <w:footerReference w:type="default" r:id="rId9"/>
      <w:headerReference w:type="default" r:id="rId20"/>
      <w:pgNumType/>
      <w:cols w:space="720"/>
      <w:pgSz w:w="11906" w:h="16838"/>
      <w:pgMar w:top="1440" w:right="1558" w:bottom="1440" w:left="1800" w:header="851" w:footer="992" w:gutter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