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24C34" w14:textId="40E0D807" w:rsidR="00EF2B83" w:rsidRDefault="005E5B25" w:rsidP="00EF2B8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EF2B83">
        <w:rPr>
          <w:rFonts w:ascii="Arial" w:hAnsi="Arial" w:cs="Arial" w:hint="eastAsia" w:eastAsia="宋体"/>
          <w:b/>
          <w:sz w:val="24"/>
        </w:rPr>
        <w:t>功能性要求</w:t>
      </w:r>
    </w:p>
    <w:p w14:paraId="1FC26C0A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0B78CEF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12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55038BE" w14:textId="062198C0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262209" w14:paraId="7BBC1156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63F165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D49035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512599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C0454D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D37AB87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78F21264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79B873CC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343F417C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气流</w:t>
            </w:r>
          </w:p>
          <w:p w14:paraId="79C00CEF" w14:textId="77777777" w:rsidR="00FC2221" w:rsidRDefault="00FC2221" w:rsidP="00B913FC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方向</w:t>
            </w:r>
          </w:p>
        </w:tc>
        <w:tc>
          <w:tcPr>
            <w:tcW w:w="3515" w:type="dxa"/>
            <w:vMerge w:val="restart"/>
            <w:vAlign w:val="center"/>
          </w:tcPr>
          <w:p w14:paraId="57BD1353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721768">
              <w:rPr>
                <w:rFonts w:ascii="Arial" w:hAnsi="Arial" w:cs="Arial" w:hint="eastAsia" w:eastAsia="宋体"/>
                <w:sz w:val="24"/>
              </w:rPr>
              <w:t>在燃气表表体上应采用简洁明了的方式标识气体流向，例如用箭头或文字标识，并且能承受偶然的或意外的反向流，而不会引起正向流测量时的计量性能降低或改变。当气体流入方向与标识流向方向相反时，累积流量指示值应不发生变化，如带控制阀门的</w:t>
            </w:r>
            <w:r>
              <w:rPr>
                <w:rFonts w:ascii="Arial" w:hAnsi="Arial" w:cs="Arial" w:hint="eastAsia" w:eastAsia="宋体"/>
                <w:sz w:val="24"/>
              </w:rPr>
              <w:t>燃气表应能自动关闭控制阀门并有相应提示。</w:t>
            </w: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F185945" w14:textId="77777777" w:rsidR="00262209" w:rsidRPr="00943828" w:rsidRDefault="00262209" w:rsidP="00262209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4258C93" w14:textId="77777777" w:rsidR="00262209" w:rsidRDefault="00262209" w:rsidP="00262209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