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DBD37F" w14:textId="3F94153F" w:rsidR="00295E08" w:rsidRDefault="005E5B25" w:rsidP="00295E08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295E08">
        <w:rPr>
          <w:rFonts w:ascii="Arial" w:hAnsi="Arial" w:cs="Arial" w:hint="eastAsia" w:eastAsia="宋体"/>
          <w:b/>
          <w:sz w:val="24"/>
        </w:rPr>
        <w:t>环境适应性</w:t>
      </w:r>
    </w:p>
    <w:p w14:paraId="354D7259" w14:textId="77777777" w:rsidR="000B05D9" w:rsidRDefault="000B05D9" w:rsidP="000B05D9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61777D">
        <w:rPr>
          <w:rFonts w:ascii="Arial" w:hAnsi="Arial" w:cs="Arial" w:hint="eastAsia" w:eastAsia="宋体"/>
          <w:sz w:val="24"/>
        </w:rPr>
        <w:t>1</w:t>
      </w:r>
      <w:r w:rsidR="001056B1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1056B1">
        <w:rPr>
          <w:rFonts w:ascii="Arial" w:hAnsi="Arial" w:cs="Arial" w:hint="eastAsia" w:eastAsia="宋体"/>
          <w:sz w:val="24"/>
        </w:rPr>
        <w:t>0</w:t>
      </w:r>
      <w:r w:rsidR="008515BC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</w:t>
      </w:r>
      <w:r w:rsidR="0061777D">
        <w:rPr>
          <w:rFonts w:ascii="Arial" w:hAnsi="Arial" w:cs="Arial" w:hint="eastAsia" w:eastAsia="宋体"/>
          <w:sz w:val="24"/>
        </w:rPr>
        <w:t>1</w:t>
      </w:r>
      <w:r w:rsidR="008515BC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</w:t>
      </w:r>
      <w:r w:rsidR="008515BC">
        <w:rPr>
          <w:rFonts w:ascii="Arial" w:hAnsi="Arial" w:cs="Arial" w:hint="eastAsia" w:eastAsia="宋体"/>
          <w:sz w:val="24"/>
        </w:rPr>
        <w:t>1</w:t>
      </w:r>
      <w:r w:rsidR="001056B1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分</w:t>
      </w:r>
    </w:p>
    <w:p w14:paraId="7728978C" w14:textId="77777777" w:rsidR="000B05D9" w:rsidRDefault="000B05D9" w:rsidP="000B05D9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</w:t>
      </w:r>
      <w:r w:rsidR="0061777D">
        <w:rPr>
          <w:rFonts w:ascii="Arial" w:hAnsi="Arial" w:cs="Arial" w:hint="eastAsia" w:eastAsia="宋体"/>
          <w:sz w:val="24"/>
        </w:rPr>
        <w:t>1</w:t>
      </w:r>
      <w:r w:rsidR="001056B1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8515BC">
        <w:rPr>
          <w:rFonts w:ascii="Arial" w:hAnsi="Arial" w:cs="Arial" w:hint="eastAsia" w:eastAsia="宋体"/>
          <w:sz w:val="24"/>
        </w:rPr>
        <w:t>10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</w:t>
      </w:r>
      <w:r w:rsidR="006843AE">
        <w:rPr>
          <w:rFonts w:ascii="Arial" w:hAnsi="Arial" w:cs="Arial" w:hint="eastAsia" w:eastAsia="宋体"/>
          <w:sz w:val="24"/>
        </w:rPr>
        <w:t>1</w:t>
      </w:r>
      <w:r w:rsidR="001056B1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</w:t>
      </w:r>
      <w:r w:rsidR="008515BC">
        <w:rPr>
          <w:rFonts w:ascii="Arial" w:hAnsi="Arial" w:cs="Arial" w:hint="eastAsia" w:eastAsia="宋体"/>
          <w:sz w:val="24"/>
        </w:rPr>
        <w:t>4</w:t>
      </w:r>
      <w:r w:rsidR="001056B1">
        <w:rPr>
          <w:rFonts w:ascii="Arial" w:hAnsi="Arial" w:cs="Arial" w:hint="eastAsia" w:eastAsia="宋体"/>
          <w:sz w:val="24"/>
        </w:rPr>
        <w:t>5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分</w:t>
      </w:r>
    </w:p>
    <w:p w14:paraId="6B4AC02E" w14:textId="77777777" w:rsidR="0097130D" w:rsidRDefault="0097130D" w:rsidP="00295E08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3515"/>
        <w:gridCol w:w="2098"/>
        <w:gridCol w:w="1417"/>
      </w:tblGrid>
      <w:tr w:rsidR="00AF147F" w14:paraId="55BADCFB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2DBB9B53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11428750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404DB877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0AA941C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2B00B8B6" w14:textId="77777777" w:rsidR="00AF147F" w:rsidRDefault="00AF147F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FC2221" w14:paraId="360523B8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7CBC7DBB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23</w:t>
            </w:r>
          </w:p>
        </w:tc>
        <w:tc>
          <w:tcPr>
            <w:tcW w:w="709" w:type="dxa"/>
            <w:vMerge w:val="restart"/>
            <w:vAlign w:val="center"/>
          </w:tcPr>
          <w:p w14:paraId="663070C8" w14:textId="77777777" w:rsidR="00FC2221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气候环境</w:t>
            </w:r>
          </w:p>
        </w:tc>
        <w:tc>
          <w:tcPr>
            <w:tcW w:w="708" w:type="dxa"/>
            <w:vMerge w:val="restart"/>
            <w:vAlign w:val="center"/>
          </w:tcPr>
          <w:p w14:paraId="6B63A09D" w14:textId="77777777" w:rsidR="00FC2221" w:rsidRPr="000B05D9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低温</w:t>
            </w:r>
          </w:p>
        </w:tc>
        <w:tc>
          <w:tcPr>
            <w:tcW w:w="3515" w:type="dxa"/>
            <w:vMerge w:val="restart"/>
            <w:vAlign w:val="center"/>
          </w:tcPr>
          <w:p w14:paraId="68159FD1" w14:textId="77777777" w:rsidR="00FC2221" w:rsidRDefault="00FC2221" w:rsidP="00B913FC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燃气表在低温（</w:t>
            </w:r>
            <w:r>
              <w:rPr>
                <w:rFonts w:ascii="Arial" w:hAnsi="Arial" w:cs="Arial" w:eastAsia="宋体"/>
                <w:sz w:val="24"/>
              </w:rPr>
              <w:t>-20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</w:rPr>
              <w:t>）的环境下贮存后，外观应无损坏，密封性仍应符合要求，功能正常和存储的数据保持不变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0523B8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0523B8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0523B8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0523B8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60523B8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0A10DA3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D94F19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06140644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24</w:t>
            </w:r>
          </w:p>
        </w:tc>
        <w:tc>
          <w:tcPr>
            <w:tcW w:w="709" w:type="dxa"/>
            <w:vMerge w:val="continue"/>
            <w:vAlign w:val="center"/>
          </w:tcPr>
          <w:p w14:paraId="663070C8" w14:textId="77777777" w:rsidR="00FC2221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6118583C" w14:textId="77777777" w:rsidR="00FC2221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高温</w:t>
            </w:r>
          </w:p>
        </w:tc>
        <w:tc>
          <w:tcPr>
            <w:tcW w:w="3515" w:type="dxa"/>
            <w:vMerge w:val="restart"/>
            <w:vAlign w:val="center"/>
          </w:tcPr>
          <w:p w14:paraId="7DFDD819" w14:textId="77777777" w:rsidR="00FC2221" w:rsidRDefault="00FC2221" w:rsidP="00B913FC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燃气表在高温（</w:t>
            </w:r>
            <w:r>
              <w:rPr>
                <w:rFonts w:ascii="Arial" w:hAnsi="Arial" w:cs="Arial" w:eastAsia="宋体"/>
                <w:sz w:val="24"/>
              </w:rPr>
              <w:t>55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</w:rPr>
              <w:t>）的环境下贮存后，外观应无损坏，密封性仍应符合要求，功能正常和存储的数据保持不变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264E891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584347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B19A892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9EFD992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25</w:t>
            </w:r>
          </w:p>
        </w:tc>
        <w:tc>
          <w:tcPr>
            <w:tcW w:w="709" w:type="dxa"/>
            <w:vMerge w:val="continue"/>
            <w:vAlign w:val="center"/>
          </w:tcPr>
          <w:p w14:paraId="663070C8" w14:textId="77777777" w:rsidR="00FC2221" w:rsidRDefault="00FC2221" w:rsidP="00B913FC">
            <w:pPr>
              <w:keepNext w:val="false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36C612B6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恒定湿热</w:t>
            </w:r>
          </w:p>
        </w:tc>
        <w:tc>
          <w:tcPr>
            <w:tcW w:w="3515" w:type="dxa"/>
            <w:vMerge w:val="restart"/>
            <w:vAlign w:val="center"/>
          </w:tcPr>
          <w:p w14:paraId="67C8A755" w14:textId="77777777" w:rsidR="00FC2221" w:rsidRDefault="00FC2221" w:rsidP="00B913FC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燃气表在恒定湿热（</w:t>
            </w:r>
            <w:r>
              <w:rPr>
                <w:rFonts w:ascii="Arial" w:hAnsi="Arial" w:cs="Arial" w:eastAsia="宋体"/>
                <w:sz w:val="24"/>
              </w:rPr>
              <w:t>40</w:t>
            </w:r>
            <w:r>
              <w:rPr>
                <w:rFonts w:ascii="Arial" w:hAnsi="Arial" w:cs="Arial" w:hint="eastAsia" w:eastAsia="宋体"/>
                <w:sz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</w:rPr>
              <w:t>、</w:t>
            </w:r>
            <w:r>
              <w:rPr>
                <w:rFonts w:ascii="Arial" w:hAnsi="Arial" w:cs="Arial" w:eastAsia="宋体"/>
                <w:sz w:val="24"/>
              </w:rPr>
              <w:t>93%RH</w:t>
            </w:r>
            <w:r>
              <w:rPr>
                <w:rFonts w:ascii="Arial" w:hAnsi="Arial" w:cs="Arial" w:hint="eastAsia" w:eastAsia="宋体"/>
                <w:sz w:val="24"/>
              </w:rPr>
              <w:t>）的环境下贮存后，外观应无损坏，密封性仍应符合要求，功能正常和存储的数据保持不变。</w:t>
            </w: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F5FFE4A" w14:textId="77777777" w:rsidTr="00413485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7C8523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B066510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1ECEDDB3" w14:textId="77777777" w:rsidR="00624BE8" w:rsidRPr="00943828" w:rsidRDefault="00624BE8" w:rsidP="00624BE8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011BE383" w14:textId="77777777" w:rsidR="00624BE8" w:rsidRDefault="00624BE8" w:rsidP="00624BE8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2、8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（54~56）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/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  张宇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  黄薛青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