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C11AB" w14:textId="2CD9CB88" w:rsidR="00725A59" w:rsidRDefault="005E5B25" w:rsidP="00725A5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25A59">
        <w:rPr>
          <w:rFonts w:ascii="Arial" w:hAnsi="Arial" w:cs="Arial" w:hint="eastAsia" w:eastAsia="宋体"/>
          <w:b/>
          <w:sz w:val="24"/>
        </w:rPr>
        <w:t>环境适应性</w:t>
      </w:r>
    </w:p>
    <w:p w14:paraId="130E9C2C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8A0FAA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DB6538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587B1C4" w14:textId="77777777" w:rsidR="00725A59" w:rsidRDefault="00725A59" w:rsidP="008B52A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E35845" w14:paraId="6BB26286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BB9134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43BE7266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378C4A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0DFFE5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61EEE8E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357A9D93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26</w:t>
            </w:r>
          </w:p>
        </w:tc>
        <w:tc>
          <w:tcPr>
            <w:tcW w:w="709" w:type="dxa"/>
            <w:vMerge w:val="restart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电磁</w:t>
            </w:r>
            <w:r w:rsidRPr="000E003B">
              <w:rPr>
                <w:rFonts w:ascii="Arial" w:hAnsi="Arial" w:cs="Arial" w:hint="eastAsia" w:eastAsia="宋体"/>
                <w:sz w:val="24"/>
              </w:rPr>
              <w:t>环境</w:t>
            </w:r>
            <w:r w:rsidRPr="006443DB">
              <w:rPr>
                <w:rFonts w:ascii="Arial" w:hAnsi="Arial" w:cs="Arial" w:hint="eastAsia" w:eastAsia="宋体"/>
                <w:sz w:val="24"/>
              </w:rPr>
              <w:t>（抗扰度）</w:t>
            </w:r>
          </w:p>
        </w:tc>
        <w:tc>
          <w:tcPr>
            <w:tcW w:w="708" w:type="dxa"/>
            <w:vMerge w:val="restart"/>
            <w:vAlign w:val="center"/>
          </w:tcPr>
          <w:p w14:paraId="49592993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3515" w:type="dxa"/>
            <w:vMerge w:val="restart"/>
            <w:vAlign w:val="center"/>
          </w:tcPr>
          <w:p w14:paraId="7C9CD72C" w14:textId="77777777" w:rsidR="00FC2221" w:rsidRDefault="00FC2221" w:rsidP="007D0E8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在射频电磁场辐射抗扰度试验中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级、</w:t>
            </w:r>
            <w:r>
              <w:rPr>
                <w:rFonts w:ascii="Arial" w:hAnsi="Arial" w:cs="Arial" w:eastAsia="宋体"/>
                <w:sz w:val="24"/>
              </w:rPr>
              <w:t>10V/m</w:t>
            </w:r>
            <w:r>
              <w:rPr>
                <w:rFonts w:ascii="Arial" w:hAnsi="Arial" w:cs="Arial" w:hint="eastAsia" w:eastAsia="宋体"/>
                <w:sz w:val="24"/>
              </w:rPr>
              <w:t>场强），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F16177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27</w:t>
            </w:r>
          </w:p>
        </w:tc>
        <w:tc>
          <w:tcPr>
            <w:tcW w:w="709" w:type="dxa"/>
            <w:vMerge w:val="continue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5F5B0D31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3515" w:type="dxa"/>
            <w:vMerge w:val="restart"/>
            <w:vAlign w:val="center"/>
          </w:tcPr>
          <w:p w14:paraId="4315FE0C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</w:rPr>
              <w:t>静电放电抗扰度</w:t>
            </w:r>
            <w:r w:rsidRPr="000E45D8">
              <w:rPr>
                <w:rFonts w:ascii="Arial" w:hAnsi="Arial" w:cs="Arial" w:hint="eastAsia" w:eastAsia="宋体"/>
                <w:sz w:val="24"/>
              </w:rPr>
              <w:t>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794C1FC5" w14:textId="77777777" w:rsidR="00BF7B7B" w:rsidRPr="00943828" w:rsidRDefault="00BF7B7B" w:rsidP="00BF7B7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786BB31C" w14:textId="77777777" w:rsidR="00BF7B7B" w:rsidRDefault="00BF7B7B" w:rsidP="00BF7B7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9、10、11、12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（34~46）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101.3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刘雨宸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杨先望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