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9E6F2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6A3DC261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eastAsia="宋体"/>
          <w:sz w:val="24"/>
        </w:rPr>
        <w:t>9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5E56F5BA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eastAsia="宋体"/>
          <w:sz w:val="24"/>
        </w:rPr>
        <w:t>9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385C48" w:rsidRPr="00A56365" w14:paraId="6EFDD203" w14:textId="77777777" w:rsidTr="00A84AB6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91DCF64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17A9FB9C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F263FB3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966A06D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61254CBD" w14:textId="77777777" w:rsidR="00385C48" w:rsidRPr="00A56365" w:rsidRDefault="00385C48" w:rsidP="00A84AB6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75EFC7BA" w14:textId="77777777" w:rsidTr="00A84AB6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1A6EB7C0" w14:textId="77777777" w:rsidR="00F57050" w:rsidRPr="00A56365" w:rsidRDefault="00F57050" w:rsidP="00F5705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16</w:t>
            </w: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  <w:vAlign w:val="center"/>
          </w:tcPr>
          <w:p w14:paraId="248C0191" w14:textId="77777777" w:rsidR="00F57050" w:rsidRPr="00A56365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静磁场试验</w:t>
            </w:r>
          </w:p>
        </w:tc>
        <w:tc>
          <w:tcPr>
            <w:tcW w:w="3515" w:type="dxa"/>
            <w:vMerge w:val="restart"/>
            <w:vAlign w:val="center"/>
          </w:tcPr>
          <w:p w14:paraId="2A24CFB9" w14:textId="77777777" w:rsidR="00F57050" w:rsidRPr="00A56365" w:rsidRDefault="00F57050" w:rsidP="00F57050">
            <w:pPr>
              <w:keepNext w:val="false"/>
              <w:spacing w:line="240" w:lineRule="auto"/>
              <w:rPr>
                <w:rFonts w:ascii="Arial" w:hAnsi="Arial" w:cs="Arial" w:eastAsia="宋体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水表的的相对示值误差应不超过高区的最大允许误差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±2%</w:t>
            </w:r>
          </w:p>
        </w:tc>
        <w:tc>
          <w:tcPr>
            <w:tcW w:w="2098" w:type="dxa"/>
            <w:vAlign w:val="center"/>
          </w:tcPr>
          <w:p w14:paraId="6141C0F3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29414D4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A56365" w14:paraId="4629FA5D" w14:textId="77777777" w:rsidTr="00A84AB6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1A6EB7C0" w14:textId="77777777" w:rsidR="00F57050" w:rsidRPr="00A56365" w:rsidRDefault="00F57050" w:rsidP="00F57050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417" w:type="dxa"/>
            <w:vMerge w:val="continue"/>
            <w:tcBorders>
              <w:left w:val="single" w:sz="4" w:space="0" w:color="auto"/>
            </w:tcBorders>
            <w:vAlign w:val="center"/>
          </w:tcPr>
          <w:p w14:paraId="248C0191" w14:textId="77777777" w:rsidR="00F57050" w:rsidRPr="00A56365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24CBFD83" w14:textId="77777777" w:rsidR="00F57050" w:rsidRPr="00A56365" w:rsidRDefault="00F57050" w:rsidP="00F57050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>水表的所有功能应符合设计要求。</w:t>
            </w:r>
          </w:p>
        </w:tc>
        <w:tc>
          <w:tcPr>
            <w:tcW w:w="2098" w:type="dxa"/>
            <w:vAlign w:val="center"/>
          </w:tcPr>
          <w:p w14:paraId="40C95B70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7C5B128" w14:textId="77777777" w:rsidR="00F57050" w:rsidRDefault="00F57050" w:rsidP="00F57050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248E3F3B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001C7D6C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1、6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（59~62）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