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14CE2E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color w:val="000000"/>
          <w:sz w:val="24"/>
          <w:szCs w:val="24"/>
        </w:rPr>
      </w:pPr>
      <w:r>
        <w:rPr>
          <w:rFonts w:ascii="Arial" w:hAnsi="Arial" w:cs="Arial" w:eastAsia="宋体"/>
          <w:b/>
          <w:color w:val="000000"/>
          <w:sz w:val="24"/>
          <w:szCs w:val="24"/>
        </w:rPr>
        <w:t>型式评价结果</w:t>
      </w:r>
      <w:r>
        <w:rPr>
          <w:rFonts w:ascii="Arial" w:hAnsi="Arial" w:cs="Arial" w:eastAsia="宋体"/>
          <w:b/>
          <w:color w:val="000000"/>
          <w:sz w:val="24"/>
          <w:szCs w:val="24"/>
        </w:rPr>
        <w:t>-</w:t>
      </w:r>
      <w:r>
        <w:rPr>
          <w:rFonts w:ascii="Arial" w:hAnsi="Arial" w:cs="Arial" w:hint="eastAsia" w:eastAsia="宋体"/>
          <w:b/>
          <w:sz w:val="24"/>
        </w:rPr>
        <w:t>通用技术要求</w:t>
      </w:r>
    </w:p>
    <w:p w14:paraId="12367994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14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8610BD">
        <w:rPr>
          <w:rFonts w:ascii="Arial" w:hAnsi="Arial" w:cs="Arial" w:hint="eastAsia" w:eastAsia="宋体"/>
          <w:sz w:val="24"/>
        </w:rPr>
        <w:t>10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4EE2E574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14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385C48" w:rsidRPr="00A56365" w14:paraId="7DB6B3A7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1895FF0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3E32815C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329973F9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4402F139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FECE269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试验结果</w:t>
            </w:r>
          </w:p>
        </w:tc>
      </w:tr>
      <w:tr w:rsidR="00F57050" w:rsidRPr="00A56365" w14:paraId="4E49E131" w14:textId="77777777" w:rsidTr="00D30E18">
        <w:trPr>
          <w:cantSplit w:val="true"/>
          <w:trHeight w:val="825" w:hRule="atLeast"/>
        </w:trPr>
        <w:tc>
          <w:tcPr>
            <w:tcW w:w="737" w:type="dxa"/>
            <w:vMerge w:val="restart"/>
            <w:vAlign w:val="center"/>
          </w:tcPr>
          <w:p w14:paraId="651701E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417" w:type="dxa"/>
            <w:vMerge w:val="restart"/>
            <w:vAlign w:val="center"/>
          </w:tcPr>
          <w:p w14:paraId="3EB00A73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静压力</w:t>
            </w:r>
          </w:p>
        </w:tc>
        <w:tc>
          <w:tcPr>
            <w:tcW w:w="3515" w:type="dxa"/>
            <w:vMerge w:val="restart"/>
            <w:vAlign w:val="center"/>
          </w:tcPr>
          <w:p w14:paraId="028DC555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最大允许压力：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1.0MPa</w:t>
            </w:r>
          </w:p>
          <w:p w14:paraId="13D80268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水表应能承受下列压力试验无渗漏或损坏：</w:t>
            </w:r>
          </w:p>
          <w:p w14:paraId="60E10FEC" w14:textId="77777777" w:rsidR="00F57050" w:rsidRPr="00A56365" w:rsidRDefault="00F57050" w:rsidP="00F57050">
            <w:pPr>
              <w:keepNext w:val="true"/>
              <w:numPr>
                <w:ilvl w:val="0"/>
                <w:numId w:val="19"/>
              </w:numPr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承受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1.6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倍最大允许压力的试验压力，持续时间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15min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；</w:t>
            </w:r>
          </w:p>
          <w:p w14:paraId="352CADCC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b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）承受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2.0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倍最大允许压力的试验压力，持续时间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1min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825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825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</w:tbl>
    <w:p w14:paraId="5E921376" w14:textId="77777777" w:rsidR="00B2523B" w:rsidRPr="00B2523B" w:rsidRDefault="00B2523B" w:rsidP="00B2523B">
      <w:pPr>
        <w:keepNext w:val="true"/>
        <w:snapToGrid w:val="0"/>
        <w:spacing w:line="360" w:lineRule="auto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本试验项目合格判定要求：见上表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 xml:space="preserve">                 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本试验项目的结论：通过</w:t>
      </w:r>
    </w:p>
    <w:p w14:paraId="250178B3" w14:textId="77777777" w:rsidR="00B2523B" w:rsidRPr="00B2523B" w:rsidRDefault="00B2523B" w:rsidP="00B2523B">
      <w:pPr>
        <w:keepNext w:val="true"/>
        <w:snapToGrid w:val="0"/>
        <w:spacing w:line="360" w:lineRule="auto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eastAsia="宋体"/>
          <w:color w:val="000000"/>
          <w:sz w:val="24"/>
          <w:szCs w:val="24"/>
        </w:rPr>
        <w:t>试验过程中的异常情况记录：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1、5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（23~24）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（59~63）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  <w:num w:numId="1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