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11A89" w14:textId="77777777" w:rsidR="00BB2C97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EE3EAD6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727955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月</w:t>
      </w:r>
      <w:r w:rsidR="00727955">
        <w:rPr>
          <w:rFonts w:ascii="Arial" w:hAnsi="Arial" w:cs="Arial" w:hint="eastAsia" w:eastAsia="宋体"/>
          <w:sz w:val="24"/>
        </w:rPr>
        <w:t>07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78B4F153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727955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月</w:t>
      </w:r>
      <w:r w:rsidR="00727955">
        <w:rPr>
          <w:rFonts w:ascii="Arial" w:hAnsi="Arial" w:cs="Arial" w:hint="eastAsia" w:eastAsia="宋体"/>
          <w:sz w:val="24"/>
        </w:rPr>
        <w:t>07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2B00B364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09AF855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435C665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E08F1A5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82B48CB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6F946557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2D050DDC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EED5AC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69881939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静电放电</w:t>
            </w:r>
          </w:p>
        </w:tc>
        <w:tc>
          <w:tcPr>
            <w:tcW w:w="3515" w:type="dxa"/>
            <w:vMerge w:val="restart"/>
            <w:vAlign w:val="center"/>
          </w:tcPr>
          <w:p w14:paraId="253C9592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电磁环境等级：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E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2042D12A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试验电压（接触方式）：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6kV</w:t>
            </w:r>
          </w:p>
          <w:p w14:paraId="3E5F0AE7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试验电压（空气方式）：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8kV</w:t>
            </w:r>
          </w:p>
          <w:p w14:paraId="5F32272B" w14:textId="77777777" w:rsidR="00D1288E" w:rsidRPr="00C072E2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C072E2">
              <w:rPr>
                <w:rFonts w:ascii="Arial" w:hAnsi="Arial" w:cs="Arial" w:eastAsia="宋体"/>
                <w:sz w:val="24"/>
                <w:lang w:val="en-US"/>
              </w:rPr>
              <w:t>试验次数：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10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次</w:t>
            </w:r>
          </w:p>
          <w:p w14:paraId="22158200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C072E2">
              <w:rPr>
                <w:rFonts w:ascii="Arial" w:hAnsi="Arial" w:cs="Arial" w:eastAsia="宋体"/>
                <w:sz w:val="24"/>
                <w:lang w:val="en-US"/>
              </w:rPr>
              <w:t>施加扰动后，水表的所有功能应符合设计要求。</w:t>
            </w:r>
          </w:p>
          <w:p w14:paraId="2E290AA0" w14:textId="77777777" w:rsidR="00DC5879" w:rsidRPr="00A56365" w:rsidRDefault="00DC5879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778960AE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4EFB21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5F187EA" w14:textId="459629A2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0DF7F16E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8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22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40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