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color w:val="0F172A"/>
          <w:sz w:val="44"/>
        </w:rPr>
        <w:t>CardioGuard Industrial: A Bilingual Digital Platform for Industrial-Site Cardiac Emergency Response</w:t>
      </w:r>
    </w:p>
    <w:p/>
    <w:p>
      <w:r>
        <w:rPr>
          <w:rFonts w:ascii="Times New Roman" w:hAnsi="Times New Roman" w:eastAsia="Times New Roman"/>
          <w:b/>
          <w:i w:val="0"/>
          <w:sz w:val="22"/>
        </w:rPr>
        <w:t>Running title:</w:t>
      </w:r>
      <w:r>
        <w:rPr>
          <w:rFonts w:ascii="Times New Roman" w:hAnsi="Times New Roman" w:eastAsia="Times New Roman"/>
          <w:b w:val="0"/>
          <w:i w:val="0"/>
          <w:sz w:val="22"/>
        </w:rPr>
        <w:t xml:space="preserve"> Bilingual platform for industrial cardiac emergencies</w:t>
      </w:r>
    </w:p>
    <w:p/>
    <w:p>
      <w:r>
        <w:rPr>
          <w:rFonts w:ascii="Times New Roman" w:hAnsi="Times New Roman" w:eastAsia="Times New Roman"/>
          <w:b/>
          <w:i w:val="0"/>
          <w:sz w:val="22"/>
        </w:rPr>
        <w:t>Article type:</w:t>
      </w:r>
      <w:r>
        <w:rPr>
          <w:rFonts w:ascii="Times New Roman" w:hAnsi="Times New Roman" w:eastAsia="Times New Roman"/>
          <w:b w:val="0"/>
          <w:i w:val="0"/>
          <w:sz w:val="22"/>
        </w:rPr>
        <w:t xml:space="preserve"> Original software / systems paper (digital health)</w:t>
      </w:r>
    </w:p>
    <w:p/>
    <w:p>
      <w:r>
        <w:br/>
      </w:r>
    </w:p>
    <w:p/>
    <w:p>
      <w:r>
        <w:rPr>
          <w:rFonts w:ascii="Times New Roman" w:hAnsi="Times New Roman" w:eastAsia="Times New Roman"/>
          <w:b/>
          <w:i w:val="0"/>
          <w:sz w:val="22"/>
        </w:rPr>
        <w:t>Jingrui Wu</w:t>
      </w:r>
      <w:r>
        <w:rPr>
          <w:rFonts w:ascii="Times New Roman" w:hAnsi="Times New Roman" w:eastAsia="Times New Roman"/>
          <w:b w:val="0"/>
          <w:i w:val="0"/>
          <w:sz w:val="22"/>
        </w:rPr>
        <w:t xml:space="preserve"> ¹ ² *</w:t>
      </w:r>
    </w:p>
    <w:p/>
    <w:p>
      <w:r>
        <w:rPr>
          <w:rFonts w:ascii="Times New Roman" w:hAnsi="Times New Roman" w:eastAsia="Times New Roman"/>
          <w:b w:val="0"/>
          <w:i w:val="0"/>
          <w:sz w:val="22"/>
        </w:rPr>
        <w:t>¹ Xi'an Medical College (西安医学高等专科学校), Xi'an, Shaanxi, China</w:t>
      </w:r>
    </w:p>
    <w:p>
      <w:r>
        <w:rPr>
          <w:rFonts w:ascii="Times New Roman" w:hAnsi="Times New Roman" w:eastAsia="Times New Roman"/>
          <w:b w:val="0"/>
          <w:i w:val="0"/>
          <w:sz w:val="22"/>
        </w:rPr>
        <w:t>² Department of Public Health, Kyungwoon University (경운대학교), Gumi, Gyeongbuk, Republic of Korea</w:t>
      </w:r>
    </w:p>
    <w:p/>
    <w:p>
      <w:r>
        <w:rPr>
          <w:rFonts w:ascii="Times New Roman" w:hAnsi="Times New Roman" w:eastAsia="Times New Roman"/>
          <w:b/>
          <w:i w:val="0"/>
          <w:sz w:val="22"/>
        </w:rPr>
        <w:t>Corresponding author.</w:t>
      </w:r>
      <w:r>
        <w:rPr>
          <w:rFonts w:ascii="Times New Roman" w:hAnsi="Times New Roman" w:eastAsia="Times New Roman"/>
          <w:b w:val="0"/>
          <w:i w:val="0"/>
          <w:sz w:val="22"/>
        </w:rPr>
        <w:t xml:space="preserve"> Jingrui Wu, Department of Public Health, Kyungwoon University, Gumi 39160, Republic of Korea. E-mail: 253207006@ikw.ac.kr · ORCID: 0000-0000-0000-0000 </w:t>
      </w:r>
      <w:r>
        <w:rPr>
          <w:rFonts w:ascii="Times New Roman" w:hAnsi="Times New Roman" w:eastAsia="Times New Roman"/>
          <w:b w:val="0"/>
          <w:i/>
          <w:sz w:val="22"/>
        </w:rPr>
        <w:t>(to be completed)</w:t>
      </w:r>
    </w:p>
    <w:p/>
    <w:p>
      <w:r>
        <w:rPr>
          <w:rFonts w:ascii="Times New Roman" w:hAnsi="Times New Roman" w:eastAsia="Times New Roman"/>
          <w:b/>
          <w:i w:val="0"/>
          <w:sz w:val="22"/>
        </w:rPr>
        <w:t>Submitted to:</w:t>
      </w:r>
      <w:r>
        <w:rPr>
          <w:rFonts w:ascii="Times New Roman" w:hAnsi="Times New Roman" w:eastAsia="Times New Roman"/>
          <w:b w:val="0"/>
          <w:i w:val="0"/>
          <w:sz w:val="22"/>
        </w:rPr>
        <w:t xml:space="preserve"> Digital Health Competition — </w:t>
      </w:r>
      <w:r>
        <w:rPr>
          <w:rFonts w:ascii="Times New Roman" w:hAnsi="Times New Roman" w:eastAsia="Times New Roman"/>
          <w:b w:val="0"/>
          <w:i/>
          <w:sz w:val="22"/>
        </w:rPr>
        <w:t>Industrial Safety</w:t>
      </w:r>
      <w:r>
        <w:rPr>
          <w:rFonts w:ascii="Times New Roman" w:hAnsi="Times New Roman" w:eastAsia="Times New Roman"/>
          <w:b w:val="0"/>
          <w:i w:val="0"/>
          <w:sz w:val="22"/>
        </w:rPr>
        <w:t xml:space="preserve"> track, June 2026</w:t>
      </w:r>
    </w:p>
    <w:p>
      <w:r>
        <w:rPr>
          <w:rFonts w:ascii="Times New Roman" w:hAnsi="Times New Roman" w:eastAsia="Times New Roman"/>
          <w:b/>
          <w:i w:val="0"/>
          <w:sz w:val="22"/>
        </w:rPr>
        <w:t>Licensing:</w:t>
      </w:r>
      <w:r>
        <w:rPr>
          <w:rFonts w:ascii="Times New Roman" w:hAnsi="Times New Roman" w:eastAsia="Times New Roman"/>
          <w:b w:val="0"/>
          <w:i w:val="0"/>
          <w:sz w:val="22"/>
        </w:rPr>
        <w:t xml:space="preserve"> MIT (source code) · CC BY 4.0 (manuscript text)</w:t>
      </w:r>
    </w:p>
    <w:p/>
    <w:p>
      <w:r>
        <w:br/>
      </w:r>
    </w:p>
    <w:p/>
    <w:p>
      <w:r>
        <w:rPr>
          <w:rFonts w:ascii="Times New Roman" w:hAnsi="Times New Roman" w:eastAsia="Times New Roman"/>
          <w:b/>
          <w:color w:val="DC2626"/>
          <w:sz w:val="32"/>
        </w:rPr>
        <w:t>Highlights</w:t>
      </w:r>
    </w:p>
    <w:p/>
    <w:p>
      <w:pPr>
        <w:pStyle w:val="ListBullet"/>
      </w:pPr>
      <w:r>
        <w:rPr>
          <w:rFonts w:ascii="Times New Roman" w:hAnsi="Times New Roman" w:eastAsia="Times New Roman"/>
          <w:b w:val="0"/>
          <w:i w:val="0"/>
          <w:sz w:val="22"/>
        </w:rPr>
        <w:t xml:space="preserve">A bilingual (Chinese ↔ Korean) static-web platform closes the </w:t>
      </w:r>
      <w:r>
        <w:rPr>
          <w:rFonts w:ascii="Times New Roman" w:hAnsi="Times New Roman" w:eastAsia="Times New Roman"/>
          <w:b w:val="0"/>
          <w:i/>
          <w:sz w:val="22"/>
        </w:rPr>
        <w:t>detect → predict → respond → train → data</w:t>
      </w:r>
      <w:r>
        <w:rPr>
          <w:rFonts w:ascii="Times New Roman" w:hAnsi="Times New Roman" w:eastAsia="Times New Roman"/>
          <w:b w:val="0"/>
          <w:i w:val="0"/>
          <w:sz w:val="22"/>
        </w:rPr>
        <w:t xml:space="preserve"> loop for industrial cardiac emergencies.</w:t>
      </w:r>
    </w:p>
    <w:p>
      <w:pPr>
        <w:pStyle w:val="ListBullet"/>
      </w:pPr>
      <w:r>
        <w:rPr>
          <w:rFonts w:ascii="Times New Roman" w:hAnsi="Times New Roman" w:eastAsia="Times New Roman"/>
          <w:b w:val="0"/>
          <w:i w:val="0"/>
          <w:sz w:val="22"/>
        </w:rPr>
        <w:t>Every functional module is mapped to AHA 2025 ECC, ERC 2021, KACPR 2025 and ISO 45001:2018, giving reviewers traceable standards provenance.</w:t>
      </w:r>
    </w:p>
    <w:p>
      <w:pPr>
        <w:pStyle w:val="ListBullet"/>
      </w:pPr>
      <w:r>
        <w:rPr>
          <w:rFonts w:ascii="Times New Roman" w:hAnsi="Times New Roman" w:eastAsia="Times New Roman"/>
          <w:b w:val="0"/>
          <w:i w:val="0"/>
          <w:sz w:val="22"/>
        </w:rPr>
        <w:t>A 10,000-worker scenario simulation projects out-of-hospital cardiac arrest (OHCA) discharge survival from ~10 % to ≥ 25 % and median first-responder time from 8 to ≤ 3 minutes.</w:t>
      </w:r>
    </w:p>
    <w:p>
      <w:pPr>
        <w:pStyle w:val="ListBullet"/>
      </w:pPr>
      <w:r>
        <w:rPr>
          <w:rFonts w:ascii="Times New Roman" w:hAnsi="Times New Roman" w:eastAsia="Times New Roman"/>
          <w:b w:val="0"/>
          <w:i w:val="0"/>
          <w:sz w:val="22"/>
        </w:rPr>
        <w:t>One-click Korean-language PDF export and a ~430-key bilingual internationalisation layer remove the cross-border (China–Korea) deployment ceiling typical of competitor prototypes.</w:t>
      </w:r>
    </w:p>
    <w:p>
      <w:pPr>
        <w:pStyle w:val="ListBullet"/>
      </w:pPr>
      <w:r>
        <w:rPr>
          <w:rFonts w:ascii="Times New Roman" w:hAnsi="Times New Roman" w:eastAsia="Times New Roman"/>
          <w:b w:val="0"/>
          <w:i w:val="0"/>
          <w:sz w:val="22"/>
        </w:rPr>
        <w:t>The artefact is fully open-source and byte-for-byte reproducible from any static host.</w:t>
      </w:r>
    </w:p>
    <w:p/>
    <w:p>
      <w:r>
        <w:br/>
      </w:r>
    </w:p>
    <w:p/>
    <w:p>
      <w:r>
        <w:rPr>
          <w:rFonts w:ascii="Times New Roman" w:hAnsi="Times New Roman" w:eastAsia="Times New Roman"/>
          <w:b/>
          <w:color w:val="DC2626"/>
          <w:sz w:val="32"/>
        </w:rPr>
        <w:t>Abstract</w:t>
      </w:r>
    </w:p>
    <w:p/>
    <w:p>
      <w:r>
        <w:rPr>
          <w:rFonts w:ascii="Times New Roman" w:hAnsi="Times New Roman" w:eastAsia="Times New Roman"/>
          <w:b/>
          <w:i w:val="0"/>
          <w:sz w:val="22"/>
        </w:rPr>
        <w:t>Background.</w:t>
      </w:r>
      <w:r>
        <w:rPr>
          <w:rFonts w:ascii="Times New Roman" w:hAnsi="Times New Roman" w:eastAsia="Times New Roman"/>
          <w:b w:val="0"/>
          <w:i w:val="0"/>
          <w:sz w:val="22"/>
        </w:rPr>
        <w:t xml:space="preserve"> Out-of-hospital cardiac arrest (OHCA) is among the most lethal acute events in industrial workplaces, with global discharge survival below 10 %. Bystander cardiopulmonary resuscitation (CPR) and automated external defibrillator (AED) use within the first four minutes are the principal modifiable determinants of survival, yet industrial parks face sparse AED distribution, low CPR-certification rates, fragmented dispatch chains, and—in China–Korea joint ventures—an absence of production-grade bilingual interfaces.</w:t>
      </w:r>
    </w:p>
    <w:p/>
    <w:p>
      <w:r>
        <w:rPr>
          <w:rFonts w:ascii="Times New Roman" w:hAnsi="Times New Roman" w:eastAsia="Times New Roman"/>
          <w:b/>
          <w:i w:val="0"/>
          <w:sz w:val="22"/>
        </w:rPr>
        <w:t>Objective.</w:t>
      </w:r>
      <w:r>
        <w:rPr>
          <w:rFonts w:ascii="Times New Roman" w:hAnsi="Times New Roman" w:eastAsia="Times New Roman"/>
          <w:b w:val="0"/>
          <w:i w:val="0"/>
          <w:sz w:val="22"/>
        </w:rPr>
        <w:t xml:space="preserve"> To design, implement, and evaluate </w:t>
      </w:r>
      <w:r>
        <w:rPr>
          <w:rFonts w:ascii="Times New Roman" w:hAnsi="Times New Roman" w:eastAsia="Times New Roman"/>
          <w:b w:val="0"/>
          <w:i/>
          <w:sz w:val="22"/>
        </w:rPr>
        <w:t>CardioGuard Industrial</w:t>
      </w:r>
      <w:r>
        <w:rPr>
          <w:rFonts w:ascii="Times New Roman" w:hAnsi="Times New Roman" w:eastAsia="Times New Roman"/>
          <w:b w:val="0"/>
          <w:i w:val="0"/>
          <w:sz w:val="22"/>
        </w:rPr>
        <w:t xml:space="preserve"> (工心守护 / 산업심장수호), a reproducible bilingual digital-health platform that operationalises a closed industrial cardiac-emergency response loop and that can be delivered as a competition-ready artefact.</w:t>
      </w:r>
    </w:p>
    <w:p/>
    <w:p>
      <w:r>
        <w:rPr>
          <w:rFonts w:ascii="Times New Roman" w:hAnsi="Times New Roman" w:eastAsia="Times New Roman"/>
          <w:b/>
          <w:i w:val="0"/>
          <w:sz w:val="22"/>
        </w:rPr>
        <w:t>Methods.</w:t>
      </w:r>
      <w:r>
        <w:rPr>
          <w:rFonts w:ascii="Times New Roman" w:hAnsi="Times New Roman" w:eastAsia="Times New Roman"/>
          <w:b w:val="0"/>
          <w:i w:val="0"/>
          <w:sz w:val="22"/>
        </w:rPr>
        <w:t xml:space="preserve"> We developed a zero-dependency, accessibility-conforming (WCAG 2.1 AA) static-web prototype integrating real-time physiological monitoring, an artificial-intelligence (AI) risk-prediction specification, an AED Internet-of-Things (IoT) network, voice-guided CPR response, digital training, and a safety-data cockpit. Each module was mapped to AHA 2025 ECC, ERC 2021, KACPR 2025, and ISO 45001:2018. Because the artefact is a minimum-viable prototype (MVP), expected effect was assessed by literature triangulation and scenario simulation for a 10,000-worker mid-size industrial park rather than by primary data collection.</w:t>
      </w:r>
    </w:p>
    <w:p/>
    <w:p>
      <w:r>
        <w:rPr>
          <w:rFonts w:ascii="Times New Roman" w:hAnsi="Times New Roman" w:eastAsia="Times New Roman"/>
          <w:b/>
          <w:i w:val="0"/>
          <w:sz w:val="22"/>
        </w:rPr>
        <w:t>Results.</w:t>
      </w:r>
      <w:r>
        <w:rPr>
          <w:rFonts w:ascii="Times New Roman" w:hAnsi="Times New Roman" w:eastAsia="Times New Roman"/>
          <w:b w:val="0"/>
          <w:i w:val="0"/>
          <w:sz w:val="22"/>
        </w:rPr>
        <w:t xml:space="preserve"> The prototype delivers native Chinese ↔ Korean switching (~430 internationalisation keys), a one-click Korean PDF export, and four interactive dashboards. Against published baselines, the scenario simulation projected OHCA discharge survival to rise from ~10 % to ≥ 25 % (+15 percentage points), median time-from-collapse-to-CPR to fall from ~8 to ≤ 3 minutes (−62 %), 4-minute AED reachability to climb from 38 % to 91 % (+53 percentage points), and CPR certification to rise from 12 % to ≥ 60 %, yielding an estimated return on investment (ROI) &gt; 5 at a 10,000-worker park.</w:t>
      </w:r>
    </w:p>
    <w:p/>
    <w:p>
      <w:r>
        <w:rPr>
          <w:rFonts w:ascii="Times New Roman" w:hAnsi="Times New Roman" w:eastAsia="Times New Roman"/>
          <w:b/>
          <w:i w:val="0"/>
          <w:sz w:val="22"/>
        </w:rPr>
        <w:t>Conclusions.</w:t>
      </w:r>
      <w:r>
        <w:rPr>
          <w:rFonts w:ascii="Times New Roman" w:hAnsi="Times New Roman" w:eastAsia="Times New Roman"/>
          <w:b w:val="0"/>
          <w:i w:val="0"/>
          <w:sz w:val="22"/>
        </w:rPr>
        <w:t xml:space="preserve"> CardioGuard Industrial is a standards-anchored, bilingual, open-source prototype that is reproducible at zero cost and ready for transition into pilot deployments at China–Korea joint-venture parks. The work demonstrates a tractable digital-health response to the </w:t>
      </w:r>
      <w:r>
        <w:rPr>
          <w:rFonts w:ascii="Times New Roman" w:hAnsi="Times New Roman" w:eastAsia="Times New Roman"/>
          <w:b w:val="0"/>
          <w:i/>
          <w:sz w:val="22"/>
        </w:rPr>
        <w:t>Industrial Safety</w:t>
      </w:r>
      <w:r>
        <w:rPr>
          <w:rFonts w:ascii="Times New Roman" w:hAnsi="Times New Roman" w:eastAsia="Times New Roman"/>
          <w:b w:val="0"/>
          <w:i w:val="0"/>
          <w:sz w:val="22"/>
        </w:rPr>
        <w:t xml:space="preserve"> challenge and a template for peer-reviewed extension.</w:t>
      </w:r>
    </w:p>
    <w:p/>
    <w:p>
      <w:r>
        <w:rPr>
          <w:rFonts w:ascii="Times New Roman" w:hAnsi="Times New Roman" w:eastAsia="Times New Roman"/>
          <w:b/>
          <w:i w:val="0"/>
          <w:sz w:val="22"/>
        </w:rPr>
        <w:t>Keywords:</w:t>
      </w:r>
      <w:r>
        <w:rPr>
          <w:rFonts w:ascii="Times New Roman" w:hAnsi="Times New Roman" w:eastAsia="Times New Roman"/>
          <w:b w:val="0"/>
          <w:i w:val="0"/>
          <w:sz w:val="22"/>
        </w:rPr>
        <w:t xml:space="preserve"> digital health; industrial safety; out-of-hospital cardiac arrest; automated external defibrillator; cardiopulmonary resuscitation; Internet of Things; clinical decision support; bilingual user interface; China–Korea cooperation; public health informatics</w:t>
      </w:r>
    </w:p>
    <w:p/>
    <w:p>
      <w:r>
        <w:br/>
      </w:r>
    </w:p>
    <w:p/>
    <w:p>
      <w:r>
        <w:rPr>
          <w:rFonts w:ascii="Times New Roman" w:hAnsi="Times New Roman" w:eastAsia="Times New Roman"/>
          <w:b/>
          <w:color w:val="DC2626"/>
          <w:sz w:val="32"/>
        </w:rPr>
        <w:t>Abbreviations</w:t>
      </w:r>
    </w:p>
    <w:p/>
    <w:p>
      <w:r>
        <w:rPr>
          <w:rFonts w:ascii="Times New Roman" w:hAnsi="Times New Roman" w:eastAsia="Times New Roman"/>
          <w:b w:val="0"/>
          <w:i w:val="0"/>
          <w:sz w:val="22"/>
        </w:rPr>
        <w:t>AED, automated external defibrillator; AHA, American Heart Association; AI, artificial intelligence; CPR, cardiopulmonary resuscitation; ECC, emergency cardiovascular care; EHS, environment, health and safety; ERC, European Resuscitation Council; FHIR, Fast Healthcare Interoperability Resources; IoT, Internet of Things; ISO, International Organization for Standardization; KACPR, Korean Association of Cardiopulmonary Resuscitation; MFDS, Ministry of Food and Drug Safety (Republic of Korea); MVP, minimum-viable prototype; NCD, non-communicable disease; OHCA, out-of-hospital cardiac arrest; ROI, return on investment; SaMD, software as a medical device; SDG, Sustainable Development Goal; SHAP, SHapley Additive exPlanations; SpO₂, peripheral oxygen saturation; VR, virtual reality; WCAG, Web Content Accessibility Guidelines; WHO, World Health Organization.</w:t>
      </w:r>
    </w:p>
    <w:p/>
    <w:p>
      <w:r>
        <w:br/>
      </w:r>
    </w:p>
    <w:p/>
    <w:p>
      <w:r>
        <w:rPr>
          <w:rFonts w:ascii="Times New Roman" w:hAnsi="Times New Roman" w:eastAsia="Times New Roman"/>
          <w:b/>
          <w:color w:val="DC2626"/>
          <w:sz w:val="32"/>
        </w:rPr>
        <w:t>1. Introduction</w:t>
      </w:r>
    </w:p>
    <w:p/>
    <w:p>
      <w:r>
        <w:rPr>
          <w:rFonts w:ascii="Times New Roman" w:hAnsi="Times New Roman" w:eastAsia="Times New Roman"/>
          <w:b/>
          <w:color w:val="0F172A"/>
          <w:sz w:val="26"/>
        </w:rPr>
        <w:t>1.1 The public-health burden of industrial OHCA</w:t>
      </w:r>
    </w:p>
    <w:p/>
    <w:p>
      <w:r>
        <w:rPr>
          <w:rFonts w:ascii="Times New Roman" w:hAnsi="Times New Roman" w:eastAsia="Times New Roman"/>
          <w:b w:val="0"/>
          <w:i w:val="0"/>
          <w:sz w:val="22"/>
        </w:rPr>
        <w:t xml:space="preserve">According to the American Heart Association (AHA) 2025 </w:t>
      </w:r>
      <w:r>
        <w:rPr>
          <w:rFonts w:ascii="Times New Roman" w:hAnsi="Times New Roman" w:eastAsia="Times New Roman"/>
          <w:b w:val="0"/>
          <w:i/>
          <w:sz w:val="22"/>
        </w:rPr>
        <w:t>Heart Disease and Stroke Statistics</w:t>
      </w:r>
      <w:r>
        <w:rPr>
          <w:rFonts w:ascii="Times New Roman" w:hAnsi="Times New Roman" w:eastAsia="Times New Roman"/>
          <w:b w:val="0"/>
          <w:i w:val="0"/>
          <w:sz w:val="22"/>
        </w:rPr>
        <w:t xml:space="preserve"> update, annual OHCA incidence in industrialised economies ranges 50–110 per 100,000 population, with discharge survival of 8.0–10.4 % in most large registries [1]. Industrial workers carry an elevated risk profile owing to long shift cycles, heat and noise exposure, particulate inhalation, and chronic stress—well-documented modulators of cardiac arrhythmia [2,3]. Four mechanisms persistently delay effective response within industrial parks:</w:t>
      </w:r>
    </w:p>
    <w:p/>
    <w:p>
      <w:pPr>
        <w:pStyle w:val="ListNumber"/>
      </w:pPr>
      <w:r>
        <w:rPr>
          <w:rFonts w:ascii="Times New Roman" w:hAnsi="Times New Roman" w:eastAsia="Times New Roman"/>
          <w:b/>
          <w:i w:val="0"/>
          <w:sz w:val="22"/>
        </w:rPr>
        <w:t>AED sparsity and decay.</w:t>
      </w:r>
      <w:r>
        <w:rPr>
          <w:rFonts w:ascii="Times New Roman" w:hAnsi="Times New Roman" w:eastAsia="Times New Roman"/>
          <w:b w:val="0"/>
          <w:i w:val="0"/>
          <w:sz w:val="22"/>
        </w:rPr>
        <w:t xml:space="preserve"> Devices are installed but rarely maintained; approximately 22 % of public AEDs in audited Asian deployments were non-functional at the point of need [4].</w:t>
      </w:r>
    </w:p>
    <w:p>
      <w:pPr>
        <w:pStyle w:val="ListNumber"/>
      </w:pPr>
      <w:r>
        <w:rPr>
          <w:rFonts w:ascii="Times New Roman" w:hAnsi="Times New Roman" w:eastAsia="Times New Roman"/>
          <w:b/>
          <w:i w:val="0"/>
          <w:sz w:val="22"/>
        </w:rPr>
        <w:t>Low CPR certification.</w:t>
      </w:r>
      <w:r>
        <w:rPr>
          <w:rFonts w:ascii="Times New Roman" w:hAnsi="Times New Roman" w:eastAsia="Times New Roman"/>
          <w:b w:val="0"/>
          <w:i w:val="0"/>
          <w:sz w:val="22"/>
        </w:rPr>
        <w:t xml:space="preserve"> Self-reported certification among non-medical employees in Chinese and Korean manufacturing surveys is 8–14 % [5].</w:t>
      </w:r>
    </w:p>
    <w:p>
      <w:pPr>
        <w:pStyle w:val="ListNumber"/>
      </w:pPr>
      <w:r>
        <w:rPr>
          <w:rFonts w:ascii="Times New Roman" w:hAnsi="Times New Roman" w:eastAsia="Times New Roman"/>
          <w:b/>
          <w:i w:val="0"/>
          <w:sz w:val="22"/>
        </w:rPr>
        <w:t>Dispatch fragmentation.</w:t>
      </w:r>
      <w:r>
        <w:rPr>
          <w:rFonts w:ascii="Times New Roman" w:hAnsi="Times New Roman" w:eastAsia="Times New Roman"/>
          <w:b w:val="0"/>
          <w:i w:val="0"/>
          <w:sz w:val="22"/>
        </w:rPr>
        <w:t xml:space="preserve"> Plant infirmaries, trained volunteers, and 119/120 emergency centres operate on disconnected information channels.</w:t>
      </w:r>
    </w:p>
    <w:p>
      <w:pPr>
        <w:pStyle w:val="ListNumber"/>
      </w:pPr>
      <w:r>
        <w:rPr>
          <w:rFonts w:ascii="Times New Roman" w:hAnsi="Times New Roman" w:eastAsia="Times New Roman"/>
          <w:b/>
          <w:i w:val="0"/>
          <w:sz w:val="22"/>
        </w:rPr>
        <w:t>Linguistic friction.</w:t>
      </w:r>
      <w:r>
        <w:rPr>
          <w:rFonts w:ascii="Times New Roman" w:hAnsi="Times New Roman" w:eastAsia="Times New Roman"/>
          <w:b w:val="0"/>
          <w:i w:val="0"/>
          <w:sz w:val="22"/>
        </w:rPr>
        <w:t xml:space="preserve"> China–Korea joint-venture parks (e.g., Shandong; Pyeongtaek) lack production-grade bilingual safety interfaces.</w:t>
      </w:r>
    </w:p>
    <w:p/>
    <w:p>
      <w:r>
        <w:rPr>
          <w:rFonts w:ascii="Times New Roman" w:hAnsi="Times New Roman" w:eastAsia="Times New Roman"/>
          <w:b/>
          <w:color w:val="0F172A"/>
          <w:sz w:val="26"/>
        </w:rPr>
        <w:t>1.2 The digital-health × industrial-safety opportunity</w:t>
      </w:r>
    </w:p>
    <w:p/>
    <w:p>
      <w:r>
        <w:rPr>
          <w:rFonts w:ascii="Times New Roman" w:hAnsi="Times New Roman" w:eastAsia="Times New Roman"/>
          <w:b w:val="0"/>
          <w:i w:val="0"/>
          <w:sz w:val="22"/>
        </w:rPr>
        <w:t xml:space="preserve">The convergence of wearable biosensing, edge AI, and IoT-enabled defibrillation creates a tractable design space. The WHO </w:t>
      </w:r>
      <w:r>
        <w:rPr>
          <w:rFonts w:ascii="Times New Roman" w:hAnsi="Times New Roman" w:eastAsia="Times New Roman"/>
          <w:b w:val="0"/>
          <w:i/>
          <w:sz w:val="22"/>
        </w:rPr>
        <w:t>Global Strategy on Digital Health 2020–2025</w:t>
      </w:r>
      <w:r>
        <w:rPr>
          <w:rFonts w:ascii="Times New Roman" w:hAnsi="Times New Roman" w:eastAsia="Times New Roman"/>
          <w:b w:val="0"/>
          <w:i w:val="0"/>
          <w:sz w:val="22"/>
        </w:rPr>
        <w:t xml:space="preserve"> [6], the International Labour Organization </w:t>
      </w:r>
      <w:r>
        <w:rPr>
          <w:rFonts w:ascii="Times New Roman" w:hAnsi="Times New Roman" w:eastAsia="Times New Roman"/>
          <w:b w:val="0"/>
          <w:i/>
          <w:sz w:val="22"/>
        </w:rPr>
        <w:t>Vision Zero Fund</w:t>
      </w:r>
      <w:r>
        <w:rPr>
          <w:rFonts w:ascii="Times New Roman" w:hAnsi="Times New Roman" w:eastAsia="Times New Roman"/>
          <w:b w:val="0"/>
          <w:i w:val="0"/>
          <w:sz w:val="22"/>
        </w:rPr>
        <w:t xml:space="preserve"> programme [7], and the Republic of Korea's 5th </w:t>
      </w:r>
      <w:r>
        <w:rPr>
          <w:rFonts w:ascii="Times New Roman" w:hAnsi="Times New Roman" w:eastAsia="Times New Roman"/>
          <w:b w:val="0"/>
          <w:i/>
          <w:sz w:val="22"/>
        </w:rPr>
        <w:t>Comprehensive Plan for Industrial Accident Prevention</w:t>
      </w:r>
      <w:r>
        <w:rPr>
          <w:rFonts w:ascii="Times New Roman" w:hAnsi="Times New Roman" w:eastAsia="Times New Roman"/>
          <w:b w:val="0"/>
          <w:i w:val="0"/>
          <w:sz w:val="22"/>
        </w:rPr>
        <w:t xml:space="preserve"> (2023) [8] each prioritise digitalised workplace emergency capability.</w:t>
      </w:r>
    </w:p>
    <w:p/>
    <w:p>
      <w:r>
        <w:rPr>
          <w:rFonts w:ascii="Times New Roman" w:hAnsi="Times New Roman" w:eastAsia="Times New Roman"/>
          <w:b/>
          <w:color w:val="0F172A"/>
          <w:sz w:val="26"/>
        </w:rPr>
        <w:t>1.3 Existing approaches and gaps</w:t>
      </w:r>
    </w:p>
    <w:p/>
    <w:p>
      <w:r>
        <w:rPr>
          <w:rFonts w:ascii="Times New Roman" w:hAnsi="Times New Roman" w:eastAsia="Times New Roman"/>
          <w:b w:val="0"/>
          <w:i w:val="0"/>
          <w:sz w:val="22"/>
        </w:rPr>
        <w:t>Prior systems address fragments of the problem but not the whole chain (Table 1). AED geo-information services such as PulsePoint (United States) [12] and AED Map (Republic of Korea) [13] target public space and are not integrated with enterprise environment-health-and-safety (EHS) systems. Consumer wearable electrocardiography—e.g., Apple Watch [14]—lacks enterprise risk tiering. CPR e-learning (AHA HeartCode; KACPR e-Learning [11]) is disconnected from real-time dispatch. Standard 119/120 pre-hospital procedures do not provide parallel volunteer dispatch. No prior system integrates these primitives into a vertically closed loop with native bilingual delivery.</w:t>
      </w:r>
    </w:p>
    <w:p/>
    <w:p>
      <w:r>
        <w:rPr>
          <w:rFonts w:ascii="Times New Roman" w:hAnsi="Times New Roman" w:eastAsia="Times New Roman"/>
          <w:b/>
          <w:color w:val="0F172A"/>
          <w:sz w:val="26"/>
        </w:rPr>
        <w:t>1.4 Objectives and contributions</w:t>
      </w:r>
    </w:p>
    <w:p/>
    <w:p>
      <w:r>
        <w:rPr>
          <w:rFonts w:ascii="Times New Roman" w:hAnsi="Times New Roman" w:eastAsia="Times New Roman"/>
          <w:b w:val="0"/>
          <w:i w:val="0"/>
          <w:sz w:val="22"/>
        </w:rPr>
        <w:t>This study contributes:</w:t>
      </w:r>
    </w:p>
    <w:p/>
    <w:p>
      <w:pPr>
        <w:pStyle w:val="ListBullet"/>
      </w:pPr>
      <w:r>
        <w:rPr>
          <w:rFonts w:ascii="Times New Roman" w:hAnsi="Times New Roman" w:eastAsia="Times New Roman"/>
          <w:b w:val="0"/>
          <w:i w:val="0"/>
          <w:sz w:val="22"/>
        </w:rPr>
        <w:t xml:space="preserve">a fully bilingual (Chinese ↔ Korean), zero-dependency, accessibility-conforming web prototype targeting the Digital Health Competition </w:t>
      </w:r>
      <w:r>
        <w:rPr>
          <w:rFonts w:ascii="Times New Roman" w:hAnsi="Times New Roman" w:eastAsia="Times New Roman"/>
          <w:b w:val="0"/>
          <w:i/>
          <w:sz w:val="22"/>
        </w:rPr>
        <w:t>Industrial Safety</w:t>
      </w:r>
      <w:r>
        <w:rPr>
          <w:rFonts w:ascii="Times New Roman" w:hAnsi="Times New Roman" w:eastAsia="Times New Roman"/>
          <w:b w:val="0"/>
          <w:i w:val="0"/>
          <w:sz w:val="22"/>
        </w:rPr>
        <w:t xml:space="preserve"> theme;</w:t>
      </w:r>
    </w:p>
    <w:p>
      <w:pPr>
        <w:pStyle w:val="ListBullet"/>
      </w:pPr>
      <w:r>
        <w:rPr>
          <w:rFonts w:ascii="Times New Roman" w:hAnsi="Times New Roman" w:eastAsia="Times New Roman"/>
          <w:b w:val="0"/>
          <w:i w:val="0"/>
          <w:sz w:val="22"/>
        </w:rPr>
        <w:t>an integrated specification spanning monitoring, prediction, dispatch, training, and analytics, mapped against AHA 2025 [9], ERC 2021 [10], and KACPR 2025 [11];</w:t>
      </w:r>
    </w:p>
    <w:p>
      <w:pPr>
        <w:pStyle w:val="ListBullet"/>
      </w:pPr>
      <w:r>
        <w:rPr>
          <w:rFonts w:ascii="Times New Roman" w:hAnsi="Times New Roman" w:eastAsia="Times New Roman"/>
          <w:b w:val="0"/>
          <w:i w:val="0"/>
          <w:sz w:val="22"/>
        </w:rPr>
        <w:t>an evaluation by literature triangulation and scenario simulation quantifying expected survival, response-time, ROI, and Sustainable Development Goal (SDG) impacts;</w:t>
      </w:r>
    </w:p>
    <w:p>
      <w:pPr>
        <w:pStyle w:val="ListBullet"/>
      </w:pPr>
      <w:r>
        <w:rPr>
          <w:rFonts w:ascii="Times New Roman" w:hAnsi="Times New Roman" w:eastAsia="Times New Roman"/>
          <w:b w:val="0"/>
          <w:i w:val="0"/>
          <w:sz w:val="22"/>
        </w:rPr>
        <w:t>a reproducible open-source release (MIT) that reviewers and downstream researchers can clone, modify, and redeploy in minutes.</w:t>
      </w:r>
    </w:p>
    <w:p/>
    <w:p>
      <w:r>
        <w:br/>
      </w:r>
    </w:p>
    <w:p/>
    <w:p>
      <w:r>
        <w:rPr>
          <w:rFonts w:ascii="Times New Roman" w:hAnsi="Times New Roman" w:eastAsia="Times New Roman"/>
          <w:b/>
          <w:color w:val="DC2626"/>
          <w:sz w:val="32"/>
        </w:rPr>
        <w:t>2. Methods</w:t>
      </w:r>
    </w:p>
    <w:p/>
    <w:p>
      <w:r>
        <w:rPr>
          <w:rFonts w:ascii="Times New Roman" w:hAnsi="Times New Roman" w:eastAsia="Times New Roman"/>
          <w:b/>
          <w:color w:val="0F172A"/>
          <w:sz w:val="26"/>
        </w:rPr>
        <w:t>2.1 Design principles and requirements</w:t>
      </w:r>
    </w:p>
    <w:p/>
    <w:p>
      <w:r>
        <w:rPr>
          <w:rFonts w:ascii="Times New Roman" w:hAnsi="Times New Roman" w:eastAsia="Times New Roman"/>
          <w:b w:val="0"/>
          <w:i w:val="0"/>
          <w:sz w:val="22"/>
        </w:rPr>
        <w:t xml:space="preserve">The platform was specified around five principles: (i) </w:t>
      </w:r>
      <w:r>
        <w:rPr>
          <w:rFonts w:ascii="Times New Roman" w:hAnsi="Times New Roman" w:eastAsia="Times New Roman"/>
          <w:b/>
          <w:i w:val="0"/>
          <w:sz w:val="22"/>
        </w:rPr>
        <w:t>user-centred</w:t>
      </w:r>
      <w:r>
        <w:rPr>
          <w:rFonts w:ascii="Times New Roman" w:hAnsi="Times New Roman" w:eastAsia="Times New Roman"/>
          <w:b w:val="0"/>
          <w:i w:val="0"/>
          <w:sz w:val="22"/>
        </w:rPr>
        <w:t xml:space="preserve"> design for three role personas—EHS manager, on-site worker/volunteer, and regulator; (ii) </w:t>
      </w:r>
      <w:r>
        <w:rPr>
          <w:rFonts w:ascii="Times New Roman" w:hAnsi="Times New Roman" w:eastAsia="Times New Roman"/>
          <w:b/>
          <w:i w:val="0"/>
          <w:sz w:val="22"/>
        </w:rPr>
        <w:t>data-driven</w:t>
      </w:r>
      <w:r>
        <w:rPr>
          <w:rFonts w:ascii="Times New Roman" w:hAnsi="Times New Roman" w:eastAsia="Times New Roman"/>
          <w:b w:val="0"/>
          <w:i w:val="0"/>
          <w:sz w:val="22"/>
        </w:rPr>
        <w:t xml:space="preserve"> operation in which every metric is quantifiable, traceable, and exportable; (iii) </w:t>
      </w:r>
      <w:r>
        <w:rPr>
          <w:rFonts w:ascii="Times New Roman" w:hAnsi="Times New Roman" w:eastAsia="Times New Roman"/>
          <w:b/>
          <w:i w:val="0"/>
          <w:sz w:val="22"/>
        </w:rPr>
        <w:t>standards alignment</w:t>
      </w:r>
      <w:r>
        <w:rPr>
          <w:rFonts w:ascii="Times New Roman" w:hAnsi="Times New Roman" w:eastAsia="Times New Roman"/>
          <w:b w:val="0"/>
          <w:i w:val="0"/>
          <w:sz w:val="22"/>
        </w:rPr>
        <w:t xml:space="preserve"> with AHA 2025 ECC [9], ERC 2021 [10], KACPR 2025 [11], and ISO 45001:2018 [15]; (iv) </w:t>
      </w:r>
      <w:r>
        <w:rPr>
          <w:rFonts w:ascii="Times New Roman" w:hAnsi="Times New Roman" w:eastAsia="Times New Roman"/>
          <w:b/>
          <w:i w:val="0"/>
          <w:sz w:val="22"/>
        </w:rPr>
        <w:t>privacy by design</w:t>
      </w:r>
      <w:r>
        <w:rPr>
          <w:rFonts w:ascii="Times New Roman" w:hAnsi="Times New Roman" w:eastAsia="Times New Roman"/>
          <w:b w:val="0"/>
          <w:i w:val="0"/>
          <w:sz w:val="22"/>
        </w:rPr>
        <w:t xml:space="preserve">, with zero front-end persistence, client-side PDF generation, and enforceable HTTPS; and (v) </w:t>
      </w:r>
      <w:r>
        <w:rPr>
          <w:rFonts w:ascii="Times New Roman" w:hAnsi="Times New Roman" w:eastAsia="Times New Roman"/>
          <w:b/>
          <w:i w:val="0"/>
          <w:sz w:val="22"/>
        </w:rPr>
        <w:t>lightweight reachability</w:t>
      </w:r>
      <w:r>
        <w:rPr>
          <w:rFonts w:ascii="Times New Roman" w:hAnsi="Times New Roman" w:eastAsia="Times New Roman"/>
          <w:b w:val="0"/>
          <w:i w:val="0"/>
          <w:sz w:val="22"/>
        </w:rPr>
        <w:t xml:space="preserve"> via a static front end with an offline-capable demonstration core.</w:t>
      </w:r>
    </w:p>
    <w:p/>
    <w:p>
      <w:r>
        <w:rPr>
          <w:rFonts w:ascii="Times New Roman" w:hAnsi="Times New Roman" w:eastAsia="Times New Roman"/>
          <w:b/>
          <w:color w:val="0F172A"/>
          <w:sz w:val="26"/>
        </w:rPr>
        <w:t>2.2 Reference architecture</w:t>
      </w:r>
    </w:p>
    <w:p/>
    <w:p>
      <w:r>
        <w:rPr>
          <w:rFonts w:ascii="Times New Roman" w:hAnsi="Times New Roman" w:eastAsia="Times New Roman"/>
          <w:b w:val="0"/>
          <w:i w:val="0"/>
          <w:sz w:val="22"/>
        </w:rPr>
        <w:t>The platform is specified as five layers (Figure 1): a wearable layer (single-lead electrocardiogram [ECG], SpO₂, skin temperature); an edge layer (gateway and real-time arrhythmia identification); a service layer (gradient-boosting risk model with SHapley Additive exPlanations [SHAP] interpretability [17] and dispatch optimisation); an application layer (the bilingual web client materialised by this MVP); and a standards bridge (AHA/ERC/KACPR/ISO/HL7 FHIR). The competition prototype implements the application layer, with simulated data illustrating the full upstream value chain.</w:t>
      </w:r>
    </w:p>
    <w:p/>
    <w:p>
      <w:pPr>
        <w:ind w:left="283"/>
      </w:pPr>
      <w:r>
        <w:rPr>
          <w:rFonts w:ascii="Consolas" w:hAnsi="Consolas" w:eastAsia="Times New Roman"/>
          <w:sz w:val="19"/>
        </w:rPr>
        <w:t>┌─────────────────────────────────────────────────────────┐</w:t>
      </w:r>
    </w:p>
    <w:p>
      <w:pPr>
        <w:ind w:left="283"/>
      </w:pPr>
      <w:r>
        <w:rPr>
          <w:rFonts w:ascii="Consolas" w:hAnsi="Consolas" w:eastAsia="Times New Roman"/>
          <w:sz w:val="19"/>
        </w:rPr>
        <w:t>│ (1) Wearable layer:  ECG patch · SpO2 · skin temperature │</w:t>
      </w:r>
    </w:p>
    <w:p>
      <w:pPr>
        <w:ind w:left="283"/>
      </w:pPr>
      <w:r>
        <w:rPr>
          <w:rFonts w:ascii="Consolas" w:hAnsi="Consolas" w:eastAsia="Times New Roman"/>
          <w:sz w:val="19"/>
        </w:rPr>
        <w:t>├─────────────────────────────────────────────────────────┤</w:t>
      </w:r>
    </w:p>
    <w:p>
      <w:pPr>
        <w:ind w:left="283"/>
      </w:pPr>
      <w:r>
        <w:rPr>
          <w:rFonts w:ascii="Consolas" w:hAnsi="Consolas" w:eastAsia="Times New Roman"/>
          <w:sz w:val="19"/>
        </w:rPr>
        <w:t>│ (2) Edge layer:      gateway · real-time arrhythmia ID    │</w:t>
      </w:r>
    </w:p>
    <w:p>
      <w:pPr>
        <w:ind w:left="283"/>
      </w:pPr>
      <w:r>
        <w:rPr>
          <w:rFonts w:ascii="Consolas" w:hAnsi="Consolas" w:eastAsia="Times New Roman"/>
          <w:sz w:val="19"/>
        </w:rPr>
        <w:t>├─────────────────────────────────────────────────────────┤</w:t>
      </w:r>
    </w:p>
    <w:p>
      <w:pPr>
        <w:ind w:left="283"/>
      </w:pPr>
      <w:r>
        <w:rPr>
          <w:rFonts w:ascii="Consolas" w:hAnsi="Consolas" w:eastAsia="Times New Roman"/>
          <w:sz w:val="19"/>
        </w:rPr>
        <w:t>│ (3) Service layer:   gradient-boosting risk + SHAP        │</w:t>
      </w:r>
    </w:p>
    <w:p>
      <w:pPr>
        <w:ind w:left="283"/>
      </w:pPr>
      <w:r>
        <w:rPr>
          <w:rFonts w:ascii="Consolas" w:hAnsi="Consolas" w:eastAsia="Times New Roman"/>
          <w:sz w:val="19"/>
        </w:rPr>
        <w:t>├─────────────────────────────────────────────────────────┤</w:t>
      </w:r>
    </w:p>
    <w:p>
      <w:pPr>
        <w:ind w:left="283"/>
      </w:pPr>
      <w:r>
        <w:rPr>
          <w:rFonts w:ascii="Consolas" w:hAnsi="Consolas" w:eastAsia="Times New Roman"/>
          <w:sz w:val="19"/>
        </w:rPr>
        <w:t>│ (4) Application layer (this MVP): bilingual web · PDF     │</w:t>
      </w:r>
    </w:p>
    <w:p>
      <w:pPr>
        <w:ind w:left="283"/>
      </w:pPr>
      <w:r>
        <w:rPr>
          <w:rFonts w:ascii="Consolas" w:hAnsi="Consolas" w:eastAsia="Times New Roman"/>
          <w:sz w:val="19"/>
        </w:rPr>
        <w:t>├─────────────────────────────────────────────────────────┤</w:t>
      </w:r>
    </w:p>
    <w:p>
      <w:pPr>
        <w:ind w:left="283"/>
      </w:pPr>
      <w:r>
        <w:rPr>
          <w:rFonts w:ascii="Consolas" w:hAnsi="Consolas" w:eastAsia="Times New Roman"/>
          <w:sz w:val="19"/>
        </w:rPr>
        <w:t>│ (5) Standards bridge: AHA / ERC / KACPR / ISO / HL7 FHIR  │</w:t>
      </w:r>
    </w:p>
    <w:p>
      <w:pPr>
        <w:ind w:left="283"/>
      </w:pPr>
      <w:r>
        <w:rPr>
          <w:rFonts w:ascii="Consolas" w:hAnsi="Consolas" w:eastAsia="Times New Roman"/>
          <w:sz w:val="19"/>
        </w:rPr>
        <w:t>└─────────────────────────────────────────────────────────┘</w:t>
      </w:r>
    </w:p>
    <w:p/>
    <w:p>
      <w:r>
        <w:rPr>
          <w:rFonts w:ascii="Times New Roman" w:hAnsi="Times New Roman" w:eastAsia="Times New Roman"/>
          <w:b/>
          <w:i w:val="0"/>
          <w:sz w:val="22"/>
        </w:rPr>
        <w:t>Figure 1.</w:t>
      </w:r>
      <w:r>
        <w:rPr>
          <w:rFonts w:ascii="Times New Roman" w:hAnsi="Times New Roman" w:eastAsia="Times New Roman"/>
          <w:b w:val="0"/>
          <w:i w:val="0"/>
          <w:sz w:val="22"/>
        </w:rPr>
        <w:t xml:space="preserve"> Layered reference architecture. The minimum-viable prototype reported here implements layer (4); layers (1)–(3) and (5) are specified for downstream pilot deployment.</w:t>
      </w:r>
    </w:p>
    <w:p/>
    <w:p>
      <w:r>
        <w:rPr>
          <w:rFonts w:ascii="Times New Roman" w:hAnsi="Times New Roman" w:eastAsia="Times New Roman"/>
          <w:b/>
          <w:color w:val="0F172A"/>
          <w:sz w:val="26"/>
        </w:rPr>
        <w:t>2.3 Front-end implementation</w:t>
      </w:r>
    </w:p>
    <w:p/>
    <w:p>
      <w:r>
        <w:rPr>
          <w:rFonts w:ascii="Times New Roman" w:hAnsi="Times New Roman" w:eastAsia="Times New Roman"/>
          <w:b w:val="0"/>
          <w:i w:val="0"/>
          <w:sz w:val="22"/>
        </w:rPr>
        <w:t>The client was built with a zero-build, framework-free stack to maximise reproducibility and minimise page weight (Table 2). Data visualisation uses Chart.js 4.4; pan-CJK typography uses Noto Sans SC / Noto Sans KR / Inter.</w:t>
      </w:r>
    </w:p>
    <w:p/>
    <w:p>
      <w:r>
        <w:rPr>
          <w:rFonts w:ascii="Times New Roman" w:hAnsi="Times New Roman" w:eastAsia="Times New Roman"/>
          <w:b/>
          <w:color w:val="0F172A"/>
          <w:sz w:val="26"/>
        </w:rPr>
        <w:t>2.4 Internationalisation</w:t>
      </w:r>
    </w:p>
    <w:p/>
    <w:p>
      <w:r>
        <w:rPr>
          <w:rFonts w:ascii="Times New Roman" w:hAnsi="Times New Roman" w:eastAsia="Times New Roman"/>
          <w:b w:val="0"/>
          <w:i w:val="0"/>
          <w:sz w:val="22"/>
        </w:rPr>
        <w:t xml:space="preserve">A lightweight </w:t>
      </w:r>
      <w:r>
        <w:rPr>
          <w:rFonts w:ascii="Consolas" w:hAnsi="Consolas" w:eastAsia="Times New Roman"/>
          <w:b w:val="0"/>
          <w:i w:val="0"/>
          <w:sz w:val="22"/>
        </w:rPr>
        <w:t>data-i18n</w:t>
      </w:r>
      <w:r>
        <w:rPr>
          <w:rFonts w:ascii="Times New Roman" w:hAnsi="Times New Roman" w:eastAsia="Times New Roman"/>
          <w:b w:val="0"/>
          <w:i w:val="0"/>
          <w:sz w:val="22"/>
        </w:rPr>
        <w:t xml:space="preserve"> attribute mapping (~430 keys per locale) drives full user-interface translation between Simplified Chinese and Korean. The dictionary is colocated in </w:t>
      </w:r>
      <w:r>
        <w:rPr>
          <w:rFonts w:ascii="Consolas" w:hAnsi="Consolas" w:eastAsia="Times New Roman"/>
          <w:b w:val="0"/>
          <w:i w:val="0"/>
          <w:sz w:val="22"/>
        </w:rPr>
        <w:t>js/i18n.js</w:t>
      </w:r>
      <w:r>
        <w:rPr>
          <w:rFonts w:ascii="Times New Roman" w:hAnsi="Times New Roman" w:eastAsia="Times New Roman"/>
          <w:b w:val="0"/>
          <w:i w:val="0"/>
          <w:sz w:val="22"/>
        </w:rPr>
        <w:t xml:space="preserve">; language preference is persisted in </w:t>
      </w:r>
      <w:r>
        <w:rPr>
          <w:rFonts w:ascii="Consolas" w:hAnsi="Consolas" w:eastAsia="Times New Roman"/>
          <w:b w:val="0"/>
          <w:i w:val="0"/>
          <w:sz w:val="22"/>
        </w:rPr>
        <w:t>localStorage</w:t>
      </w:r>
      <w:r>
        <w:rPr>
          <w:rFonts w:ascii="Times New Roman" w:hAnsi="Times New Roman" w:eastAsia="Times New Roman"/>
          <w:b w:val="0"/>
          <w:i w:val="0"/>
          <w:sz w:val="22"/>
        </w:rPr>
        <w:t xml:space="preserve"> and re-applied on subsequent visits, and a URL parameter (</w:t>
      </w:r>
      <w:r>
        <w:rPr>
          <w:rFonts w:ascii="Consolas" w:hAnsi="Consolas" w:eastAsia="Times New Roman"/>
          <w:b w:val="0"/>
          <w:i w:val="0"/>
          <w:sz w:val="22"/>
        </w:rPr>
        <w:t>?lang=zh|ko</w:t>
      </w:r>
      <w:r>
        <w:rPr>
          <w:rFonts w:ascii="Times New Roman" w:hAnsi="Times New Roman" w:eastAsia="Times New Roman"/>
          <w:b w:val="0"/>
          <w:i w:val="0"/>
          <w:sz w:val="22"/>
        </w:rPr>
        <w:t>) allows deep-linking to a specific locale. Chart axis labels are re-bound on switch so that annotations match the active locale.</w:t>
      </w:r>
    </w:p>
    <w:p/>
    <w:p>
      <w:r>
        <w:rPr>
          <w:rFonts w:ascii="Times New Roman" w:hAnsi="Times New Roman" w:eastAsia="Times New Roman"/>
          <w:b/>
          <w:color w:val="0F172A"/>
          <w:sz w:val="26"/>
        </w:rPr>
        <w:t>2.5 Bilingual PDF generation</w:t>
      </w:r>
    </w:p>
    <w:p/>
    <w:p>
      <w:r>
        <w:rPr>
          <w:rFonts w:ascii="Times New Roman" w:hAnsi="Times New Roman" w:eastAsia="Times New Roman"/>
          <w:b w:val="0"/>
          <w:i w:val="0"/>
          <w:sz w:val="22"/>
        </w:rPr>
        <w:t>To eliminate the html2canvas blank-output failure mode observed on certain Chromium builds, the primary download pathway serves a pre-generated static PDF (</w:t>
      </w:r>
      <w:r>
        <w:rPr>
          <w:rFonts w:ascii="Consolas" w:hAnsi="Consolas" w:eastAsia="Times New Roman"/>
          <w:b w:val="0"/>
          <w:i w:val="0"/>
          <w:sz w:val="22"/>
        </w:rPr>
        <w:t>assets/CardioGuard_Industrial_KR.pdf</w:t>
      </w:r>
      <w:r>
        <w:rPr>
          <w:rFonts w:ascii="Times New Roman" w:hAnsi="Times New Roman" w:eastAsia="Times New Roman"/>
          <w:b w:val="0"/>
          <w:i w:val="0"/>
          <w:sz w:val="22"/>
        </w:rPr>
        <w:t xml:space="preserve">, 122 kB) built with the Python </w:t>
      </w:r>
      <w:r>
        <w:rPr>
          <w:rFonts w:ascii="Consolas" w:hAnsi="Consolas" w:eastAsia="Times New Roman"/>
          <w:b w:val="0"/>
          <w:i w:val="0"/>
          <w:sz w:val="22"/>
        </w:rPr>
        <w:t>fpdf2</w:t>
      </w:r>
      <w:r>
        <w:rPr>
          <w:rFonts w:ascii="Times New Roman" w:hAnsi="Times New Roman" w:eastAsia="Times New Roman"/>
          <w:b w:val="0"/>
          <w:i w:val="0"/>
          <w:sz w:val="22"/>
        </w:rPr>
        <w:t xml:space="preserve"> library and the Windows-bundled Malgun Gothic font, guaranteeing faithful Korean rendering independent of any browser canvas. If the static file is unreachable, the button falls back to client-side </w:t>
      </w:r>
      <w:r>
        <w:rPr>
          <w:rFonts w:ascii="Consolas" w:hAnsi="Consolas" w:eastAsia="Times New Roman"/>
          <w:b w:val="0"/>
          <w:i w:val="0"/>
          <w:sz w:val="22"/>
        </w:rPr>
        <w:t>html2pdf.js</w:t>
      </w:r>
      <w:r>
        <w:rPr>
          <w:rFonts w:ascii="Times New Roman" w:hAnsi="Times New Roman" w:eastAsia="Times New Roman"/>
          <w:b w:val="0"/>
          <w:i w:val="0"/>
          <w:sz w:val="22"/>
        </w:rPr>
        <w:t xml:space="preserve"> invoked with HTML-string input rather than a DOM-element reference, avoiding the off-screen-positioning bug. The exported PDF contains the four sections required by the competition rubric: (1) website design and development method; (2) principal functions; (3) expected effect and application value; and (4) supplementary notes.</w:t>
      </w:r>
    </w:p>
    <w:p/>
    <w:p>
      <w:r>
        <w:rPr>
          <w:rFonts w:ascii="Times New Roman" w:hAnsi="Times New Roman" w:eastAsia="Times New Roman"/>
          <w:b/>
          <w:color w:val="0F172A"/>
          <w:sz w:val="26"/>
        </w:rPr>
        <w:t>2.6 Evaluation approach</w:t>
      </w:r>
    </w:p>
    <w:p/>
    <w:p>
      <w:r>
        <w:rPr>
          <w:rFonts w:ascii="Times New Roman" w:hAnsi="Times New Roman" w:eastAsia="Times New Roman"/>
          <w:b w:val="0"/>
          <w:i w:val="0"/>
          <w:sz w:val="22"/>
        </w:rPr>
        <w:t xml:space="preserve">As a minimum-viable prototype, the platform was evaluated by </w:t>
      </w:r>
      <w:r>
        <w:rPr>
          <w:rFonts w:ascii="Times New Roman" w:hAnsi="Times New Roman" w:eastAsia="Times New Roman"/>
          <w:b/>
          <w:i w:val="0"/>
          <w:sz w:val="22"/>
        </w:rPr>
        <w:t>literature triangulation</w:t>
      </w:r>
      <w:r>
        <w:rPr>
          <w:rFonts w:ascii="Times New Roman" w:hAnsi="Times New Roman" w:eastAsia="Times New Roman"/>
          <w:b w:val="0"/>
          <w:i w:val="0"/>
          <w:sz w:val="22"/>
        </w:rPr>
        <w:t xml:space="preserve"> and </w:t>
      </w:r>
      <w:r>
        <w:rPr>
          <w:rFonts w:ascii="Times New Roman" w:hAnsi="Times New Roman" w:eastAsia="Times New Roman"/>
          <w:b/>
          <w:i w:val="0"/>
          <w:sz w:val="22"/>
        </w:rPr>
        <w:t>scenario simulation</w:t>
      </w:r>
      <w:r>
        <w:rPr>
          <w:rFonts w:ascii="Times New Roman" w:hAnsi="Times New Roman" w:eastAsia="Times New Roman"/>
          <w:b w:val="0"/>
          <w:i w:val="0"/>
          <w:sz w:val="22"/>
        </w:rPr>
        <w:t xml:space="preserve"> rather than primary data collection. Baselines were drawn from AHA 2025 [9], ERC 2021 [10], and KACPR 2025 [11]; the deployment scenario assumed a 10,000-worker mid-size industrial park. Chart.js dashboards illustrate before-versus-after deltas for the key operational and epidemiological indicators.</w:t>
      </w:r>
    </w:p>
    <w:p/>
    <w:p>
      <w:r>
        <w:br/>
      </w:r>
    </w:p>
    <w:p/>
    <w:p>
      <w:r>
        <w:rPr>
          <w:rFonts w:ascii="Times New Roman" w:hAnsi="Times New Roman" w:eastAsia="Times New Roman"/>
          <w:b/>
          <w:color w:val="DC2626"/>
          <w:sz w:val="32"/>
        </w:rPr>
        <w:t>3. Results</w:t>
      </w:r>
    </w:p>
    <w:p/>
    <w:p>
      <w:r>
        <w:rPr>
          <w:rFonts w:ascii="Times New Roman" w:hAnsi="Times New Roman" w:eastAsia="Times New Roman"/>
          <w:b/>
          <w:color w:val="0F172A"/>
          <w:sz w:val="26"/>
        </w:rPr>
        <w:t>3.1 Functional modules</w:t>
      </w:r>
    </w:p>
    <w:p/>
    <w:p>
      <w:r>
        <w:rPr>
          <w:rFonts w:ascii="Times New Roman" w:hAnsi="Times New Roman" w:eastAsia="Times New Roman"/>
          <w:b w:val="0"/>
          <w:i w:val="0"/>
          <w:sz w:val="22"/>
        </w:rPr>
        <w:t>The prototype implements six functional modules spanning the full emergency loop, each traceable to a clinical-guideline clause (Table 3).</w:t>
      </w:r>
    </w:p>
    <w:p/>
    <w:p>
      <w:r>
        <w:rPr>
          <w:rFonts w:ascii="Times New Roman" w:hAnsi="Times New Roman" w:eastAsia="Times New Roman"/>
          <w:b/>
          <w:color w:val="0F172A"/>
          <w:sz w:val="26"/>
        </w:rPr>
        <w:t>3.2 Projected clinical and operational impact</w:t>
      </w:r>
    </w:p>
    <w:p/>
    <w:p>
      <w:r>
        <w:rPr>
          <w:rFonts w:ascii="Times New Roman" w:hAnsi="Times New Roman" w:eastAsia="Times New Roman"/>
          <w:b w:val="0"/>
          <w:i w:val="0"/>
          <w:sz w:val="22"/>
        </w:rPr>
        <w:t>The scenario simulation projected substantial improvements across every modelled indicator (Table 4). The largest absolute gains were in 4-minute AED reachability (+53 percentage points) and OHCA discharge survival (+15 percentage points), with a modelled ROI &gt; 5 driven by avoidance of high-cost acute events at a 10,000-worker park.</w:t>
      </w:r>
    </w:p>
    <w:p/>
    <w:p>
      <w:r>
        <w:rPr>
          <w:rFonts w:ascii="Times New Roman" w:hAnsi="Times New Roman" w:eastAsia="Times New Roman"/>
          <w:b/>
          <w:color w:val="0F172A"/>
          <w:sz w:val="26"/>
        </w:rPr>
        <w:t>3.3 Alignment with the Sustainable Development Goals</w:t>
      </w:r>
    </w:p>
    <w:p/>
    <w:p>
      <w:r>
        <w:rPr>
          <w:rFonts w:ascii="Times New Roman" w:hAnsi="Times New Roman" w:eastAsia="Times New Roman"/>
          <w:b w:val="0"/>
          <w:i w:val="0"/>
          <w:sz w:val="22"/>
        </w:rPr>
        <w:t>The platform advances SDG 3.4 (reduction of premature non-communicable-disease mortality), SDG 8 (decent work and protection of industrial workers' lives), and SDG 17 (cross-border partnership, advanced here by native bilingual delivery).</w:t>
      </w:r>
    </w:p>
    <w:p/>
    <w:p>
      <w:r>
        <w:rPr>
          <w:rFonts w:ascii="Times New Roman" w:hAnsi="Times New Roman" w:eastAsia="Times New Roman"/>
          <w:b/>
          <w:i w:val="0"/>
          <w:sz w:val="22"/>
        </w:rPr>
        <w:t>Table 1.</w:t>
      </w:r>
      <w:r>
        <w:rPr>
          <w:rFonts w:ascii="Times New Roman" w:hAnsi="Times New Roman" w:eastAsia="Times New Roman"/>
          <w:b w:val="0"/>
          <w:i w:val="0"/>
          <w:sz w:val="22"/>
        </w:rPr>
        <w:t xml:space="preserve"> Representative prior systems and their limitations relative to a closed industrial cardiac-emergency loop.</w:t>
      </w:r>
    </w:p>
    <w:p/>
    <w:tbl>
      <w:tblPr>
        <w:tblStyle w:val="LightGrid-Accent1"/>
        <w:tblW w:type="auto" w:w="0"/>
        <w:tblLook w:firstColumn="1" w:firstRow="1" w:lastColumn="0" w:lastRow="0" w:noHBand="0" w:noVBand="1" w:val="04A0"/>
      </w:tblPr>
      <w:tblGrid>
        <w:gridCol w:w="3249"/>
        <w:gridCol w:w="3249"/>
        <w:gridCol w:w="3249"/>
      </w:tblGrid>
      <w:tr>
        <w:tc>
          <w:tcPr>
            <w:tcW w:type="dxa" w:w="3249"/>
          </w:tcPr>
          <w:p>
            <w:r>
              <w:rPr>
                <w:rFonts w:ascii="Times New Roman" w:hAnsi="Times New Roman" w:eastAsia="Times New Roman"/>
                <w:b/>
                <w:sz w:val="20"/>
              </w:rPr>
              <w:t>Category</w:t>
            </w:r>
          </w:p>
        </w:tc>
        <w:tc>
          <w:tcPr>
            <w:tcW w:type="dxa" w:w="3249"/>
          </w:tcPr>
          <w:p>
            <w:r>
              <w:rPr>
                <w:rFonts w:ascii="Times New Roman" w:hAnsi="Times New Roman" w:eastAsia="Times New Roman"/>
                <w:b/>
                <w:sz w:val="20"/>
              </w:rPr>
              <w:t>Representative system</w:t>
            </w:r>
          </w:p>
        </w:tc>
        <w:tc>
          <w:tcPr>
            <w:tcW w:type="dxa" w:w="3249"/>
          </w:tcPr>
          <w:p>
            <w:r>
              <w:rPr>
                <w:rFonts w:ascii="Times New Roman" w:hAnsi="Times New Roman" w:eastAsia="Times New Roman"/>
                <w:b/>
                <w:sz w:val="20"/>
              </w:rPr>
              <w:t>Limitation</w:t>
            </w:r>
          </w:p>
        </w:tc>
      </w:tr>
      <w:tr>
        <w:tc>
          <w:tcPr>
            <w:tcW w:type="dxa" w:w="3249"/>
          </w:tcPr>
          <w:p>
            <w:r>
              <w:rPr>
                <w:rFonts w:ascii="Times New Roman" w:hAnsi="Times New Roman" w:eastAsia="Times New Roman"/>
                <w:b w:val="0"/>
                <w:i w:val="0"/>
                <w:sz w:val="20"/>
              </w:rPr>
              <w:t>AED geo-information</w:t>
            </w:r>
          </w:p>
        </w:tc>
        <w:tc>
          <w:tcPr>
            <w:tcW w:type="dxa" w:w="3249"/>
          </w:tcPr>
          <w:p>
            <w:r>
              <w:rPr>
                <w:rFonts w:ascii="Times New Roman" w:hAnsi="Times New Roman" w:eastAsia="Times New Roman"/>
                <w:b w:val="0"/>
                <w:i w:val="0"/>
                <w:sz w:val="20"/>
              </w:rPr>
              <w:t>PulsePoint (US) [12]; AED Map (KR) [13]</w:t>
            </w:r>
          </w:p>
        </w:tc>
        <w:tc>
          <w:tcPr>
            <w:tcW w:type="dxa" w:w="3249"/>
          </w:tcPr>
          <w:p>
            <w:r>
              <w:rPr>
                <w:rFonts w:ascii="Times New Roman" w:hAnsi="Times New Roman" w:eastAsia="Times New Roman"/>
                <w:b w:val="0"/>
                <w:i w:val="0"/>
                <w:sz w:val="20"/>
              </w:rPr>
              <w:t>Public-space focus; no EHS integration</w:t>
            </w:r>
          </w:p>
        </w:tc>
      </w:tr>
      <w:tr>
        <w:tc>
          <w:tcPr>
            <w:tcW w:type="dxa" w:w="3249"/>
          </w:tcPr>
          <w:p>
            <w:r>
              <w:rPr>
                <w:rFonts w:ascii="Times New Roman" w:hAnsi="Times New Roman" w:eastAsia="Times New Roman"/>
                <w:b w:val="0"/>
                <w:i w:val="0"/>
                <w:sz w:val="20"/>
              </w:rPr>
              <w:t>Wearable ECG monitoring</w:t>
            </w:r>
          </w:p>
        </w:tc>
        <w:tc>
          <w:tcPr>
            <w:tcW w:type="dxa" w:w="3249"/>
          </w:tcPr>
          <w:p>
            <w:r>
              <w:rPr>
                <w:rFonts w:ascii="Times New Roman" w:hAnsi="Times New Roman" w:eastAsia="Times New Roman"/>
                <w:b w:val="0"/>
                <w:i w:val="0"/>
                <w:sz w:val="20"/>
              </w:rPr>
              <w:t>Apple Watch ECG [14]; Huawei Watch GT</w:t>
            </w:r>
          </w:p>
        </w:tc>
        <w:tc>
          <w:tcPr>
            <w:tcW w:type="dxa" w:w="3249"/>
          </w:tcPr>
          <w:p>
            <w:r>
              <w:rPr>
                <w:rFonts w:ascii="Times New Roman" w:hAnsi="Times New Roman" w:eastAsia="Times New Roman"/>
                <w:b w:val="0"/>
                <w:i w:val="0"/>
                <w:sz w:val="20"/>
              </w:rPr>
              <w:t>Consumer focus; no enterprise risk tiering</w:t>
            </w:r>
          </w:p>
        </w:tc>
      </w:tr>
      <w:tr>
        <w:tc>
          <w:tcPr>
            <w:tcW w:type="dxa" w:w="3249"/>
          </w:tcPr>
          <w:p>
            <w:r>
              <w:rPr>
                <w:rFonts w:ascii="Times New Roman" w:hAnsi="Times New Roman" w:eastAsia="Times New Roman"/>
                <w:b w:val="0"/>
                <w:i w:val="0"/>
                <w:sz w:val="20"/>
              </w:rPr>
              <w:t>CPR e-learning</w:t>
            </w:r>
          </w:p>
        </w:tc>
        <w:tc>
          <w:tcPr>
            <w:tcW w:type="dxa" w:w="3249"/>
          </w:tcPr>
          <w:p>
            <w:r>
              <w:rPr>
                <w:rFonts w:ascii="Times New Roman" w:hAnsi="Times New Roman" w:eastAsia="Times New Roman"/>
                <w:b w:val="0"/>
                <w:i w:val="0"/>
                <w:sz w:val="20"/>
              </w:rPr>
              <w:t>AHA HeartCode; KACPR e-Learning [11]</w:t>
            </w:r>
          </w:p>
        </w:tc>
        <w:tc>
          <w:tcPr>
            <w:tcW w:type="dxa" w:w="3249"/>
          </w:tcPr>
          <w:p>
            <w:r>
              <w:rPr>
                <w:rFonts w:ascii="Times New Roman" w:hAnsi="Times New Roman" w:eastAsia="Times New Roman"/>
                <w:b w:val="0"/>
                <w:i w:val="0"/>
                <w:sz w:val="20"/>
              </w:rPr>
              <w:t>Disconnected from real-time dispatch</w:t>
            </w:r>
          </w:p>
        </w:tc>
      </w:tr>
      <w:tr>
        <w:tc>
          <w:tcPr>
            <w:tcW w:type="dxa" w:w="3249"/>
          </w:tcPr>
          <w:p>
            <w:r>
              <w:rPr>
                <w:rFonts w:ascii="Times New Roman" w:hAnsi="Times New Roman" w:eastAsia="Times New Roman"/>
                <w:b w:val="0"/>
                <w:i w:val="0"/>
                <w:sz w:val="20"/>
              </w:rPr>
              <w:t>Pre-hospital dispatch</w:t>
            </w:r>
          </w:p>
        </w:tc>
        <w:tc>
          <w:tcPr>
            <w:tcW w:type="dxa" w:w="3249"/>
          </w:tcPr>
          <w:p>
            <w:r>
              <w:rPr>
                <w:rFonts w:ascii="Times New Roman" w:hAnsi="Times New Roman" w:eastAsia="Times New Roman"/>
                <w:b w:val="0"/>
                <w:i w:val="0"/>
                <w:sz w:val="20"/>
              </w:rPr>
              <w:t>119 / 120 standard procedures</w:t>
            </w:r>
          </w:p>
        </w:tc>
        <w:tc>
          <w:tcPr>
            <w:tcW w:type="dxa" w:w="3249"/>
          </w:tcPr>
          <w:p>
            <w:r>
              <w:rPr>
                <w:rFonts w:ascii="Times New Roman" w:hAnsi="Times New Roman" w:eastAsia="Times New Roman"/>
                <w:b w:val="0"/>
                <w:i w:val="0"/>
                <w:sz w:val="20"/>
              </w:rPr>
              <w:t>No parallel volunteer dispatch</w:t>
            </w:r>
          </w:p>
        </w:tc>
      </w:tr>
    </w:tbl>
    <w:p/>
    <w:p/>
    <w:p>
      <w:r>
        <w:rPr>
          <w:rFonts w:ascii="Times New Roman" w:hAnsi="Times New Roman" w:eastAsia="Times New Roman"/>
          <w:b/>
          <w:i w:val="0"/>
          <w:sz w:val="22"/>
        </w:rPr>
        <w:t>Table 2.</w:t>
      </w:r>
      <w:r>
        <w:rPr>
          <w:rFonts w:ascii="Times New Roman" w:hAnsi="Times New Roman" w:eastAsia="Times New Roman"/>
          <w:b w:val="0"/>
          <w:i w:val="0"/>
          <w:sz w:val="22"/>
        </w:rPr>
        <w:t xml:space="preserve"> Front-end implementation stack and rationale.</w:t>
      </w:r>
    </w:p>
    <w:p/>
    <w:tbl>
      <w:tblPr>
        <w:tblStyle w:val="LightGrid-Accent1"/>
        <w:tblW w:type="auto" w:w="0"/>
        <w:tblLook w:firstColumn="1" w:firstRow="1" w:lastColumn="0" w:lastRow="0" w:noHBand="0" w:noVBand="1" w:val="04A0"/>
      </w:tblPr>
      <w:tblGrid>
        <w:gridCol w:w="3249"/>
        <w:gridCol w:w="3249"/>
        <w:gridCol w:w="3249"/>
      </w:tblGrid>
      <w:tr>
        <w:tc>
          <w:tcPr>
            <w:tcW w:type="dxa" w:w="3249"/>
          </w:tcPr>
          <w:p>
            <w:r>
              <w:rPr>
                <w:rFonts w:ascii="Times New Roman" w:hAnsi="Times New Roman" w:eastAsia="Times New Roman"/>
                <w:b/>
                <w:sz w:val="20"/>
              </w:rPr>
              <w:t>Concern</w:t>
            </w:r>
          </w:p>
        </w:tc>
        <w:tc>
          <w:tcPr>
            <w:tcW w:type="dxa" w:w="3249"/>
          </w:tcPr>
          <w:p>
            <w:r>
              <w:rPr>
                <w:rFonts w:ascii="Times New Roman" w:hAnsi="Times New Roman" w:eastAsia="Times New Roman"/>
                <w:b/>
                <w:sz w:val="20"/>
              </w:rPr>
              <w:t>Technology</w:t>
            </w:r>
          </w:p>
        </w:tc>
        <w:tc>
          <w:tcPr>
            <w:tcW w:type="dxa" w:w="3249"/>
          </w:tcPr>
          <w:p>
            <w:r>
              <w:rPr>
                <w:rFonts w:ascii="Times New Roman" w:hAnsi="Times New Roman" w:eastAsia="Times New Roman"/>
                <w:b/>
                <w:sz w:val="20"/>
              </w:rPr>
              <w:t>Rationale</w:t>
            </w:r>
          </w:p>
        </w:tc>
      </w:tr>
      <w:tr>
        <w:tc>
          <w:tcPr>
            <w:tcW w:type="dxa" w:w="3249"/>
          </w:tcPr>
          <w:p>
            <w:r>
              <w:rPr>
                <w:rFonts w:ascii="Times New Roman" w:hAnsi="Times New Roman" w:eastAsia="Times New Roman"/>
                <w:b w:val="0"/>
                <w:i w:val="0"/>
                <w:sz w:val="20"/>
              </w:rPr>
              <w:t>Markup</w:t>
            </w:r>
          </w:p>
        </w:tc>
        <w:tc>
          <w:tcPr>
            <w:tcW w:type="dxa" w:w="3249"/>
          </w:tcPr>
          <w:p>
            <w:r>
              <w:rPr>
                <w:rFonts w:ascii="Times New Roman" w:hAnsi="Times New Roman" w:eastAsia="Times New Roman"/>
                <w:b w:val="0"/>
                <w:i w:val="0"/>
                <w:sz w:val="20"/>
              </w:rPr>
              <w:t>HTML5 with WAI-ARIA landmarks</w:t>
            </w:r>
          </w:p>
        </w:tc>
        <w:tc>
          <w:tcPr>
            <w:tcW w:type="dxa" w:w="3249"/>
          </w:tcPr>
          <w:p>
            <w:r>
              <w:rPr>
                <w:rFonts w:ascii="Times New Roman" w:hAnsi="Times New Roman" w:eastAsia="Times New Roman"/>
                <w:b w:val="0"/>
                <w:i w:val="0"/>
                <w:sz w:val="20"/>
              </w:rPr>
              <w:t>Accessibility and search-engine optimisation</w:t>
            </w:r>
          </w:p>
        </w:tc>
      </w:tr>
      <w:tr>
        <w:tc>
          <w:tcPr>
            <w:tcW w:type="dxa" w:w="3249"/>
          </w:tcPr>
          <w:p>
            <w:r>
              <w:rPr>
                <w:rFonts w:ascii="Times New Roman" w:hAnsi="Times New Roman" w:eastAsia="Times New Roman"/>
                <w:b w:val="0"/>
                <w:i w:val="0"/>
                <w:sz w:val="20"/>
              </w:rPr>
              <w:t>Style</w:t>
            </w:r>
          </w:p>
        </w:tc>
        <w:tc>
          <w:tcPr>
            <w:tcW w:type="dxa" w:w="3249"/>
          </w:tcPr>
          <w:p>
            <w:r>
              <w:rPr>
                <w:rFonts w:ascii="Times New Roman" w:hAnsi="Times New Roman" w:eastAsia="Times New Roman"/>
                <w:b w:val="0"/>
                <w:i w:val="0"/>
                <w:sz w:val="20"/>
              </w:rPr>
              <w:t>CSS3 (custom properties, Grid, glass-morphism)</w:t>
            </w:r>
          </w:p>
        </w:tc>
        <w:tc>
          <w:tcPr>
            <w:tcW w:type="dxa" w:w="3249"/>
          </w:tcPr>
          <w:p>
            <w:r>
              <w:rPr>
                <w:rFonts w:ascii="Times New Roman" w:hAnsi="Times New Roman" w:eastAsia="Times New Roman"/>
                <w:b w:val="0"/>
                <w:i w:val="0"/>
                <w:sz w:val="20"/>
              </w:rPr>
              <w:t>Zero build; modern aesthetics</w:t>
            </w:r>
          </w:p>
        </w:tc>
      </w:tr>
      <w:tr>
        <w:tc>
          <w:tcPr>
            <w:tcW w:type="dxa" w:w="3249"/>
          </w:tcPr>
          <w:p>
            <w:r>
              <w:rPr>
                <w:rFonts w:ascii="Times New Roman" w:hAnsi="Times New Roman" w:eastAsia="Times New Roman"/>
                <w:b w:val="0"/>
                <w:i w:val="0"/>
                <w:sz w:val="20"/>
              </w:rPr>
              <w:t>Logic</w:t>
            </w:r>
          </w:p>
        </w:tc>
        <w:tc>
          <w:tcPr>
            <w:tcW w:type="dxa" w:w="3249"/>
          </w:tcPr>
          <w:p>
            <w:r>
              <w:rPr>
                <w:rFonts w:ascii="Times New Roman" w:hAnsi="Times New Roman" w:eastAsia="Times New Roman"/>
                <w:b w:val="0"/>
                <w:i w:val="0"/>
                <w:sz w:val="20"/>
              </w:rPr>
              <w:t>Vanilla JavaScript (ES6+)</w:t>
            </w:r>
          </w:p>
        </w:tc>
        <w:tc>
          <w:tcPr>
            <w:tcW w:type="dxa" w:w="3249"/>
          </w:tcPr>
          <w:p>
            <w:r>
              <w:rPr>
                <w:rFonts w:ascii="Times New Roman" w:hAnsi="Times New Roman" w:eastAsia="Times New Roman"/>
                <w:b w:val="0"/>
                <w:i w:val="0"/>
                <w:sz w:val="20"/>
              </w:rPr>
              <w:t>Framework-free, &lt; 10 kB runtime</w:t>
            </w:r>
          </w:p>
        </w:tc>
      </w:tr>
      <w:tr>
        <w:tc>
          <w:tcPr>
            <w:tcW w:type="dxa" w:w="3249"/>
          </w:tcPr>
          <w:p>
            <w:r>
              <w:rPr>
                <w:rFonts w:ascii="Times New Roman" w:hAnsi="Times New Roman" w:eastAsia="Times New Roman"/>
                <w:b w:val="0"/>
                <w:i w:val="0"/>
                <w:sz w:val="20"/>
              </w:rPr>
              <w:t>Visualisation</w:t>
            </w:r>
          </w:p>
        </w:tc>
        <w:tc>
          <w:tcPr>
            <w:tcW w:type="dxa" w:w="3249"/>
          </w:tcPr>
          <w:p>
            <w:r>
              <w:rPr>
                <w:rFonts w:ascii="Times New Roman" w:hAnsi="Times New Roman" w:eastAsia="Times New Roman"/>
                <w:b w:val="0"/>
                <w:i w:val="0"/>
                <w:sz w:val="20"/>
              </w:rPr>
              <w:t>Chart.js 4.4 (CDN)</w:t>
            </w:r>
          </w:p>
        </w:tc>
        <w:tc>
          <w:tcPr>
            <w:tcW w:type="dxa" w:w="3249"/>
          </w:tcPr>
          <w:p>
            <w:r>
              <w:rPr>
                <w:rFonts w:ascii="Times New Roman" w:hAnsi="Times New Roman" w:eastAsia="Times New Roman"/>
                <w:b w:val="0"/>
                <w:i w:val="0"/>
                <w:sz w:val="20"/>
              </w:rPr>
              <w:t>Mature, low-overhead, accessible canvas</w:t>
            </w:r>
          </w:p>
        </w:tc>
      </w:tr>
      <w:tr>
        <w:tc>
          <w:tcPr>
            <w:tcW w:type="dxa" w:w="3249"/>
          </w:tcPr>
          <w:p>
            <w:r>
              <w:rPr>
                <w:rFonts w:ascii="Times New Roman" w:hAnsi="Times New Roman" w:eastAsia="Times New Roman"/>
                <w:b w:val="0"/>
                <w:i w:val="0"/>
                <w:sz w:val="20"/>
              </w:rPr>
              <w:t>PDF export (primary)</w:t>
            </w:r>
          </w:p>
        </w:tc>
        <w:tc>
          <w:tcPr>
            <w:tcW w:type="dxa" w:w="3249"/>
          </w:tcPr>
          <w:p>
            <w:r>
              <w:rPr>
                <w:rFonts w:ascii="Times New Roman" w:hAnsi="Times New Roman" w:eastAsia="Times New Roman"/>
                <w:b w:val="0"/>
                <w:i w:val="0"/>
                <w:sz w:val="20"/>
              </w:rPr>
              <w:t xml:space="preserve">Pre-generated via Python </w:t>
            </w:r>
            <w:r>
              <w:rPr>
                <w:rFonts w:ascii="Consolas" w:hAnsi="Consolas" w:eastAsia="Times New Roman"/>
                <w:b w:val="0"/>
                <w:i w:val="0"/>
                <w:sz w:val="20"/>
              </w:rPr>
              <w:t>fpdf2</w:t>
            </w:r>
            <w:r>
              <w:rPr>
                <w:rFonts w:ascii="Times New Roman" w:hAnsi="Times New Roman" w:eastAsia="Times New Roman"/>
                <w:b w:val="0"/>
                <w:i w:val="0"/>
                <w:sz w:val="20"/>
              </w:rPr>
              <w:t xml:space="preserve"> + Malgun Gothic</w:t>
            </w:r>
          </w:p>
        </w:tc>
        <w:tc>
          <w:tcPr>
            <w:tcW w:type="dxa" w:w="3249"/>
          </w:tcPr>
          <w:p>
            <w:r>
              <w:rPr>
                <w:rFonts w:ascii="Times New Roman" w:hAnsi="Times New Roman" w:eastAsia="Times New Roman"/>
                <w:b w:val="0"/>
                <w:i w:val="0"/>
                <w:sz w:val="20"/>
              </w:rPr>
              <w:t>Reliable Korean rendering</w:t>
            </w:r>
          </w:p>
        </w:tc>
      </w:tr>
      <w:tr>
        <w:tc>
          <w:tcPr>
            <w:tcW w:type="dxa" w:w="3249"/>
          </w:tcPr>
          <w:p>
            <w:r>
              <w:rPr>
                <w:rFonts w:ascii="Times New Roman" w:hAnsi="Times New Roman" w:eastAsia="Times New Roman"/>
                <w:b w:val="0"/>
                <w:i w:val="0"/>
                <w:sz w:val="20"/>
              </w:rPr>
              <w:t>PDF export (fallback)</w:t>
            </w:r>
          </w:p>
        </w:tc>
        <w:tc>
          <w:tcPr>
            <w:tcW w:type="dxa" w:w="3249"/>
          </w:tcPr>
          <w:p>
            <w:r>
              <w:rPr>
                <w:rFonts w:ascii="Times New Roman" w:hAnsi="Times New Roman" w:eastAsia="Times New Roman"/>
                <w:b w:val="0"/>
                <w:i w:val="0"/>
                <w:sz w:val="20"/>
              </w:rPr>
              <w:t>html2pdf.js 0.10 (HTML-string mode)</w:t>
            </w:r>
          </w:p>
        </w:tc>
        <w:tc>
          <w:tcPr>
            <w:tcW w:type="dxa" w:w="3249"/>
          </w:tcPr>
          <w:p>
            <w:r>
              <w:rPr>
                <w:rFonts w:ascii="Times New Roman" w:hAnsi="Times New Roman" w:eastAsia="Times New Roman"/>
                <w:b w:val="0"/>
                <w:i w:val="0"/>
                <w:sz w:val="20"/>
              </w:rPr>
              <w:t>Offline / static-host parity</w:t>
            </w:r>
          </w:p>
        </w:tc>
      </w:tr>
      <w:tr>
        <w:tc>
          <w:tcPr>
            <w:tcW w:type="dxa" w:w="3249"/>
          </w:tcPr>
          <w:p>
            <w:r>
              <w:rPr>
                <w:rFonts w:ascii="Times New Roman" w:hAnsi="Times New Roman" w:eastAsia="Times New Roman"/>
                <w:b w:val="0"/>
                <w:i w:val="0"/>
                <w:sz w:val="20"/>
              </w:rPr>
              <w:t>Typography</w:t>
            </w:r>
          </w:p>
        </w:tc>
        <w:tc>
          <w:tcPr>
            <w:tcW w:type="dxa" w:w="3249"/>
          </w:tcPr>
          <w:p>
            <w:r>
              <w:rPr>
                <w:rFonts w:ascii="Times New Roman" w:hAnsi="Times New Roman" w:eastAsia="Times New Roman"/>
                <w:b w:val="0"/>
                <w:i w:val="0"/>
                <w:sz w:val="20"/>
              </w:rPr>
              <w:t>Noto Sans SC / Noto Sans KR / Inter</w:t>
            </w:r>
          </w:p>
        </w:tc>
        <w:tc>
          <w:tcPr>
            <w:tcW w:type="dxa" w:w="3249"/>
          </w:tcPr>
          <w:p>
            <w:r>
              <w:rPr>
                <w:rFonts w:ascii="Times New Roman" w:hAnsi="Times New Roman" w:eastAsia="Times New Roman"/>
                <w:b w:val="0"/>
                <w:i w:val="0"/>
                <w:sz w:val="20"/>
              </w:rPr>
              <w:t>Pan-CJK consistency</w:t>
            </w:r>
          </w:p>
        </w:tc>
      </w:tr>
    </w:tbl>
    <w:p/>
    <w:p/>
    <w:p>
      <w:r>
        <w:rPr>
          <w:rFonts w:ascii="Times New Roman" w:hAnsi="Times New Roman" w:eastAsia="Times New Roman"/>
          <w:b/>
          <w:i w:val="0"/>
          <w:sz w:val="22"/>
        </w:rPr>
        <w:t>Table 3.</w:t>
      </w:r>
      <w:r>
        <w:rPr>
          <w:rFonts w:ascii="Times New Roman" w:hAnsi="Times New Roman" w:eastAsia="Times New Roman"/>
          <w:b w:val="0"/>
          <w:i w:val="0"/>
          <w:sz w:val="22"/>
        </w:rPr>
        <w:t xml:space="preserve"> Functional modules and guideline provenance.</w:t>
      </w:r>
    </w:p>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Pr>
                <w:rFonts w:ascii="Times New Roman" w:hAnsi="Times New Roman" w:eastAsia="Times New Roman"/>
                <w:b/>
                <w:sz w:val="20"/>
              </w:rPr>
              <w:t>#</w:t>
            </w:r>
          </w:p>
        </w:tc>
        <w:tc>
          <w:tcPr>
            <w:tcW w:type="dxa" w:w="2436"/>
          </w:tcPr>
          <w:p>
            <w:r>
              <w:rPr>
                <w:rFonts w:ascii="Times New Roman" w:hAnsi="Times New Roman" w:eastAsia="Times New Roman"/>
                <w:b/>
                <w:sz w:val="20"/>
              </w:rPr>
              <w:t>Module</w:t>
            </w:r>
          </w:p>
        </w:tc>
        <w:tc>
          <w:tcPr>
            <w:tcW w:type="dxa" w:w="2436"/>
          </w:tcPr>
          <w:p>
            <w:r>
              <w:rPr>
                <w:rFonts w:ascii="Times New Roman" w:hAnsi="Times New Roman" w:eastAsia="Times New Roman"/>
                <w:b/>
                <w:sz w:val="20"/>
              </w:rPr>
              <w:t>Capability</w:t>
            </w:r>
          </w:p>
        </w:tc>
        <w:tc>
          <w:tcPr>
            <w:tcW w:type="dxa" w:w="2436"/>
          </w:tcPr>
          <w:p>
            <w:r>
              <w:rPr>
                <w:rFonts w:ascii="Times New Roman" w:hAnsi="Times New Roman" w:eastAsia="Times New Roman"/>
                <w:b/>
                <w:sz w:val="20"/>
              </w:rPr>
              <w:t>Guideline reference</w:t>
            </w:r>
          </w:p>
        </w:tc>
      </w:tr>
      <w:tr>
        <w:tc>
          <w:tcPr>
            <w:tcW w:type="dxa" w:w="2436"/>
          </w:tcPr>
          <w:p>
            <w:r>
              <w:rPr>
                <w:rFonts w:ascii="Times New Roman" w:hAnsi="Times New Roman" w:eastAsia="Times New Roman"/>
                <w:b w:val="0"/>
                <w:i w:val="0"/>
                <w:sz w:val="20"/>
              </w:rPr>
              <w:t>1</w:t>
            </w:r>
          </w:p>
        </w:tc>
        <w:tc>
          <w:tcPr>
            <w:tcW w:type="dxa" w:w="2436"/>
          </w:tcPr>
          <w:p>
            <w:r>
              <w:rPr>
                <w:rFonts w:ascii="Times New Roman" w:hAnsi="Times New Roman" w:eastAsia="Times New Roman"/>
                <w:b w:val="0"/>
                <w:i w:val="0"/>
                <w:sz w:val="20"/>
              </w:rPr>
              <w:t>Real-time physiological monitoring</w:t>
            </w:r>
          </w:p>
        </w:tc>
        <w:tc>
          <w:tcPr>
            <w:tcW w:type="dxa" w:w="2436"/>
          </w:tcPr>
          <w:p>
            <w:r>
              <w:rPr>
                <w:rFonts w:ascii="Times New Roman" w:hAnsi="Times New Roman" w:eastAsia="Times New Roman"/>
                <w:b w:val="0"/>
                <w:i w:val="0"/>
                <w:sz w:val="20"/>
              </w:rPr>
              <w:t>Single-lead ECG, SpO₂, body temperature; AI arrhythmia detection</w:t>
            </w:r>
          </w:p>
        </w:tc>
        <w:tc>
          <w:tcPr>
            <w:tcW w:type="dxa" w:w="2436"/>
          </w:tcPr>
          <w:p>
            <w:r>
              <w:rPr>
                <w:rFonts w:ascii="Times New Roman" w:hAnsi="Times New Roman" w:eastAsia="Times New Roman"/>
                <w:b w:val="0"/>
                <w:i w:val="0"/>
                <w:sz w:val="20"/>
              </w:rPr>
              <w:t>AHA 2025 §2.1 [9]</w:t>
            </w:r>
          </w:p>
        </w:tc>
      </w:tr>
      <w:tr>
        <w:tc>
          <w:tcPr>
            <w:tcW w:type="dxa" w:w="2436"/>
          </w:tcPr>
          <w:p>
            <w:r>
              <w:rPr>
                <w:rFonts w:ascii="Times New Roman" w:hAnsi="Times New Roman" w:eastAsia="Times New Roman"/>
                <w:b w:val="0"/>
                <w:i w:val="0"/>
                <w:sz w:val="20"/>
              </w:rPr>
              <w:t>2</w:t>
            </w:r>
          </w:p>
        </w:tc>
        <w:tc>
          <w:tcPr>
            <w:tcW w:type="dxa" w:w="2436"/>
          </w:tcPr>
          <w:p>
            <w:r>
              <w:rPr>
                <w:rFonts w:ascii="Times New Roman" w:hAnsi="Times New Roman" w:eastAsia="Times New Roman"/>
                <w:b w:val="0"/>
                <w:i w:val="0"/>
                <w:sz w:val="20"/>
              </w:rPr>
              <w:t>AI risk prediction</w:t>
            </w:r>
          </w:p>
        </w:tc>
        <w:tc>
          <w:tcPr>
            <w:tcW w:type="dxa" w:w="2436"/>
          </w:tcPr>
          <w:p>
            <w:r>
              <w:rPr>
                <w:rFonts w:ascii="Times New Roman" w:hAnsi="Times New Roman" w:eastAsia="Times New Roman"/>
                <w:b w:val="0"/>
                <w:i w:val="0"/>
                <w:sz w:val="20"/>
              </w:rPr>
              <w:t>Gradient boosting on 12 features; 24 h score; SHAP explanation</w:t>
            </w:r>
          </w:p>
        </w:tc>
        <w:tc>
          <w:tcPr>
            <w:tcW w:type="dxa" w:w="2436"/>
          </w:tcPr>
          <w:p>
            <w:r>
              <w:rPr>
                <w:rFonts w:ascii="Times New Roman" w:hAnsi="Times New Roman" w:eastAsia="Times New Roman"/>
                <w:b w:val="0"/>
                <w:i w:val="0"/>
                <w:sz w:val="20"/>
              </w:rPr>
              <w:t>ESC HF 2023 [16]; SHAP [17]</w:t>
            </w:r>
          </w:p>
        </w:tc>
      </w:tr>
      <w:tr>
        <w:tc>
          <w:tcPr>
            <w:tcW w:type="dxa" w:w="2436"/>
          </w:tcPr>
          <w:p>
            <w:r>
              <w:rPr>
                <w:rFonts w:ascii="Times New Roman" w:hAnsi="Times New Roman" w:eastAsia="Times New Roman"/>
                <w:b w:val="0"/>
                <w:i w:val="0"/>
                <w:sz w:val="20"/>
              </w:rPr>
              <w:t>3</w:t>
            </w:r>
          </w:p>
        </w:tc>
        <w:tc>
          <w:tcPr>
            <w:tcW w:type="dxa" w:w="2436"/>
          </w:tcPr>
          <w:p>
            <w:r>
              <w:rPr>
                <w:rFonts w:ascii="Times New Roman" w:hAnsi="Times New Roman" w:eastAsia="Times New Roman"/>
                <w:b w:val="0"/>
                <w:i w:val="0"/>
                <w:sz w:val="20"/>
              </w:rPr>
              <w:t>AED IoT network</w:t>
            </w:r>
          </w:p>
        </w:tc>
        <w:tc>
          <w:tcPr>
            <w:tcW w:type="dxa" w:w="2436"/>
          </w:tcPr>
          <w:p>
            <w:r>
              <w:rPr>
                <w:rFonts w:ascii="Times New Roman" w:hAnsi="Times New Roman" w:eastAsia="Times New Roman"/>
                <w:b w:val="0"/>
                <w:i w:val="0"/>
                <w:sz w:val="20"/>
              </w:rPr>
              <w:t>Self-test telemetry; geo-fenced loss alerts; nearest-AED dispatch</w:t>
            </w:r>
          </w:p>
        </w:tc>
        <w:tc>
          <w:tcPr>
            <w:tcW w:type="dxa" w:w="2436"/>
          </w:tcPr>
          <w:p>
            <w:r>
              <w:rPr>
                <w:rFonts w:ascii="Times New Roman" w:hAnsi="Times New Roman" w:eastAsia="Times New Roman"/>
                <w:b w:val="0"/>
                <w:i w:val="0"/>
                <w:sz w:val="20"/>
              </w:rPr>
              <w:t>AHA 2025 §3.4 [9]</w:t>
            </w:r>
          </w:p>
        </w:tc>
      </w:tr>
      <w:tr>
        <w:tc>
          <w:tcPr>
            <w:tcW w:type="dxa" w:w="2436"/>
          </w:tcPr>
          <w:p>
            <w:r>
              <w:rPr>
                <w:rFonts w:ascii="Times New Roman" w:hAnsi="Times New Roman" w:eastAsia="Times New Roman"/>
                <w:b w:val="0"/>
                <w:i w:val="0"/>
                <w:sz w:val="20"/>
              </w:rPr>
              <w:t>4</w:t>
            </w:r>
          </w:p>
        </w:tc>
        <w:tc>
          <w:tcPr>
            <w:tcW w:type="dxa" w:w="2436"/>
          </w:tcPr>
          <w:p>
            <w:r>
              <w:rPr>
                <w:rFonts w:ascii="Times New Roman" w:hAnsi="Times New Roman" w:eastAsia="Times New Roman"/>
                <w:b w:val="0"/>
                <w:i w:val="0"/>
                <w:sz w:val="20"/>
              </w:rPr>
              <w:t>One-click emergency response</w:t>
            </w:r>
          </w:p>
        </w:tc>
        <w:tc>
          <w:tcPr>
            <w:tcW w:type="dxa" w:w="2436"/>
          </w:tcPr>
          <w:p>
            <w:r>
              <w:rPr>
                <w:rFonts w:ascii="Times New Roman" w:hAnsi="Times New Roman" w:eastAsia="Times New Roman"/>
                <w:b w:val="0"/>
                <w:i w:val="0"/>
                <w:sz w:val="20"/>
              </w:rPr>
              <w:t>Triple-channel notification (infirmary, volunteers, 119/120); voice CPR coaching</w:t>
            </w:r>
          </w:p>
        </w:tc>
        <w:tc>
          <w:tcPr>
            <w:tcW w:type="dxa" w:w="2436"/>
          </w:tcPr>
          <w:p>
            <w:r>
              <w:rPr>
                <w:rFonts w:ascii="Times New Roman" w:hAnsi="Times New Roman" w:eastAsia="Times New Roman"/>
                <w:b w:val="0"/>
                <w:i w:val="0"/>
                <w:sz w:val="20"/>
              </w:rPr>
              <w:t>AHA 2025 §4.1 [9]</w:t>
            </w:r>
          </w:p>
        </w:tc>
      </w:tr>
      <w:tr>
        <w:tc>
          <w:tcPr>
            <w:tcW w:type="dxa" w:w="2436"/>
          </w:tcPr>
          <w:p>
            <w:r>
              <w:rPr>
                <w:rFonts w:ascii="Times New Roman" w:hAnsi="Times New Roman" w:eastAsia="Times New Roman"/>
                <w:b w:val="0"/>
                <w:i w:val="0"/>
                <w:sz w:val="20"/>
              </w:rPr>
              <w:t>5</w:t>
            </w:r>
          </w:p>
        </w:tc>
        <w:tc>
          <w:tcPr>
            <w:tcW w:type="dxa" w:w="2436"/>
          </w:tcPr>
          <w:p>
            <w:r>
              <w:rPr>
                <w:rFonts w:ascii="Times New Roman" w:hAnsi="Times New Roman" w:eastAsia="Times New Roman"/>
                <w:b w:val="0"/>
                <w:i w:val="0"/>
                <w:sz w:val="20"/>
              </w:rPr>
              <w:t>CPR training management</w:t>
            </w:r>
          </w:p>
        </w:tc>
        <w:tc>
          <w:tcPr>
            <w:tcW w:type="dxa" w:w="2436"/>
          </w:tcPr>
          <w:p>
            <w:r>
              <w:rPr>
                <w:rFonts w:ascii="Times New Roman" w:hAnsi="Times New Roman" w:eastAsia="Times New Roman"/>
                <w:b w:val="0"/>
                <w:i w:val="0"/>
                <w:sz w:val="20"/>
              </w:rPr>
              <w:t>Online course + VR + certificate-lifecycle alerts</w:t>
            </w:r>
          </w:p>
        </w:tc>
        <w:tc>
          <w:tcPr>
            <w:tcW w:type="dxa" w:w="2436"/>
          </w:tcPr>
          <w:p>
            <w:r>
              <w:rPr>
                <w:rFonts w:ascii="Times New Roman" w:hAnsi="Times New Roman" w:eastAsia="Times New Roman"/>
                <w:b w:val="0"/>
                <w:i w:val="0"/>
                <w:sz w:val="20"/>
              </w:rPr>
              <w:t>AHA HeartCode; KACPR e-Learning [11]</w:t>
            </w:r>
          </w:p>
        </w:tc>
      </w:tr>
      <w:tr>
        <w:tc>
          <w:tcPr>
            <w:tcW w:type="dxa" w:w="2436"/>
          </w:tcPr>
          <w:p>
            <w:r>
              <w:rPr>
                <w:rFonts w:ascii="Times New Roman" w:hAnsi="Times New Roman" w:eastAsia="Times New Roman"/>
                <w:b w:val="0"/>
                <w:i w:val="0"/>
                <w:sz w:val="20"/>
              </w:rPr>
              <w:t>6</w:t>
            </w:r>
          </w:p>
        </w:tc>
        <w:tc>
          <w:tcPr>
            <w:tcW w:type="dxa" w:w="2436"/>
          </w:tcPr>
          <w:p>
            <w:r>
              <w:rPr>
                <w:rFonts w:ascii="Times New Roman" w:hAnsi="Times New Roman" w:eastAsia="Times New Roman"/>
                <w:b w:val="0"/>
                <w:i w:val="0"/>
                <w:sz w:val="20"/>
              </w:rPr>
              <w:t>Safety data cockpit</w:t>
            </w:r>
          </w:p>
        </w:tc>
        <w:tc>
          <w:tcPr>
            <w:tcW w:type="dxa" w:w="2436"/>
          </w:tcPr>
          <w:p>
            <w:r>
              <w:rPr>
                <w:rFonts w:ascii="Times New Roman" w:hAnsi="Times New Roman" w:eastAsia="Times New Roman"/>
                <w:b w:val="0"/>
                <w:i w:val="0"/>
                <w:sz w:val="20"/>
              </w:rPr>
              <w:t>Park/firm/industry roll-ups; year-on-year analytics; regulator export</w:t>
            </w:r>
          </w:p>
        </w:tc>
        <w:tc>
          <w:tcPr>
            <w:tcW w:type="dxa" w:w="2436"/>
          </w:tcPr>
          <w:p>
            <w:r>
              <w:rPr>
                <w:rFonts w:ascii="Times New Roman" w:hAnsi="Times New Roman" w:eastAsia="Times New Roman"/>
                <w:b w:val="0"/>
                <w:i w:val="0"/>
                <w:sz w:val="20"/>
              </w:rPr>
              <w:t>ISO 45001 §9.1 [15]</w:t>
            </w:r>
          </w:p>
        </w:tc>
      </w:tr>
    </w:tbl>
    <w:p/>
    <w:p/>
    <w:p>
      <w:r>
        <w:rPr>
          <w:rFonts w:ascii="Times New Roman" w:hAnsi="Times New Roman" w:eastAsia="Times New Roman"/>
          <w:b/>
          <w:i w:val="0"/>
          <w:sz w:val="22"/>
        </w:rPr>
        <w:t>Table 4.</w:t>
      </w:r>
      <w:r>
        <w:rPr>
          <w:rFonts w:ascii="Times New Roman" w:hAnsi="Times New Roman" w:eastAsia="Times New Roman"/>
          <w:b w:val="0"/>
          <w:i w:val="0"/>
          <w:sz w:val="22"/>
        </w:rPr>
        <w:t xml:space="preserve"> Projected impact at a 10,000-worker industrial park (literature triangulation + scenario simulation).</w:t>
      </w:r>
    </w:p>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Pr>
                <w:rFonts w:ascii="Times New Roman" w:hAnsi="Times New Roman" w:eastAsia="Times New Roman"/>
                <w:b/>
                <w:sz w:val="20"/>
              </w:rPr>
              <w:t>Metric</w:t>
            </w:r>
          </w:p>
        </w:tc>
        <w:tc>
          <w:tcPr>
            <w:tcW w:type="dxa" w:w="1949"/>
          </w:tcPr>
          <w:p>
            <w:r>
              <w:rPr>
                <w:rFonts w:ascii="Times New Roman" w:hAnsi="Times New Roman" w:eastAsia="Times New Roman"/>
                <w:b/>
                <w:sz w:val="20"/>
              </w:rPr>
              <w:t>Baseline</w:t>
            </w:r>
          </w:p>
        </w:tc>
        <w:tc>
          <w:tcPr>
            <w:tcW w:type="dxa" w:w="1949"/>
          </w:tcPr>
          <w:p>
            <w:r>
              <w:rPr>
                <w:rFonts w:ascii="Times New Roman" w:hAnsi="Times New Roman" w:eastAsia="Times New Roman"/>
                <w:b/>
                <w:sz w:val="20"/>
              </w:rPr>
              <w:t>Projected</w:t>
            </w:r>
          </w:p>
        </w:tc>
        <w:tc>
          <w:tcPr>
            <w:tcW w:type="dxa" w:w="1949"/>
          </w:tcPr>
          <w:p>
            <w:r>
              <w:rPr>
                <w:rFonts w:ascii="Times New Roman" w:hAnsi="Times New Roman" w:eastAsia="Times New Roman"/>
                <w:b/>
                <w:sz w:val="20"/>
              </w:rPr>
              <w:t>Δ</w:t>
            </w:r>
          </w:p>
        </w:tc>
        <w:tc>
          <w:tcPr>
            <w:tcW w:type="dxa" w:w="1949"/>
          </w:tcPr>
          <w:p>
            <w:r>
              <w:rPr>
                <w:rFonts w:ascii="Times New Roman" w:hAnsi="Times New Roman" w:eastAsia="Times New Roman"/>
                <w:b/>
                <w:sz w:val="20"/>
              </w:rPr>
              <w:t>Source of effect</w:t>
            </w:r>
          </w:p>
        </w:tc>
      </w:tr>
      <w:tr>
        <w:tc>
          <w:tcPr>
            <w:tcW w:type="dxa" w:w="1949"/>
          </w:tcPr>
          <w:p>
            <w:r>
              <w:rPr>
                <w:rFonts w:ascii="Times New Roman" w:hAnsi="Times New Roman" w:eastAsia="Times New Roman"/>
                <w:b w:val="0"/>
                <w:i w:val="0"/>
                <w:sz w:val="20"/>
              </w:rPr>
              <w:t>OHCA discharge survival</w:t>
            </w:r>
          </w:p>
        </w:tc>
        <w:tc>
          <w:tcPr>
            <w:tcW w:type="dxa" w:w="1949"/>
          </w:tcPr>
          <w:p>
            <w:r>
              <w:rPr>
                <w:rFonts w:ascii="Times New Roman" w:hAnsi="Times New Roman" w:eastAsia="Times New Roman"/>
                <w:b w:val="0"/>
                <w:i w:val="0"/>
                <w:sz w:val="20"/>
              </w:rPr>
              <w:t>~10 %</w:t>
            </w:r>
          </w:p>
        </w:tc>
        <w:tc>
          <w:tcPr>
            <w:tcW w:type="dxa" w:w="1949"/>
          </w:tcPr>
          <w:p>
            <w:r>
              <w:rPr>
                <w:rFonts w:ascii="Times New Roman" w:hAnsi="Times New Roman" w:eastAsia="Times New Roman"/>
                <w:b w:val="0"/>
                <w:i w:val="0"/>
                <w:sz w:val="20"/>
              </w:rPr>
              <w:t>≥ 25 %</w:t>
            </w:r>
          </w:p>
        </w:tc>
        <w:tc>
          <w:tcPr>
            <w:tcW w:type="dxa" w:w="1949"/>
          </w:tcPr>
          <w:p>
            <w:r>
              <w:rPr>
                <w:rFonts w:ascii="Times New Roman" w:hAnsi="Times New Roman" w:eastAsia="Times New Roman"/>
                <w:b w:val="0"/>
                <w:i w:val="0"/>
                <w:sz w:val="20"/>
              </w:rPr>
              <w:t>+15 pp</w:t>
            </w:r>
          </w:p>
        </w:tc>
        <w:tc>
          <w:tcPr>
            <w:tcW w:type="dxa" w:w="1949"/>
          </w:tcPr>
          <w:p>
            <w:r>
              <w:rPr>
                <w:rFonts w:ascii="Times New Roman" w:hAnsi="Times New Roman" w:eastAsia="Times New Roman"/>
                <w:b w:val="0"/>
                <w:i w:val="0"/>
                <w:sz w:val="20"/>
              </w:rPr>
              <w:t>Bystander-CPR + early-AED evidence [9]</w:t>
            </w:r>
          </w:p>
        </w:tc>
      </w:tr>
      <w:tr>
        <w:tc>
          <w:tcPr>
            <w:tcW w:type="dxa" w:w="1949"/>
          </w:tcPr>
          <w:p>
            <w:r>
              <w:rPr>
                <w:rFonts w:ascii="Times New Roman" w:hAnsi="Times New Roman" w:eastAsia="Times New Roman"/>
                <w:b w:val="0"/>
                <w:i w:val="0"/>
                <w:sz w:val="20"/>
              </w:rPr>
              <w:t>Median collapse → CPR</w:t>
            </w:r>
          </w:p>
        </w:tc>
        <w:tc>
          <w:tcPr>
            <w:tcW w:type="dxa" w:w="1949"/>
          </w:tcPr>
          <w:p>
            <w:r>
              <w:rPr>
                <w:rFonts w:ascii="Times New Roman" w:hAnsi="Times New Roman" w:eastAsia="Times New Roman"/>
                <w:b w:val="0"/>
                <w:i w:val="0"/>
                <w:sz w:val="20"/>
              </w:rPr>
              <w:t>~8 min</w:t>
            </w:r>
          </w:p>
        </w:tc>
        <w:tc>
          <w:tcPr>
            <w:tcW w:type="dxa" w:w="1949"/>
          </w:tcPr>
          <w:p>
            <w:r>
              <w:rPr>
                <w:rFonts w:ascii="Times New Roman" w:hAnsi="Times New Roman" w:eastAsia="Times New Roman"/>
                <w:b w:val="0"/>
                <w:i w:val="0"/>
                <w:sz w:val="20"/>
              </w:rPr>
              <w:t>≤ 3 min</w:t>
            </w:r>
          </w:p>
        </w:tc>
        <w:tc>
          <w:tcPr>
            <w:tcW w:type="dxa" w:w="1949"/>
          </w:tcPr>
          <w:p>
            <w:r>
              <w:rPr>
                <w:rFonts w:ascii="Times New Roman" w:hAnsi="Times New Roman" w:eastAsia="Times New Roman"/>
                <w:b w:val="0"/>
                <w:i w:val="0"/>
                <w:sz w:val="20"/>
              </w:rPr>
              <w:t>−62 %</w:t>
            </w:r>
          </w:p>
        </w:tc>
        <w:tc>
          <w:tcPr>
            <w:tcW w:type="dxa" w:w="1949"/>
          </w:tcPr>
          <w:p>
            <w:r>
              <w:rPr>
                <w:rFonts w:ascii="Times New Roman" w:hAnsi="Times New Roman" w:eastAsia="Times New Roman"/>
                <w:b w:val="0"/>
                <w:i w:val="0"/>
                <w:sz w:val="20"/>
              </w:rPr>
              <w:t>IoT-AED + proximal volunteer dispatch</w:t>
            </w:r>
          </w:p>
        </w:tc>
      </w:tr>
      <w:tr>
        <w:tc>
          <w:tcPr>
            <w:tcW w:type="dxa" w:w="1949"/>
          </w:tcPr>
          <w:p>
            <w:r>
              <w:rPr>
                <w:rFonts w:ascii="Times New Roman" w:hAnsi="Times New Roman" w:eastAsia="Times New Roman"/>
                <w:b w:val="0"/>
                <w:i w:val="0"/>
                <w:sz w:val="20"/>
              </w:rPr>
              <w:t>4-min AED reachability</w:t>
            </w:r>
          </w:p>
        </w:tc>
        <w:tc>
          <w:tcPr>
            <w:tcW w:type="dxa" w:w="1949"/>
          </w:tcPr>
          <w:p>
            <w:r>
              <w:rPr>
                <w:rFonts w:ascii="Times New Roman" w:hAnsi="Times New Roman" w:eastAsia="Times New Roman"/>
                <w:b w:val="0"/>
                <w:i w:val="0"/>
                <w:sz w:val="20"/>
              </w:rPr>
              <w:t>38 %</w:t>
            </w:r>
          </w:p>
        </w:tc>
        <w:tc>
          <w:tcPr>
            <w:tcW w:type="dxa" w:w="1949"/>
          </w:tcPr>
          <w:p>
            <w:r>
              <w:rPr>
                <w:rFonts w:ascii="Times New Roman" w:hAnsi="Times New Roman" w:eastAsia="Times New Roman"/>
                <w:b w:val="0"/>
                <w:i w:val="0"/>
                <w:sz w:val="20"/>
              </w:rPr>
              <w:t>91 %</w:t>
            </w:r>
          </w:p>
        </w:tc>
        <w:tc>
          <w:tcPr>
            <w:tcW w:type="dxa" w:w="1949"/>
          </w:tcPr>
          <w:p>
            <w:r>
              <w:rPr>
                <w:rFonts w:ascii="Times New Roman" w:hAnsi="Times New Roman" w:eastAsia="Times New Roman"/>
                <w:b w:val="0"/>
                <w:i w:val="0"/>
                <w:sz w:val="20"/>
              </w:rPr>
              <w:t>+53 pp</w:t>
            </w:r>
          </w:p>
        </w:tc>
        <w:tc>
          <w:tcPr>
            <w:tcW w:type="dxa" w:w="1949"/>
          </w:tcPr>
          <w:p>
            <w:r>
              <w:rPr>
                <w:rFonts w:ascii="Times New Roman" w:hAnsi="Times New Roman" w:eastAsia="Times New Roman"/>
                <w:b w:val="0"/>
                <w:i w:val="0"/>
                <w:sz w:val="20"/>
              </w:rPr>
              <w:t>Networked re-allocation</w:t>
            </w:r>
          </w:p>
        </w:tc>
      </w:tr>
      <w:tr>
        <w:tc>
          <w:tcPr>
            <w:tcW w:type="dxa" w:w="1949"/>
          </w:tcPr>
          <w:p>
            <w:r>
              <w:rPr>
                <w:rFonts w:ascii="Times New Roman" w:hAnsi="Times New Roman" w:eastAsia="Times New Roman"/>
                <w:b w:val="0"/>
                <w:i w:val="0"/>
                <w:sz w:val="20"/>
              </w:rPr>
              <w:t>CPR certification rate</w:t>
            </w:r>
          </w:p>
        </w:tc>
        <w:tc>
          <w:tcPr>
            <w:tcW w:type="dxa" w:w="1949"/>
          </w:tcPr>
          <w:p>
            <w:r>
              <w:rPr>
                <w:rFonts w:ascii="Times New Roman" w:hAnsi="Times New Roman" w:eastAsia="Times New Roman"/>
                <w:b w:val="0"/>
                <w:i w:val="0"/>
                <w:sz w:val="20"/>
              </w:rPr>
              <w:t>12 %</w:t>
            </w:r>
          </w:p>
        </w:tc>
        <w:tc>
          <w:tcPr>
            <w:tcW w:type="dxa" w:w="1949"/>
          </w:tcPr>
          <w:p>
            <w:r>
              <w:rPr>
                <w:rFonts w:ascii="Times New Roman" w:hAnsi="Times New Roman" w:eastAsia="Times New Roman"/>
                <w:b w:val="0"/>
                <w:i w:val="0"/>
                <w:sz w:val="20"/>
              </w:rPr>
              <w:t>≥ 60 %</w:t>
            </w:r>
          </w:p>
        </w:tc>
        <w:tc>
          <w:tcPr>
            <w:tcW w:type="dxa" w:w="1949"/>
          </w:tcPr>
          <w:p>
            <w:r>
              <w:rPr>
                <w:rFonts w:ascii="Times New Roman" w:hAnsi="Times New Roman" w:eastAsia="Times New Roman"/>
                <w:b w:val="0"/>
                <w:i w:val="0"/>
                <w:sz w:val="20"/>
              </w:rPr>
              <w:t>+48 pp</w:t>
            </w:r>
          </w:p>
        </w:tc>
        <w:tc>
          <w:tcPr>
            <w:tcW w:type="dxa" w:w="1949"/>
          </w:tcPr>
          <w:p>
            <w:r>
              <w:rPr>
                <w:rFonts w:ascii="Times New Roman" w:hAnsi="Times New Roman" w:eastAsia="Times New Roman"/>
                <w:b w:val="0"/>
                <w:i w:val="0"/>
                <w:sz w:val="20"/>
              </w:rPr>
              <w:t>Digital learning loop</w:t>
            </w:r>
          </w:p>
        </w:tc>
      </w:tr>
      <w:tr>
        <w:tc>
          <w:tcPr>
            <w:tcW w:type="dxa" w:w="1949"/>
          </w:tcPr>
          <w:p>
            <w:r>
              <w:rPr>
                <w:rFonts w:ascii="Times New Roman" w:hAnsi="Times New Roman" w:eastAsia="Times New Roman"/>
                <w:b w:val="0"/>
                <w:i w:val="0"/>
                <w:sz w:val="20"/>
              </w:rPr>
              <w:t>Annual loss avoidance (10k workers)</w:t>
            </w:r>
          </w:p>
        </w:tc>
        <w:tc>
          <w:tcPr>
            <w:tcW w:type="dxa" w:w="1949"/>
          </w:tcPr>
          <w:p>
            <w:r>
              <w:rPr>
                <w:rFonts w:ascii="Times New Roman" w:hAnsi="Times New Roman" w:eastAsia="Times New Roman"/>
                <w:b w:val="0"/>
                <w:i w:val="0"/>
                <w:sz w:val="20"/>
              </w:rPr>
              <w:t>—</w:t>
            </w:r>
          </w:p>
        </w:tc>
        <w:tc>
          <w:tcPr>
            <w:tcW w:type="dxa" w:w="1949"/>
          </w:tcPr>
          <w:p>
            <w:r>
              <w:rPr>
                <w:rFonts w:ascii="Times New Roman" w:hAnsi="Times New Roman" w:eastAsia="Times New Roman"/>
                <w:b w:val="0"/>
                <w:i w:val="0"/>
                <w:sz w:val="20"/>
              </w:rPr>
              <w:t>&gt; ¥10 M</w:t>
            </w:r>
          </w:p>
        </w:tc>
        <w:tc>
          <w:tcPr>
            <w:tcW w:type="dxa" w:w="1949"/>
          </w:tcPr>
          <w:p>
            <w:r>
              <w:rPr>
                <w:rFonts w:ascii="Times New Roman" w:hAnsi="Times New Roman" w:eastAsia="Times New Roman"/>
                <w:b w:val="0"/>
                <w:i w:val="0"/>
                <w:sz w:val="20"/>
              </w:rPr>
              <w:t>—</w:t>
            </w:r>
          </w:p>
        </w:tc>
        <w:tc>
          <w:tcPr>
            <w:tcW w:type="dxa" w:w="1949"/>
          </w:tcPr>
          <w:p>
            <w:r>
              <w:rPr>
                <w:rFonts w:ascii="Times New Roman" w:hAnsi="Times New Roman" w:eastAsia="Times New Roman"/>
                <w:b w:val="0"/>
                <w:i w:val="0"/>
                <w:sz w:val="20"/>
              </w:rPr>
              <w:t>Avg. treatment cost ¥0.3–0.5 M/event</w:t>
            </w:r>
          </w:p>
        </w:tc>
      </w:tr>
      <w:tr>
        <w:tc>
          <w:tcPr>
            <w:tcW w:type="dxa" w:w="1949"/>
          </w:tcPr>
          <w:p>
            <w:r>
              <w:rPr>
                <w:rFonts w:ascii="Times New Roman" w:hAnsi="Times New Roman" w:eastAsia="Times New Roman"/>
                <w:b w:val="0"/>
                <w:i w:val="0"/>
                <w:sz w:val="20"/>
              </w:rPr>
              <w:t>Return on investment</w:t>
            </w:r>
          </w:p>
        </w:tc>
        <w:tc>
          <w:tcPr>
            <w:tcW w:type="dxa" w:w="1949"/>
          </w:tcPr>
          <w:p>
            <w:r>
              <w:rPr>
                <w:rFonts w:ascii="Times New Roman" w:hAnsi="Times New Roman" w:eastAsia="Times New Roman"/>
                <w:b w:val="0"/>
                <w:i w:val="0"/>
                <w:sz w:val="20"/>
              </w:rPr>
              <w:t>—</w:t>
            </w:r>
          </w:p>
        </w:tc>
        <w:tc>
          <w:tcPr>
            <w:tcW w:type="dxa" w:w="1949"/>
          </w:tcPr>
          <w:p>
            <w:r>
              <w:rPr>
                <w:rFonts w:ascii="Times New Roman" w:hAnsi="Times New Roman" w:eastAsia="Times New Roman"/>
                <w:b w:val="0"/>
                <w:i w:val="0"/>
                <w:sz w:val="20"/>
              </w:rPr>
              <w:t>&gt; 5</w:t>
            </w:r>
          </w:p>
        </w:tc>
        <w:tc>
          <w:tcPr>
            <w:tcW w:type="dxa" w:w="1949"/>
          </w:tcPr>
          <w:p>
            <w:r>
              <w:rPr>
                <w:rFonts w:ascii="Times New Roman" w:hAnsi="Times New Roman" w:eastAsia="Times New Roman"/>
                <w:b w:val="0"/>
                <w:i w:val="0"/>
                <w:sz w:val="20"/>
              </w:rPr>
              <w:t>—</w:t>
            </w:r>
          </w:p>
        </w:tc>
        <w:tc>
          <w:tcPr>
            <w:tcW w:type="dxa" w:w="1949"/>
          </w:tcPr>
          <w:p>
            <w:r>
              <w:rPr>
                <w:rFonts w:ascii="Times New Roman" w:hAnsi="Times New Roman" w:eastAsia="Times New Roman"/>
                <w:b w:val="0"/>
                <w:i w:val="0"/>
                <w:sz w:val="20"/>
              </w:rPr>
              <w:t>Avoidance ÷ platform cost</w:t>
            </w:r>
          </w:p>
        </w:tc>
      </w:tr>
    </w:tbl>
    <w:p/>
    <w:p/>
    <w:p>
      <w:r>
        <w:rPr>
          <w:rFonts w:ascii="Times New Roman" w:hAnsi="Times New Roman" w:eastAsia="Times New Roman"/>
          <w:b w:val="0"/>
          <w:i/>
          <w:sz w:val="22"/>
        </w:rPr>
        <w:t>pp, percentage points.</w:t>
      </w:r>
    </w:p>
    <w:p/>
    <w:p>
      <w:r>
        <w:br/>
      </w:r>
    </w:p>
    <w:p/>
    <w:p>
      <w:r>
        <w:rPr>
          <w:rFonts w:ascii="Times New Roman" w:hAnsi="Times New Roman" w:eastAsia="Times New Roman"/>
          <w:b/>
          <w:color w:val="DC2626"/>
          <w:sz w:val="32"/>
        </w:rPr>
        <w:t>4. Discussion</w:t>
      </w:r>
    </w:p>
    <w:p/>
    <w:p>
      <w:r>
        <w:rPr>
          <w:rFonts w:ascii="Times New Roman" w:hAnsi="Times New Roman" w:eastAsia="Times New Roman"/>
          <w:b/>
          <w:color w:val="0F172A"/>
          <w:sz w:val="26"/>
        </w:rPr>
        <w:t>4.1 Principal findings</w:t>
      </w:r>
    </w:p>
    <w:p/>
    <w:p>
      <w:r>
        <w:rPr>
          <w:rFonts w:ascii="Times New Roman" w:hAnsi="Times New Roman" w:eastAsia="Times New Roman"/>
          <w:b w:val="0"/>
          <w:i w:val="0"/>
          <w:sz w:val="22"/>
        </w:rPr>
        <w:t>CardioGuard Industrial demonstrates that the full industrial cardiac-emergency chain—monitoring, prediction, AED dispatch, voice-guided response, certified training, and analytics—can be integrated into a single, standards-anchored, bilingual artefact that is reproducible at zero cost. The projected effect sizes (Table 4) are concordant with the established survival benefit of early bystander CPR and early defibrillation [1,9,10], supporting face validity of the simulation.</w:t>
      </w:r>
    </w:p>
    <w:p/>
    <w:p>
      <w:r>
        <w:rPr>
          <w:rFonts w:ascii="Times New Roman" w:hAnsi="Times New Roman" w:eastAsia="Times New Roman"/>
          <w:b/>
          <w:color w:val="0F172A"/>
          <w:sz w:val="26"/>
        </w:rPr>
        <w:t>4.2 Comparison with prior work</w:t>
      </w:r>
    </w:p>
    <w:p/>
    <w:p>
      <w:r>
        <w:rPr>
          <w:rFonts w:ascii="Times New Roman" w:hAnsi="Times New Roman" w:eastAsia="Times New Roman"/>
          <w:b w:val="0"/>
          <w:i w:val="0"/>
          <w:sz w:val="22"/>
        </w:rPr>
        <w:t xml:space="preserve">Unlike public-space AED maps [12,13], consumer wearables [14], or stand-alone e-learning [11], the present design closes the loop </w:t>
      </w:r>
      <w:r>
        <w:rPr>
          <w:rFonts w:ascii="Times New Roman" w:hAnsi="Times New Roman" w:eastAsia="Times New Roman"/>
          <w:b w:val="0"/>
          <w:i/>
          <w:sz w:val="22"/>
        </w:rPr>
        <w:t>vertically</w:t>
      </w:r>
      <w:r>
        <w:rPr>
          <w:rFonts w:ascii="Times New Roman" w:hAnsi="Times New Roman" w:eastAsia="Times New Roman"/>
          <w:b w:val="0"/>
          <w:i w:val="0"/>
          <w:sz w:val="22"/>
        </w:rPr>
        <w:t xml:space="preserve"> within the industrial-park scenario and adds native bilingual delivery (Table 1). To our knowledge, this combination—industrial cardiac-emergency closure plus production-grade Chinese ↔ Korean parity and a guaranteed Korean PDF—has not previously been reported.</w:t>
      </w:r>
    </w:p>
    <w:p/>
    <w:p>
      <w:r>
        <w:rPr>
          <w:rFonts w:ascii="Times New Roman" w:hAnsi="Times New Roman" w:eastAsia="Times New Roman"/>
          <w:b/>
          <w:color w:val="0F172A"/>
          <w:sz w:val="26"/>
        </w:rPr>
        <w:t>4.3 Application and China–Korea industrial cooperation</w:t>
      </w:r>
    </w:p>
    <w:p/>
    <w:p>
      <w:r>
        <w:rPr>
          <w:rFonts w:ascii="Times New Roman" w:hAnsi="Times New Roman" w:eastAsia="Times New Roman"/>
          <w:b w:val="0"/>
          <w:i w:val="0"/>
          <w:sz w:val="22"/>
        </w:rPr>
        <w:t>Direct beneficiaries include industrial operators (lower event cost, improved environmental-social-governance ratings), workers (accessible life-saving response), public-health regulators (real-time park-level epidemiology), and insurers (finer actuarial pricing of occupational cardiac risk). Candidate cross-border deployment sites include the Shandong Yantai Korean-capital industrial park, the Gyeonggi Pyeongtaek Chinese-capital manufacturing zone, and the Weihai China–Korea Free Trade Pilot Zone.</w:t>
      </w:r>
    </w:p>
    <w:p/>
    <w:p>
      <w:r>
        <w:rPr>
          <w:rFonts w:ascii="Times New Roman" w:hAnsi="Times New Roman" w:eastAsia="Times New Roman"/>
          <w:b/>
          <w:color w:val="0F172A"/>
          <w:sz w:val="26"/>
        </w:rPr>
        <w:t>4.4 Regulatory pathway</w:t>
      </w:r>
    </w:p>
    <w:p/>
    <w:p>
      <w:r>
        <w:rPr>
          <w:rFonts w:ascii="Times New Roman" w:hAnsi="Times New Roman" w:eastAsia="Times New Roman"/>
          <w:b w:val="0"/>
          <w:i w:val="0"/>
          <w:sz w:val="22"/>
        </w:rPr>
        <w:t>For productisation, the platform is classifiable in China as Class II software as a medical device (SaMD) under the National Medical Products Administration digital-health framework; in the Republic of Korea it would proceed via Ministry of Food and Drug Safety (MFDS) digital-health-software pre-market notification (2024) [18]; internationally, it should align with IEC 62304 (medical-software lifecycle) and ISO 13485 (quality management).</w:t>
      </w:r>
    </w:p>
    <w:p/>
    <w:p>
      <w:r>
        <w:rPr>
          <w:rFonts w:ascii="Times New Roman" w:hAnsi="Times New Roman" w:eastAsia="Times New Roman"/>
          <w:b/>
          <w:color w:val="0F172A"/>
          <w:sz w:val="26"/>
        </w:rPr>
        <w:t>4.5 Limitations</w:t>
      </w:r>
    </w:p>
    <w:p/>
    <w:p>
      <w:r>
        <w:rPr>
          <w:rFonts w:ascii="Times New Roman" w:hAnsi="Times New Roman" w:eastAsia="Times New Roman"/>
          <w:b w:val="0"/>
          <w:i w:val="0"/>
          <w:sz w:val="22"/>
        </w:rPr>
        <w:t>First, demonstration data are simulated from public statistics; no validated industrial cohort has yet been collected, so the projected effect sizes are illustrative rather than empirical. Second, the AI risk module is specified but not deployed or benchmarked in this MVP. Third, privacy and security are implemented at front-end-best-practice level; an end-to-end audit (ISO/IEC 27001) is pending. Fourth, language coverage is limited to Chinese and Korean and does not yet serve Southeast-Asian labour markets.</w:t>
      </w:r>
    </w:p>
    <w:p/>
    <w:p>
      <w:r>
        <w:rPr>
          <w:rFonts w:ascii="Times New Roman" w:hAnsi="Times New Roman" w:eastAsia="Times New Roman"/>
          <w:b/>
          <w:color w:val="0F172A"/>
          <w:sz w:val="26"/>
        </w:rPr>
        <w:t>4.6 Future work</w:t>
      </w:r>
    </w:p>
    <w:p/>
    <w:p>
      <w:r>
        <w:rPr>
          <w:rFonts w:ascii="Times New Roman" w:hAnsi="Times New Roman" w:eastAsia="Times New Roman"/>
          <w:b w:val="0"/>
          <w:i w:val="0"/>
          <w:sz w:val="22"/>
        </w:rPr>
        <w:t>The roadmap proceeds from a two-factory pilot at China–Korea joint ventures (2026 Q3) and a 500-participant prospective cohort (2026 Q4) to MFDS pre-market notification (2027 Q1), peer-reviewed publication and scale-up to ten parks (2027 Q2), and a Southeast-Asian language extension (2027 Q4). Any prospective cohort will be conducted under dual institutional-review-board oversight and Declaration of Helsinki principles.</w:t>
      </w:r>
    </w:p>
    <w:p/>
    <w:p>
      <w:r>
        <w:br/>
      </w:r>
    </w:p>
    <w:p/>
    <w:p>
      <w:r>
        <w:rPr>
          <w:rFonts w:ascii="Times New Roman" w:hAnsi="Times New Roman" w:eastAsia="Times New Roman"/>
          <w:b/>
          <w:color w:val="DC2626"/>
          <w:sz w:val="32"/>
        </w:rPr>
        <w:t>5. Conclusions</w:t>
      </w:r>
    </w:p>
    <w:p/>
    <w:p>
      <w:r>
        <w:rPr>
          <w:rFonts w:ascii="Times New Roman" w:hAnsi="Times New Roman" w:eastAsia="Times New Roman"/>
          <w:b w:val="0"/>
          <w:i w:val="0"/>
          <w:sz w:val="22"/>
        </w:rPr>
        <w:t xml:space="preserve">CardioGuard Industrial delivers a reproducible, standards-aligned, bilingual prototype that answers the Digital Health Competition </w:t>
      </w:r>
      <w:r>
        <w:rPr>
          <w:rFonts w:ascii="Times New Roman" w:hAnsi="Times New Roman" w:eastAsia="Times New Roman"/>
          <w:b w:val="0"/>
          <w:i/>
          <w:sz w:val="22"/>
        </w:rPr>
        <w:t>Industrial Safety</w:t>
      </w:r>
      <w:r>
        <w:rPr>
          <w:rFonts w:ascii="Times New Roman" w:hAnsi="Times New Roman" w:eastAsia="Times New Roman"/>
          <w:b w:val="0"/>
          <w:i w:val="0"/>
          <w:sz w:val="22"/>
        </w:rPr>
        <w:t xml:space="preserve"> call. By integrating real-time monitoring, AI risk prediction, AED IoT dispatch, voice-guided CPR response, certified training, and safety analytics into a single closed loop—and by packaging the deliverable as a deployed web client, MIT-licensed source code, and a one-click Korean PDF—the artefact combines clinical-guideline fidelity, bilingual accessibility, and open reproducibility. These properties make it well suited for transition into pilot deployments at China–Korea joint-venture parks and for downstream peer-reviewed publication.</w:t>
      </w:r>
    </w:p>
    <w:p/>
    <w:p>
      <w:r>
        <w:br/>
      </w:r>
    </w:p>
    <w:p/>
    <w:p>
      <w:r>
        <w:rPr>
          <w:rFonts w:ascii="Times New Roman" w:hAnsi="Times New Roman" w:eastAsia="Times New Roman"/>
          <w:b/>
          <w:color w:val="DC2626"/>
          <w:sz w:val="32"/>
        </w:rPr>
        <w:t>Declarations</w:t>
      </w:r>
    </w:p>
    <w:p/>
    <w:p>
      <w:r>
        <w:rPr>
          <w:rFonts w:ascii="Times New Roman" w:hAnsi="Times New Roman" w:eastAsia="Times New Roman"/>
          <w:b/>
          <w:color w:val="0F172A"/>
          <w:sz w:val="26"/>
        </w:rPr>
        <w:t>Ethics approval and consent to participate</w:t>
      </w:r>
    </w:p>
    <w:p>
      <w:r>
        <w:rPr>
          <w:rFonts w:ascii="Times New Roman" w:hAnsi="Times New Roman" w:eastAsia="Times New Roman"/>
          <w:b w:val="0"/>
          <w:i w:val="0"/>
          <w:sz w:val="22"/>
        </w:rPr>
        <w:t>Not applicable. This minimum-viable prototype does not involve human participants, human data, or animal subjects, and no institutional-review-board approval was required. Any subsequent prospective cohort (§4.6) will be subject to dual review by Xi'an Medical College and Kyungwoon University and conducted under Declaration of Helsinki principles.</w:t>
      </w:r>
    </w:p>
    <w:p/>
    <w:p>
      <w:r>
        <w:rPr>
          <w:rFonts w:ascii="Times New Roman" w:hAnsi="Times New Roman" w:eastAsia="Times New Roman"/>
          <w:b/>
          <w:color w:val="0F172A"/>
          <w:sz w:val="26"/>
        </w:rPr>
        <w:t>Consent for publication</w:t>
      </w:r>
    </w:p>
    <w:p>
      <w:r>
        <w:rPr>
          <w:rFonts w:ascii="Times New Roman" w:hAnsi="Times New Roman" w:eastAsia="Times New Roman"/>
          <w:b w:val="0"/>
          <w:i w:val="0"/>
          <w:sz w:val="22"/>
        </w:rPr>
        <w:t>Not applicable.</w:t>
      </w:r>
    </w:p>
    <w:p/>
    <w:p>
      <w:r>
        <w:rPr>
          <w:rFonts w:ascii="Times New Roman" w:hAnsi="Times New Roman" w:eastAsia="Times New Roman"/>
          <w:b/>
          <w:color w:val="0F172A"/>
          <w:sz w:val="26"/>
        </w:rPr>
        <w:t>Availability of data and materials</w:t>
      </w:r>
    </w:p>
    <w:p>
      <w:r>
        <w:rPr>
          <w:rFonts w:ascii="Times New Roman" w:hAnsi="Times New Roman" w:eastAsia="Times New Roman"/>
          <w:b w:val="0"/>
          <w:i w:val="0"/>
          <w:sz w:val="22"/>
        </w:rPr>
        <w:t xml:space="preserve">The source code, simulated dashboard data, and the Korean PDF generated for this study are openly available in the project repository under the MIT License (code) and CC BY 4.0 (manuscript text). No human-subjects data are included. The artefact can be reproduced locally with </w:t>
      </w:r>
      <w:r>
        <w:rPr>
          <w:rFonts w:ascii="Consolas" w:hAnsi="Consolas" w:eastAsia="Times New Roman"/>
          <w:b w:val="0"/>
          <w:i w:val="0"/>
          <w:sz w:val="22"/>
        </w:rPr>
        <w:t>python -m http.server</w:t>
      </w:r>
      <w:r>
        <w:rPr>
          <w:rFonts w:ascii="Times New Roman" w:hAnsi="Times New Roman" w:eastAsia="Times New Roman"/>
          <w:b w:val="0"/>
          <w:i w:val="0"/>
          <w:sz w:val="22"/>
        </w:rPr>
        <w:t xml:space="preserve"> against the repository root.</w:t>
      </w:r>
    </w:p>
    <w:p/>
    <w:p>
      <w:r>
        <w:rPr>
          <w:rFonts w:ascii="Times New Roman" w:hAnsi="Times New Roman" w:eastAsia="Times New Roman"/>
          <w:b/>
          <w:color w:val="0F172A"/>
          <w:sz w:val="26"/>
        </w:rPr>
        <w:t>Competing interests</w:t>
      </w:r>
    </w:p>
    <w:p>
      <w:r>
        <w:rPr>
          <w:rFonts w:ascii="Times New Roman" w:hAnsi="Times New Roman" w:eastAsia="Times New Roman"/>
          <w:b w:val="0"/>
          <w:i w:val="0"/>
          <w:sz w:val="22"/>
        </w:rPr>
        <w:t>The author declares no competing interests.</w:t>
      </w:r>
    </w:p>
    <w:p/>
    <w:p>
      <w:r>
        <w:rPr>
          <w:rFonts w:ascii="Times New Roman" w:hAnsi="Times New Roman" w:eastAsia="Times New Roman"/>
          <w:b/>
          <w:color w:val="0F172A"/>
          <w:sz w:val="26"/>
        </w:rPr>
        <w:t>Funding</w:t>
      </w:r>
    </w:p>
    <w:p>
      <w:r>
        <w:rPr>
          <w:rFonts w:ascii="Times New Roman" w:hAnsi="Times New Roman" w:eastAsia="Times New Roman"/>
          <w:b w:val="0"/>
          <w:i w:val="0"/>
          <w:sz w:val="22"/>
        </w:rPr>
        <w:t xml:space="preserve">No external funding was received for this work. </w:t>
      </w:r>
      <w:r>
        <w:rPr>
          <w:rFonts w:ascii="Times New Roman" w:hAnsi="Times New Roman" w:eastAsia="Times New Roman"/>
          <w:b w:val="0"/>
          <w:i/>
          <w:sz w:val="22"/>
        </w:rPr>
        <w:t>(To be updated at submission time if applicable.)</w:t>
      </w:r>
    </w:p>
    <w:p/>
    <w:p>
      <w:r>
        <w:rPr>
          <w:rFonts w:ascii="Times New Roman" w:hAnsi="Times New Roman" w:eastAsia="Times New Roman"/>
          <w:b/>
          <w:color w:val="0F172A"/>
          <w:sz w:val="26"/>
        </w:rPr>
        <w:t>Authors' contributions</w:t>
      </w:r>
    </w:p>
    <w:p>
      <w:r>
        <w:rPr>
          <w:rFonts w:ascii="Times New Roman" w:hAnsi="Times New Roman" w:eastAsia="Times New Roman"/>
          <w:b w:val="0"/>
          <w:i w:val="0"/>
          <w:sz w:val="22"/>
        </w:rPr>
        <w:t>J.W. conceived the study, designed and implemented the platform, performed the evaluation, and wrote the manuscript. The author read and approved the final manuscript.</w:t>
      </w:r>
    </w:p>
    <w:p/>
    <w:p>
      <w:r>
        <w:rPr>
          <w:rFonts w:ascii="Times New Roman" w:hAnsi="Times New Roman" w:eastAsia="Times New Roman"/>
          <w:b/>
          <w:color w:val="0F172A"/>
          <w:sz w:val="26"/>
        </w:rPr>
        <w:t>Acknowledgements</w:t>
      </w:r>
    </w:p>
    <w:p>
      <w:r>
        <w:rPr>
          <w:rFonts w:ascii="Times New Roman" w:hAnsi="Times New Roman" w:eastAsia="Times New Roman"/>
          <w:b w:val="0"/>
          <w:i w:val="0"/>
          <w:sz w:val="22"/>
        </w:rPr>
        <w:t>The author thanks colleagues at Xi'an Medical College and Kyungwoon University for informal discussion.</w:t>
      </w:r>
    </w:p>
    <w:p/>
    <w:p>
      <w:r>
        <w:rPr>
          <w:rFonts w:ascii="Times New Roman" w:hAnsi="Times New Roman" w:eastAsia="Times New Roman"/>
          <w:b/>
          <w:color w:val="0F172A"/>
          <w:sz w:val="26"/>
        </w:rPr>
        <w:t>Use of artificial intelligence (ICMJE/COPE-aligned disclosure)</w:t>
      </w:r>
    </w:p>
    <w:p>
      <w:r>
        <w:rPr>
          <w:rFonts w:ascii="Times New Roman" w:hAnsi="Times New Roman" w:eastAsia="Times New Roman"/>
          <w:b w:val="0"/>
          <w:i w:val="0"/>
          <w:sz w:val="22"/>
        </w:rPr>
        <w:t xml:space="preserve">Generative AI was used </w:t>
      </w:r>
      <w:r>
        <w:rPr>
          <w:rFonts w:ascii="Times New Roman" w:hAnsi="Times New Roman" w:eastAsia="Times New Roman"/>
          <w:b/>
          <w:i w:val="0"/>
          <w:sz w:val="22"/>
        </w:rPr>
        <w:t>solely for language editing of author-drafted prose and for boilerplate code scaffolding</w:t>
      </w:r>
      <w:r>
        <w:rPr>
          <w:rFonts w:ascii="Times New Roman" w:hAnsi="Times New Roman" w:eastAsia="Times New Roman"/>
          <w:b w:val="0"/>
          <w:i w:val="0"/>
          <w:sz w:val="22"/>
        </w:rPr>
        <w:t xml:space="preserve"> (e.g., CSS gradients, ARIA snippets, build configuration). The author reviewed and accepts full responsibility for every line of code, every clinical reference, every quantitative projection, and every paragraph of this manuscript. </w:t>
      </w:r>
      <w:r>
        <w:rPr>
          <w:rFonts w:ascii="Times New Roman" w:hAnsi="Times New Roman" w:eastAsia="Times New Roman"/>
          <w:b/>
          <w:i w:val="0"/>
          <w:sz w:val="22"/>
        </w:rPr>
        <w:t>No patient, subject, or clinical-record data of any kind were provided to AI systems during this work.</w:t>
      </w:r>
    </w:p>
    <w:p/>
    <w:p>
      <w:r>
        <w:br/>
      </w:r>
    </w:p>
    <w:p/>
    <w:p>
      <w:r>
        <w:rPr>
          <w:rFonts w:ascii="Times New Roman" w:hAnsi="Times New Roman" w:eastAsia="Times New Roman"/>
          <w:b/>
          <w:color w:val="DC2626"/>
          <w:sz w:val="32"/>
        </w:rPr>
        <w:t>References</w:t>
      </w:r>
    </w:p>
    <w:p/>
    <w:p>
      <w:pPr>
        <w:pStyle w:val="ListNumber"/>
      </w:pPr>
      <w:r>
        <w:rPr>
          <w:rFonts w:ascii="Times New Roman" w:hAnsi="Times New Roman" w:eastAsia="Times New Roman"/>
          <w:b w:val="0"/>
          <w:i w:val="0"/>
          <w:sz w:val="22"/>
        </w:rPr>
        <w:t xml:space="preserve">Tsao CW, Aday AW, Almarzooq ZI, et al. Heart Disease and Stroke Statistics—2025 Update. </w:t>
      </w:r>
      <w:r>
        <w:rPr>
          <w:rFonts w:ascii="Times New Roman" w:hAnsi="Times New Roman" w:eastAsia="Times New Roman"/>
          <w:b w:val="0"/>
          <w:i/>
          <w:sz w:val="22"/>
        </w:rPr>
        <w:t>Circulation</w:t>
      </w:r>
      <w:r>
        <w:rPr>
          <w:rFonts w:ascii="Times New Roman" w:hAnsi="Times New Roman" w:eastAsia="Times New Roman"/>
          <w:b w:val="0"/>
          <w:i w:val="0"/>
          <w:sz w:val="22"/>
        </w:rPr>
        <w:t>. 2025;151(1):e1-e150.</w:t>
      </w:r>
    </w:p>
    <w:p>
      <w:pPr>
        <w:pStyle w:val="ListNumber"/>
      </w:pPr>
      <w:r>
        <w:rPr>
          <w:rFonts w:ascii="Times New Roman" w:hAnsi="Times New Roman" w:eastAsia="Times New Roman"/>
          <w:b w:val="0"/>
          <w:i w:val="0"/>
          <w:sz w:val="22"/>
        </w:rPr>
        <w:t xml:space="preserve">Virtanen M, Heikkilä K, Jokela M, et al. Long working hours and coronary heart disease: a systematic review and meta-analysis. </w:t>
      </w:r>
      <w:r>
        <w:rPr>
          <w:rFonts w:ascii="Times New Roman" w:hAnsi="Times New Roman" w:eastAsia="Times New Roman"/>
          <w:b w:val="0"/>
          <w:i/>
          <w:sz w:val="22"/>
        </w:rPr>
        <w:t>Am J Epidemiol</w:t>
      </w:r>
      <w:r>
        <w:rPr>
          <w:rFonts w:ascii="Times New Roman" w:hAnsi="Times New Roman" w:eastAsia="Times New Roman"/>
          <w:b w:val="0"/>
          <w:i w:val="0"/>
          <w:sz w:val="22"/>
        </w:rPr>
        <w:t>. 2012;176(7):586-596.</w:t>
      </w:r>
    </w:p>
    <w:p>
      <w:pPr>
        <w:pStyle w:val="ListNumber"/>
      </w:pPr>
      <w:r>
        <w:rPr>
          <w:rFonts w:ascii="Times New Roman" w:hAnsi="Times New Roman" w:eastAsia="Times New Roman"/>
          <w:b w:val="0"/>
          <w:i w:val="0"/>
          <w:sz w:val="22"/>
        </w:rPr>
        <w:t xml:space="preserve">Vyas MV, Garg AX, Iansavichus AV, et al. Shift work and vascular events: systematic review and meta-analysis. </w:t>
      </w:r>
      <w:r>
        <w:rPr>
          <w:rFonts w:ascii="Times New Roman" w:hAnsi="Times New Roman" w:eastAsia="Times New Roman"/>
          <w:b w:val="0"/>
          <w:i/>
          <w:sz w:val="22"/>
        </w:rPr>
        <w:t>BMJ</w:t>
      </w:r>
      <w:r>
        <w:rPr>
          <w:rFonts w:ascii="Times New Roman" w:hAnsi="Times New Roman" w:eastAsia="Times New Roman"/>
          <w:b w:val="0"/>
          <w:i w:val="0"/>
          <w:sz w:val="22"/>
        </w:rPr>
        <w:t>. 2012;345:e4800.</w:t>
      </w:r>
    </w:p>
    <w:p>
      <w:pPr>
        <w:pStyle w:val="ListNumber"/>
      </w:pPr>
      <w:r>
        <w:rPr>
          <w:rFonts w:ascii="Times New Roman" w:hAnsi="Times New Roman" w:eastAsia="Times New Roman"/>
          <w:b w:val="0"/>
          <w:i w:val="0"/>
          <w:sz w:val="22"/>
        </w:rPr>
        <w:t xml:space="preserve">Lee SY, Shin SD, Lee YJ, et al. Functional status and maintenance compliance of publicly accessible automated external defibrillators in metropolitan Seoul. </w:t>
      </w:r>
      <w:r>
        <w:rPr>
          <w:rFonts w:ascii="Times New Roman" w:hAnsi="Times New Roman" w:eastAsia="Times New Roman"/>
          <w:b w:val="0"/>
          <w:i/>
          <w:sz w:val="22"/>
        </w:rPr>
        <w:t>Resuscitation</w:t>
      </w:r>
      <w:r>
        <w:rPr>
          <w:rFonts w:ascii="Times New Roman" w:hAnsi="Times New Roman" w:eastAsia="Times New Roman"/>
          <w:b w:val="0"/>
          <w:i w:val="0"/>
          <w:sz w:val="22"/>
        </w:rPr>
        <w:t>. 2019;138:198-204.</w:t>
      </w:r>
    </w:p>
    <w:p>
      <w:pPr>
        <w:pStyle w:val="ListNumber"/>
      </w:pPr>
      <w:r>
        <w:rPr>
          <w:rFonts w:ascii="Times New Roman" w:hAnsi="Times New Roman" w:eastAsia="Times New Roman"/>
          <w:b w:val="0"/>
          <w:i w:val="0"/>
          <w:sz w:val="22"/>
        </w:rPr>
        <w:t xml:space="preserve">Chen Y, Yu Y, Zhang J, et al. Bystander CPR awareness in Chinese industrial workers: a multi-province cross-sectional survey. </w:t>
      </w:r>
      <w:r>
        <w:rPr>
          <w:rFonts w:ascii="Times New Roman" w:hAnsi="Times New Roman" w:eastAsia="Times New Roman"/>
          <w:b w:val="0"/>
          <w:i/>
          <w:sz w:val="22"/>
        </w:rPr>
        <w:t>BMC Public Health</w:t>
      </w:r>
      <w:r>
        <w:rPr>
          <w:rFonts w:ascii="Times New Roman" w:hAnsi="Times New Roman" w:eastAsia="Times New Roman"/>
          <w:b w:val="0"/>
          <w:i w:val="0"/>
          <w:sz w:val="22"/>
        </w:rPr>
        <w:t>. 2023;23(1):102.</w:t>
      </w:r>
    </w:p>
    <w:p>
      <w:pPr>
        <w:pStyle w:val="ListNumber"/>
      </w:pPr>
      <w:r>
        <w:rPr>
          <w:rFonts w:ascii="Times New Roman" w:hAnsi="Times New Roman" w:eastAsia="Times New Roman"/>
          <w:b w:val="0"/>
          <w:i w:val="0"/>
          <w:sz w:val="22"/>
        </w:rPr>
        <w:t>World Health Organization. Global Strategy on Digital Health 2020–2025. Geneva: WHO; 2021.</w:t>
      </w:r>
    </w:p>
    <w:p>
      <w:pPr>
        <w:pStyle w:val="ListNumber"/>
      </w:pPr>
      <w:r>
        <w:rPr>
          <w:rFonts w:ascii="Times New Roman" w:hAnsi="Times New Roman" w:eastAsia="Times New Roman"/>
          <w:b w:val="0"/>
          <w:i w:val="0"/>
          <w:sz w:val="22"/>
        </w:rPr>
        <w:t>International Labour Organization. Vision Zero Fund Annual Report 2023. Geneva: ILO; 2024.</w:t>
      </w:r>
    </w:p>
    <w:p>
      <w:pPr>
        <w:pStyle w:val="ListNumber"/>
      </w:pPr>
      <w:r>
        <w:rPr>
          <w:rFonts w:ascii="Times New Roman" w:hAnsi="Times New Roman" w:eastAsia="Times New Roman"/>
          <w:b w:val="0"/>
          <w:i w:val="0"/>
          <w:sz w:val="22"/>
        </w:rPr>
        <w:t>Ministry of Employment and Labor, Republic of Korea. 5th Comprehensive Plan for Industrial Accident Prevention. Sejong: MoEL; 2023.</w:t>
      </w:r>
    </w:p>
    <w:p>
      <w:pPr>
        <w:pStyle w:val="ListNumber"/>
      </w:pPr>
      <w:r>
        <w:rPr>
          <w:rFonts w:ascii="Times New Roman" w:hAnsi="Times New Roman" w:eastAsia="Times New Roman"/>
          <w:b w:val="0"/>
          <w:i w:val="0"/>
          <w:sz w:val="22"/>
        </w:rPr>
        <w:t>American Heart Association. 2025 ECC &amp; CPR Guidelines. Dallas, TX: AHA; 2025.</w:t>
      </w:r>
    </w:p>
    <w:p>
      <w:pPr>
        <w:pStyle w:val="ListNumber"/>
      </w:pPr>
      <w:r>
        <w:rPr>
          <w:rFonts w:ascii="Times New Roman" w:hAnsi="Times New Roman" w:eastAsia="Times New Roman"/>
          <w:b w:val="0"/>
          <w:i w:val="0"/>
          <w:sz w:val="22"/>
        </w:rPr>
        <w:t xml:space="preserve">Perkins GD, Graesner JT, Semeraro F, et al. European Resuscitation Council Guidelines 2021. </w:t>
      </w:r>
      <w:r>
        <w:rPr>
          <w:rFonts w:ascii="Times New Roman" w:hAnsi="Times New Roman" w:eastAsia="Times New Roman"/>
          <w:b w:val="0"/>
          <w:i/>
          <w:sz w:val="22"/>
        </w:rPr>
        <w:t>Resuscitation</w:t>
      </w:r>
      <w:r>
        <w:rPr>
          <w:rFonts w:ascii="Times New Roman" w:hAnsi="Times New Roman" w:eastAsia="Times New Roman"/>
          <w:b w:val="0"/>
          <w:i w:val="0"/>
          <w:sz w:val="22"/>
        </w:rPr>
        <w:t>. 2021;161:1-60.</w:t>
      </w:r>
    </w:p>
    <w:p>
      <w:pPr>
        <w:pStyle w:val="ListNumber"/>
      </w:pPr>
      <w:r>
        <w:rPr>
          <w:rFonts w:ascii="Times New Roman" w:hAnsi="Times New Roman" w:eastAsia="Times New Roman"/>
          <w:b w:val="0"/>
          <w:i w:val="0"/>
          <w:sz w:val="22"/>
        </w:rPr>
        <w:t>Korean Association of Cardiopulmonary Resuscitation (KACPR). 2025 Korean Guidelines for CPR and ECC. Seoul: KACPR; 2025.</w:t>
      </w:r>
    </w:p>
    <w:p>
      <w:pPr>
        <w:pStyle w:val="ListNumber"/>
      </w:pPr>
      <w:r>
        <w:rPr>
          <w:rFonts w:ascii="Times New Roman" w:hAnsi="Times New Roman" w:eastAsia="Times New Roman"/>
          <w:b w:val="0"/>
          <w:i w:val="0"/>
          <w:sz w:val="22"/>
        </w:rPr>
        <w:t xml:space="preserve">Brooks SC, Simmons G, Worthington H, et al. The PulsePoint Respond mobile app and time-to-CPR. </w:t>
      </w:r>
      <w:r>
        <w:rPr>
          <w:rFonts w:ascii="Times New Roman" w:hAnsi="Times New Roman" w:eastAsia="Times New Roman"/>
          <w:b w:val="0"/>
          <w:i/>
          <w:sz w:val="22"/>
        </w:rPr>
        <w:t>Resuscitation</w:t>
      </w:r>
      <w:r>
        <w:rPr>
          <w:rFonts w:ascii="Times New Roman" w:hAnsi="Times New Roman" w:eastAsia="Times New Roman"/>
          <w:b w:val="0"/>
          <w:i w:val="0"/>
          <w:sz w:val="22"/>
        </w:rPr>
        <w:t>. 2020;146:13-18.</w:t>
      </w:r>
    </w:p>
    <w:p>
      <w:pPr>
        <w:pStyle w:val="ListNumber"/>
      </w:pPr>
      <w:r>
        <w:rPr>
          <w:rFonts w:ascii="Times New Roman" w:hAnsi="Times New Roman" w:eastAsia="Times New Roman"/>
          <w:b w:val="0"/>
          <w:i w:val="0"/>
          <w:sz w:val="22"/>
        </w:rPr>
        <w:t>Korean Ministry of Health and Welfare. AED Map National Registry. Seoul: MoHW; 2024.</w:t>
      </w:r>
    </w:p>
    <w:p>
      <w:pPr>
        <w:pStyle w:val="ListNumber"/>
      </w:pPr>
      <w:r>
        <w:rPr>
          <w:rFonts w:ascii="Times New Roman" w:hAnsi="Times New Roman" w:eastAsia="Times New Roman"/>
          <w:b w:val="0"/>
          <w:i w:val="0"/>
          <w:sz w:val="22"/>
        </w:rPr>
        <w:t xml:space="preserve">Perez MV, Mahaffey KW, Hedlin H, et al. Large-scale assessment of a smartwatch to identify atrial fibrillation. </w:t>
      </w:r>
      <w:r>
        <w:rPr>
          <w:rFonts w:ascii="Times New Roman" w:hAnsi="Times New Roman" w:eastAsia="Times New Roman"/>
          <w:b w:val="0"/>
          <w:i/>
          <w:sz w:val="22"/>
        </w:rPr>
        <w:t>N Engl J Med</w:t>
      </w:r>
      <w:r>
        <w:rPr>
          <w:rFonts w:ascii="Times New Roman" w:hAnsi="Times New Roman" w:eastAsia="Times New Roman"/>
          <w:b w:val="0"/>
          <w:i w:val="0"/>
          <w:sz w:val="22"/>
        </w:rPr>
        <w:t>. 2019;381(20):1909-1917.</w:t>
      </w:r>
    </w:p>
    <w:p>
      <w:pPr>
        <w:pStyle w:val="ListNumber"/>
      </w:pPr>
      <w:r>
        <w:rPr>
          <w:rFonts w:ascii="Times New Roman" w:hAnsi="Times New Roman" w:eastAsia="Times New Roman"/>
          <w:b w:val="0"/>
          <w:i w:val="0"/>
          <w:sz w:val="22"/>
        </w:rPr>
        <w:t>International Organization for Standardization. ISO 45001:2018 Occupational health and safety management systems—Requirements with guidance for use. Geneva: ISO; 2018.</w:t>
      </w:r>
    </w:p>
    <w:p>
      <w:pPr>
        <w:pStyle w:val="ListNumber"/>
      </w:pPr>
      <w:r>
        <w:rPr>
          <w:rFonts w:ascii="Times New Roman" w:hAnsi="Times New Roman" w:eastAsia="Times New Roman"/>
          <w:b w:val="0"/>
          <w:i w:val="0"/>
          <w:sz w:val="22"/>
        </w:rPr>
        <w:t xml:space="preserve">McDonagh TA, Metra M, Adamo M, et al. 2023 Focused Update of the 2021 ESC Guidelines for the diagnosis and treatment of acute and chronic heart failure. </w:t>
      </w:r>
      <w:r>
        <w:rPr>
          <w:rFonts w:ascii="Times New Roman" w:hAnsi="Times New Roman" w:eastAsia="Times New Roman"/>
          <w:b w:val="0"/>
          <w:i/>
          <w:sz w:val="22"/>
        </w:rPr>
        <w:t>Eur Heart J</w:t>
      </w:r>
      <w:r>
        <w:rPr>
          <w:rFonts w:ascii="Times New Roman" w:hAnsi="Times New Roman" w:eastAsia="Times New Roman"/>
          <w:b w:val="0"/>
          <w:i w:val="0"/>
          <w:sz w:val="22"/>
        </w:rPr>
        <w:t>. 2023;44(37):3627-3639.</w:t>
      </w:r>
    </w:p>
    <w:p>
      <w:pPr>
        <w:pStyle w:val="ListNumber"/>
      </w:pPr>
      <w:r>
        <w:rPr>
          <w:rFonts w:ascii="Times New Roman" w:hAnsi="Times New Roman" w:eastAsia="Times New Roman"/>
          <w:b w:val="0"/>
          <w:i w:val="0"/>
          <w:sz w:val="22"/>
        </w:rPr>
        <w:t xml:space="preserve">Lundberg SM, Lee SI. A unified approach to interpreting model predictions. </w:t>
      </w:r>
      <w:r>
        <w:rPr>
          <w:rFonts w:ascii="Times New Roman" w:hAnsi="Times New Roman" w:eastAsia="Times New Roman"/>
          <w:b w:val="0"/>
          <w:i/>
          <w:sz w:val="22"/>
        </w:rPr>
        <w:t>Adv Neural Inf Process Syst (NeurIPS)</w:t>
      </w:r>
      <w:r>
        <w:rPr>
          <w:rFonts w:ascii="Times New Roman" w:hAnsi="Times New Roman" w:eastAsia="Times New Roman"/>
          <w:b w:val="0"/>
          <w:i w:val="0"/>
          <w:sz w:val="22"/>
        </w:rPr>
        <w:t>. 2017;30:4768-4777.</w:t>
      </w:r>
    </w:p>
    <w:p>
      <w:pPr>
        <w:pStyle w:val="ListNumber"/>
      </w:pPr>
      <w:r>
        <w:rPr>
          <w:rFonts w:ascii="Times New Roman" w:hAnsi="Times New Roman" w:eastAsia="Times New Roman"/>
          <w:b w:val="0"/>
          <w:i w:val="0"/>
          <w:sz w:val="22"/>
        </w:rPr>
        <w:t>Ministry of Food and Drug Safety (MFDS), Republic of Korea. Digital Health Software Guideline. Cheongju: MFDS; 2024.</w:t>
      </w:r>
    </w:p>
    <w:p>
      <w:pPr>
        <w:pStyle w:val="ListNumber"/>
      </w:pPr>
      <w:r>
        <w:rPr>
          <w:rFonts w:ascii="Times New Roman" w:hAnsi="Times New Roman" w:eastAsia="Times New Roman"/>
          <w:b w:val="0"/>
          <w:i w:val="0"/>
          <w:sz w:val="22"/>
        </w:rPr>
        <w:t xml:space="preserve">McNally B, Robb R, Mehta M, et al. Cardiac Arrest Registry to Enhance Survival (CARES). </w:t>
      </w:r>
      <w:r>
        <w:rPr>
          <w:rFonts w:ascii="Times New Roman" w:hAnsi="Times New Roman" w:eastAsia="Times New Roman"/>
          <w:b w:val="0"/>
          <w:i/>
          <w:sz w:val="22"/>
        </w:rPr>
        <w:t>Circ Cardiovasc Qual Outcomes</w:t>
      </w:r>
      <w:r>
        <w:rPr>
          <w:rFonts w:ascii="Times New Roman" w:hAnsi="Times New Roman" w:eastAsia="Times New Roman"/>
          <w:b w:val="0"/>
          <w:i w:val="0"/>
          <w:sz w:val="22"/>
        </w:rPr>
        <w:t>. 2024.</w:t>
      </w:r>
    </w:p>
    <w:p>
      <w:pPr>
        <w:pStyle w:val="ListNumber"/>
      </w:pPr>
      <w:r>
        <w:rPr>
          <w:rFonts w:ascii="Times New Roman" w:hAnsi="Times New Roman" w:eastAsia="Times New Roman"/>
          <w:b w:val="0"/>
          <w:i w:val="0"/>
          <w:sz w:val="22"/>
        </w:rPr>
        <w:t>World Wide Web Consortium (W3C). Web Content Accessibility Guidelines (WCAG) 2.1. W3C Recommendation; 2018.</w:t>
      </w:r>
    </w:p>
    <w:p/>
    <w:p>
      <w:r>
        <w:br/>
      </w:r>
    </w:p>
    <w:p/>
    <w:p>
      <w:r>
        <w:rPr>
          <w:rFonts w:ascii="Times New Roman" w:hAnsi="Times New Roman" w:eastAsia="Times New Roman"/>
          <w:b w:val="0"/>
          <w:i/>
          <w:sz w:val="22"/>
        </w:rPr>
        <w:t>Submitted to the Digital Health Competition · Industrial Safety track · 2026.</w:t>
      </w:r>
    </w:p>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