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Malgun Gothic"/>
          <w:b/>
          <w:color w:val="0F172A"/>
          <w:sz w:val="44"/>
        </w:rPr>
        <w:t>CardioGuard Industrial（산업심장수호）: 산업 현장 심정지 응급 대응을 위한 한·중 이중 언어 디지털 플랫폼</w:t>
      </w:r>
    </w:p>
    <w:p/>
    <w:p>
      <w:r>
        <w:rPr>
          <w:rFonts w:ascii="Calibri" w:hAnsi="Calibri" w:eastAsia="Malgun Gothic"/>
          <w:b/>
          <w:i w:val="0"/>
          <w:sz w:val="22"/>
        </w:rPr>
        <w:t>짧은 제목(Running title):</w:t>
      </w:r>
      <w:r>
        <w:rPr>
          <w:rFonts w:ascii="Calibri" w:hAnsi="Calibri" w:eastAsia="Malgun Gothic"/>
          <w:b w:val="0"/>
          <w:i w:val="0"/>
          <w:sz w:val="22"/>
        </w:rPr>
        <w:t xml:space="preserve"> 산업 심정지 응급을 위한 이중 언어 플랫폼</w:t>
      </w:r>
    </w:p>
    <w:p/>
    <w:p>
      <w:r>
        <w:rPr>
          <w:rFonts w:ascii="Calibri" w:hAnsi="Calibri" w:eastAsia="Malgun Gothic"/>
          <w:b/>
          <w:i w:val="0"/>
          <w:sz w:val="22"/>
        </w:rPr>
        <w:t>논문 유형:</w:t>
      </w:r>
      <w:r>
        <w:rPr>
          <w:rFonts w:ascii="Calibri" w:hAnsi="Calibri" w:eastAsia="Malgun Gothic"/>
          <w:b w:val="0"/>
          <w:i w:val="0"/>
          <w:sz w:val="22"/>
        </w:rPr>
        <w:t xml:space="preserve"> 원저 소프트웨어 / 시스템 논문(디지털 헬스)</w:t>
      </w:r>
    </w:p>
    <w:p/>
    <w:p>
      <w:r>
        <w:br/>
      </w:r>
    </w:p>
    <w:p/>
    <w:p>
      <w:r>
        <w:rPr>
          <w:rFonts w:ascii="Calibri" w:hAnsi="Calibri" w:eastAsia="Malgun Gothic"/>
          <w:b/>
          <w:i w:val="0"/>
          <w:sz w:val="22"/>
        </w:rPr>
        <w:t>Wu Jingrui（吴静蕊）</w:t>
      </w:r>
      <w:r>
        <w:rPr>
          <w:rFonts w:ascii="Calibri" w:hAnsi="Calibri" w:eastAsia="Malgun Gothic"/>
          <w:b w:val="0"/>
          <w:i w:val="0"/>
          <w:sz w:val="22"/>
        </w:rPr>
        <w:t xml:space="preserve"> ¹ ² *</w:t>
      </w:r>
    </w:p>
    <w:p/>
    <w:p>
      <w:r>
        <w:rPr>
          <w:rFonts w:ascii="Calibri" w:hAnsi="Calibri" w:eastAsia="Malgun Gothic"/>
          <w:b w:val="0"/>
          <w:i w:val="0"/>
          <w:sz w:val="22"/>
        </w:rPr>
        <w:t>¹ 시안의학고등전문학교（Xi'an Medical College, 西安医学高等专科学校）, 중국 산시성 시안</w:t>
      </w:r>
    </w:p>
    <w:p>
      <w:r>
        <w:rPr>
          <w:rFonts w:ascii="Calibri" w:hAnsi="Calibri" w:eastAsia="Malgun Gothic"/>
          <w:b w:val="0"/>
          <w:i w:val="0"/>
          <w:sz w:val="22"/>
        </w:rPr>
        <w:t>² 경운대학교（Kyungwoon University）공중보건학과, 대한민국 경상북도 구미</w:t>
      </w:r>
    </w:p>
    <w:p/>
    <w:p>
      <w:r>
        <w:rPr>
          <w:rFonts w:ascii="Calibri" w:hAnsi="Calibri" w:eastAsia="Malgun Gothic"/>
          <w:b/>
          <w:i w:val="0"/>
          <w:sz w:val="22"/>
        </w:rPr>
        <w:t>교신저자.</w:t>
      </w:r>
      <w:r>
        <w:rPr>
          <w:rFonts w:ascii="Calibri" w:hAnsi="Calibri" w:eastAsia="Malgun Gothic"/>
          <w:b w:val="0"/>
          <w:i w:val="0"/>
          <w:sz w:val="22"/>
        </w:rPr>
        <w:t xml:space="preserve"> Wu Jingrui, 경운대학교 공중보건학과, 대한민국 구미 39160. 이메일: 253207006@ikw.ac.kr · ORCID: 0000-0000-0000-0000 </w:t>
      </w:r>
      <w:r>
        <w:rPr>
          <w:rFonts w:ascii="Calibri" w:hAnsi="Calibri" w:eastAsia="Malgun Gothic"/>
          <w:b w:val="0"/>
          <w:i/>
          <w:sz w:val="22"/>
        </w:rPr>
        <w:t>(추후 보완)</w:t>
      </w:r>
    </w:p>
    <w:p/>
    <w:p>
      <w:r>
        <w:rPr>
          <w:rFonts w:ascii="Calibri" w:hAnsi="Calibri" w:eastAsia="Malgun Gothic"/>
          <w:b/>
          <w:i w:val="0"/>
          <w:sz w:val="22"/>
        </w:rPr>
        <w:t>투고 대상:</w:t>
      </w:r>
      <w:r>
        <w:rPr>
          <w:rFonts w:ascii="Calibri" w:hAnsi="Calibri" w:eastAsia="Malgun Gothic"/>
          <w:b w:val="0"/>
          <w:i w:val="0"/>
          <w:sz w:val="22"/>
        </w:rPr>
        <w:t xml:space="preserve"> 디지털 헬스케어 경진대회 —— </w:t>
      </w:r>
      <w:r>
        <w:rPr>
          <w:rFonts w:ascii="Calibri" w:hAnsi="Calibri" w:eastAsia="Malgun Gothic"/>
          <w:b w:val="0"/>
          <w:i/>
          <w:sz w:val="22"/>
        </w:rPr>
        <w:t>산업 안전(Industrial Safety)</w:t>
      </w:r>
      <w:r>
        <w:rPr>
          <w:rFonts w:ascii="Calibri" w:hAnsi="Calibri" w:eastAsia="Malgun Gothic"/>
          <w:b w:val="0"/>
          <w:i w:val="0"/>
          <w:sz w:val="22"/>
        </w:rPr>
        <w:t xml:space="preserve"> 부문, 2026년 6월</w:t>
      </w:r>
    </w:p>
    <w:p>
      <w:r>
        <w:rPr>
          <w:rFonts w:ascii="Calibri" w:hAnsi="Calibri" w:eastAsia="Malgun Gothic"/>
          <w:b/>
          <w:i w:val="0"/>
          <w:sz w:val="22"/>
        </w:rPr>
        <w:t>라이선스:</w:t>
      </w:r>
      <w:r>
        <w:rPr>
          <w:rFonts w:ascii="Calibri" w:hAnsi="Calibri" w:eastAsia="Malgun Gothic"/>
          <w:b w:val="0"/>
          <w:i w:val="0"/>
          <w:sz w:val="22"/>
        </w:rPr>
        <w:t xml:space="preserve"> MIT(소스 코드) · CC BY 4.0(논문 본문)</w:t>
      </w:r>
    </w:p>
    <w:p/>
    <w:p>
      <w:r>
        <w:br/>
      </w:r>
    </w:p>
    <w:p/>
    <w:p>
      <w:r>
        <w:rPr>
          <w:rFonts w:ascii="Calibri" w:hAnsi="Calibri" w:eastAsia="Malgun Gothic"/>
          <w:b/>
          <w:color w:val="DC2626"/>
          <w:sz w:val="32"/>
        </w:rPr>
        <w:t>연구 하이라이트(Highlights)</w:t>
      </w:r>
    </w:p>
    <w:p/>
    <w:p>
      <w:pPr>
        <w:pStyle w:val="ListBullet"/>
      </w:pPr>
      <w:r>
        <w:rPr>
          <w:rFonts w:ascii="Calibri" w:hAnsi="Calibri" w:eastAsia="Malgun Gothic"/>
          <w:b w:val="0"/>
          <w:i w:val="0"/>
          <w:sz w:val="22"/>
        </w:rPr>
        <w:t>한·중 이중 언어 정적 웹 플랫폼이 산업 현장 심정지에 대해 "감지 → 예측 → 대응 → 교육 → 데이터"의 전 과정을 폐쇄 루프로 연결한다.</w:t>
      </w:r>
    </w:p>
    <w:p>
      <w:pPr>
        <w:pStyle w:val="ListBullet"/>
      </w:pPr>
      <w:r>
        <w:rPr>
          <w:rFonts w:ascii="Calibri" w:hAnsi="Calibri" w:eastAsia="Malgun Gothic"/>
          <w:b w:val="0"/>
          <w:i w:val="0"/>
          <w:sz w:val="22"/>
        </w:rPr>
        <w:t>모든 기능 모듈이 AHA 2025 ECC, ERC 2021, KACPR 2025, ISO 45001:2018에 매핑되어 심사자에게 추적 가능한 표준 출처를 제공한다.</w:t>
      </w:r>
    </w:p>
    <w:p>
      <w:pPr>
        <w:pStyle w:val="ListBullet"/>
      </w:pPr>
      <w:r>
        <w:rPr>
          <w:rFonts w:ascii="Calibri" w:hAnsi="Calibri" w:eastAsia="Malgun Gothic"/>
          <w:b w:val="0"/>
          <w:i w:val="0"/>
          <w:sz w:val="22"/>
        </w:rPr>
        <w:t>1만 명 근로자 규모의 시나리오 시뮬레이션 결과, 병원 외 심정지(OHCA) 퇴원 생존율이 약 10%에서 ≥ 25%로, 1차 대응자 도달 시간 중위값이 8분에서 ≤ 3분으로 개선될 것으로 예측된다.</w:t>
      </w:r>
    </w:p>
    <w:p>
      <w:pPr>
        <w:pStyle w:val="ListBullet"/>
      </w:pPr>
      <w:r>
        <w:rPr>
          <w:rFonts w:ascii="Calibri" w:hAnsi="Calibri" w:eastAsia="Malgun Gothic"/>
          <w:b w:val="0"/>
          <w:i w:val="0"/>
          <w:sz w:val="22"/>
        </w:rPr>
        <w:t>원클릭 한국어 PDF 출력과 약 430개 키의 이중 언어 국제화 계층이, 경쟁 원형들에 흔한 한·중 국경 간 도입 장벽을 제거한다.</w:t>
      </w:r>
    </w:p>
    <w:p>
      <w:pPr>
        <w:pStyle w:val="ListBullet"/>
      </w:pPr>
      <w:r>
        <w:rPr>
          <w:rFonts w:ascii="Calibri" w:hAnsi="Calibri" w:eastAsia="Malgun Gothic"/>
          <w:b w:val="0"/>
          <w:i w:val="0"/>
          <w:sz w:val="22"/>
        </w:rPr>
        <w:t>산출물은 완전한 오픈소스이며 어떠한 정적 호스트에서도 바이트 단위로 재현 가능하다.</w:t>
      </w:r>
    </w:p>
    <w:p/>
    <w:p>
      <w:r>
        <w:br/>
      </w:r>
    </w:p>
    <w:p/>
    <w:p>
      <w:r>
        <w:rPr>
          <w:rFonts w:ascii="Calibri" w:hAnsi="Calibri" w:eastAsia="Malgun Gothic"/>
          <w:b/>
          <w:color w:val="DC2626"/>
          <w:sz w:val="32"/>
        </w:rPr>
        <w:t>초록</w:t>
      </w:r>
    </w:p>
    <w:p/>
    <w:p>
      <w:r>
        <w:rPr>
          <w:rFonts w:ascii="Calibri" w:hAnsi="Calibri" w:eastAsia="Malgun Gothic"/>
          <w:b/>
          <w:i w:val="0"/>
          <w:sz w:val="22"/>
        </w:rPr>
        <w:t>배경.</w:t>
      </w:r>
      <w:r>
        <w:rPr>
          <w:rFonts w:ascii="Calibri" w:hAnsi="Calibri" w:eastAsia="Malgun Gothic"/>
          <w:b w:val="0"/>
          <w:i w:val="0"/>
          <w:sz w:val="22"/>
        </w:rPr>
        <w:t xml:space="preserve"> 병원 외 심정지(OHCA)는 산업 작업장에서 치명성이 가장 높은 급성 사건 중 하나로, 전 세계 퇴원 생존율은 10% 미만이다. 발생 후 최초 4분 이내의 목격자 심폐소생술(CPR)과 자동 심장충격기(AED) 사용은 생존을 좌우하는 가장 주요한 가변적 결정 요인이다. 그러나 산업단지는 AED 분포 희소, 낮은 CPR 인증률, 단편화된 디스패치 체계를 겪으며, 한·중 합작 단지에서는 생산 등급의 이중 언어 인터페이스 부재가 더해진다.</w:t>
      </w:r>
    </w:p>
    <w:p/>
    <w:p>
      <w:r>
        <w:rPr>
          <w:rFonts w:ascii="Calibri" w:hAnsi="Calibri" w:eastAsia="Malgun Gothic"/>
          <w:b/>
          <w:i w:val="0"/>
          <w:sz w:val="22"/>
        </w:rPr>
        <w:t>목적.</w:t>
      </w:r>
      <w:r>
        <w:rPr>
          <w:rFonts w:ascii="Calibri" w:hAnsi="Calibri" w:eastAsia="Malgun Gothic"/>
          <w:b w:val="0"/>
          <w:i w:val="0"/>
          <w:sz w:val="22"/>
        </w:rPr>
        <w:t xml:space="preserve"> </w:t>
      </w:r>
      <w:r>
        <w:rPr>
          <w:rFonts w:ascii="Calibri" w:hAnsi="Calibri" w:eastAsia="Malgun Gothic"/>
          <w:b w:val="0"/>
          <w:i/>
          <w:sz w:val="22"/>
        </w:rPr>
        <w:t>CardioGuard Industrial(工心守护 / 산업심장수호)</w:t>
      </w:r>
      <w:r>
        <w:rPr>
          <w:rFonts w:ascii="Calibri" w:hAnsi="Calibri" w:eastAsia="Malgun Gothic"/>
          <w:b w:val="0"/>
          <w:i w:val="0"/>
          <w:sz w:val="22"/>
        </w:rPr>
        <w:t xml:space="preserve"> —— 산업 심정지 응급의 폐쇄 루프 대응을 공학적으로 구현하고 경진대회 제출이 가능한 산출물로 제공하는, 재현 가능한 한·중 이중 언어 디지털 헬스 플랫폼 —— 을 설계·구현·평가한다.</w:t>
      </w:r>
    </w:p>
    <w:p/>
    <w:p>
      <w:r>
        <w:rPr>
          <w:rFonts w:ascii="Calibri" w:hAnsi="Calibri" w:eastAsia="Malgun Gothic"/>
          <w:b/>
          <w:i w:val="0"/>
          <w:sz w:val="22"/>
        </w:rPr>
        <w:t>방법.</w:t>
      </w:r>
      <w:r>
        <w:rPr>
          <w:rFonts w:ascii="Calibri" w:hAnsi="Calibri" w:eastAsia="Malgun Gothic"/>
          <w:b w:val="0"/>
          <w:i w:val="0"/>
          <w:sz w:val="22"/>
        </w:rPr>
        <w:t xml:space="preserve"> 우리는 실시간 생체신호 모니터링, 인공지능(AI) 위험도 예측 사양, AED 사물인터넷(IoT) 네트워크, 음성 안내 CPR 대응, 디지털 교육, 안전 데이터 콕핏을 통합한, 의존성 없는(zero-dependency) 접근성 준수(WCAG 2.1 AA) 정적 웹 원형을 개발하였다. 각 모듈은 AHA 2025 ECC, ERC 2021, KACPR 2025, ISO 45001:2018에 매핑하였다. 본 산출물은 최소 기능 제품(MVP)이므로, 기대 효과는 일차 데이터 수집이 아닌 문헌 삼각검증과 1만 명 근로자 규모 중형 산업단지에 대한 시나리오 시뮬레이션으로 평가하였다.</w:t>
      </w:r>
    </w:p>
    <w:p/>
    <w:p>
      <w:r>
        <w:rPr>
          <w:rFonts w:ascii="Calibri" w:hAnsi="Calibri" w:eastAsia="Malgun Gothic"/>
          <w:b/>
          <w:i w:val="0"/>
          <w:sz w:val="22"/>
        </w:rPr>
        <w:t>결과.</w:t>
      </w:r>
      <w:r>
        <w:rPr>
          <w:rFonts w:ascii="Calibri" w:hAnsi="Calibri" w:eastAsia="Malgun Gothic"/>
          <w:b w:val="0"/>
          <w:i w:val="0"/>
          <w:sz w:val="22"/>
        </w:rPr>
        <w:t xml:space="preserve"> 본 원형은 한·중 네이티브 전환(약 430개 국제화 키), 원클릭 한국어 PDF 출력, 4개의 인터랙티브 대시보드를 제공한다. 발표된 기준선과 비교했을 때 시나리오 시뮬레이션은 다음을 예측하였다: OHCA 퇴원 생존율 약 10% → ≥ 25%(+15%p), 쓰러짐 → CPR 시간 중위값 약 8분 → ≤ 3분(−62%), 4분 내 AED 도달성 38% → 91%(+53%p), CPR 인증률 12% → ≥ 60%. 1만 명 단지 기준 추정 투자수익률(ROI) &gt; 5.</w:t>
      </w:r>
    </w:p>
    <w:p/>
    <w:p>
      <w:r>
        <w:rPr>
          <w:rFonts w:ascii="Calibri" w:hAnsi="Calibri" w:eastAsia="Malgun Gothic"/>
          <w:b/>
          <w:i w:val="0"/>
          <w:sz w:val="22"/>
        </w:rPr>
        <w:t>결론.</w:t>
      </w:r>
      <w:r>
        <w:rPr>
          <w:rFonts w:ascii="Calibri" w:hAnsi="Calibri" w:eastAsia="Malgun Gothic"/>
          <w:b w:val="0"/>
          <w:i w:val="0"/>
          <w:sz w:val="22"/>
        </w:rPr>
        <w:t xml:space="preserve"> CardioGuard Industrial은 표준에 기반하고 이중 언어를 지원하는 오픈소스 원형으로서, 비용 없이 재현 가능하며 한·중 합작 단지의 시범 도입으로 이행할 준비가 되어 있다. 본 연구는 </w:t>
      </w:r>
      <w:r>
        <w:rPr>
          <w:rFonts w:ascii="Calibri" w:hAnsi="Calibri" w:eastAsia="Malgun Gothic"/>
          <w:b w:val="0"/>
          <w:i/>
          <w:sz w:val="22"/>
        </w:rPr>
        <w:t>산업 안전</w:t>
      </w:r>
      <w:r>
        <w:rPr>
          <w:rFonts w:ascii="Calibri" w:hAnsi="Calibri" w:eastAsia="Malgun Gothic"/>
          <w:b w:val="0"/>
          <w:i w:val="0"/>
          <w:sz w:val="22"/>
        </w:rPr>
        <w:t xml:space="preserve"> 과제에 대한 실행 가능한 디지털 헬스 응답이자, 동료심사를 통한 확장의 템플릿을 제시한다.</w:t>
      </w:r>
    </w:p>
    <w:p/>
    <w:p>
      <w:r>
        <w:rPr>
          <w:rFonts w:ascii="Calibri" w:hAnsi="Calibri" w:eastAsia="Malgun Gothic"/>
          <w:b/>
          <w:i w:val="0"/>
          <w:sz w:val="22"/>
        </w:rPr>
        <w:t>키워드:</w:t>
      </w:r>
      <w:r>
        <w:rPr>
          <w:rFonts w:ascii="Calibri" w:hAnsi="Calibri" w:eastAsia="Malgun Gothic"/>
          <w:b w:val="0"/>
          <w:i w:val="0"/>
          <w:sz w:val="22"/>
        </w:rPr>
        <w:t xml:space="preserve"> 디지털 헬스; 산업 안전; 병원 외 심정지; 자동 심장충격기; 심폐소생술; 사물인터넷; 임상 의사결정 지원; 이중 언어 사용자 인터페이스; 한·중 협력; 공중보건 정보학</w:t>
      </w:r>
    </w:p>
    <w:p/>
    <w:p>
      <w:r>
        <w:br/>
      </w:r>
    </w:p>
    <w:p/>
    <w:p>
      <w:r>
        <w:rPr>
          <w:rFonts w:ascii="Calibri" w:hAnsi="Calibri" w:eastAsia="Malgun Gothic"/>
          <w:b/>
          <w:color w:val="DC2626"/>
          <w:sz w:val="32"/>
        </w:rPr>
        <w:t>약어</w:t>
      </w:r>
    </w:p>
    <w:p/>
    <w:p>
      <w:r>
        <w:rPr>
          <w:rFonts w:ascii="Calibri" w:hAnsi="Calibri" w:eastAsia="Malgun Gothic"/>
          <w:b w:val="0"/>
          <w:i w:val="0"/>
          <w:sz w:val="22"/>
        </w:rPr>
        <w:t>AED, 자동 심장충격기; AHA, 미국심장협회; AI, 인공지능; CPR, 심폐소생술; ECC, 응급 심혈관 치료; EHS, 환경·보건·안전; ERC, 유럽소생협의회; FHIR, 신속 의료 상호운용 자원; IoT, 사물인터넷; ISO, 국제표준화기구; KACPR, 대한심폐소생협회; MFDS, 식품의약품안전처; MVP, 최소 기능 제품; NCD, 비전염성 질환; OHCA, 병원 외 심정지; ROI, 투자수익률; SaMD, 의료기기 소프트웨어; SDG, 지속가능발전목표; SHAP, Shapley 가산 설명; SpO₂, 말초 산소포화도; VR, 가상현실; WCAG, 웹 콘텐츠 접근성 지침; WHO, 세계보건기구.</w:t>
      </w:r>
    </w:p>
    <w:p/>
    <w:p>
      <w:r>
        <w:br/>
      </w:r>
    </w:p>
    <w:p/>
    <w:p>
      <w:r>
        <w:rPr>
          <w:rFonts w:ascii="Calibri" w:hAnsi="Calibri" w:eastAsia="Malgun Gothic"/>
          <w:b/>
          <w:color w:val="DC2626"/>
          <w:sz w:val="32"/>
        </w:rPr>
        <w:t>1. 서론</w:t>
      </w:r>
    </w:p>
    <w:p/>
    <w:p>
      <w:r>
        <w:rPr>
          <w:rFonts w:ascii="Calibri" w:hAnsi="Calibri" w:eastAsia="Malgun Gothic"/>
          <w:b/>
          <w:color w:val="0F172A"/>
          <w:sz w:val="26"/>
        </w:rPr>
        <w:t>1.1 산업 현장 OHCA의 공중보건 부담</w:t>
      </w:r>
    </w:p>
    <w:p/>
    <w:p>
      <w:r>
        <w:rPr>
          <w:rFonts w:ascii="Calibri" w:hAnsi="Calibri" w:eastAsia="Malgun Gothic"/>
          <w:b w:val="0"/>
          <w:i w:val="0"/>
          <w:sz w:val="22"/>
        </w:rPr>
        <w:t xml:space="preserve">미국심장협회(AHA) 2025 </w:t>
      </w:r>
      <w:r>
        <w:rPr>
          <w:rFonts w:ascii="Calibri" w:hAnsi="Calibri" w:eastAsia="Malgun Gothic"/>
          <w:b w:val="0"/>
          <w:i/>
          <w:sz w:val="22"/>
        </w:rPr>
        <w:t>Heart Disease and Stroke Statistics</w:t>
      </w:r>
      <w:r>
        <w:rPr>
          <w:rFonts w:ascii="Calibri" w:hAnsi="Calibri" w:eastAsia="Malgun Gothic"/>
          <w:b w:val="0"/>
          <w:i w:val="0"/>
          <w:sz w:val="22"/>
        </w:rPr>
        <w:t xml:space="preserve"> 갱신 보고서에 따르면, 산업화 경제권의 OHCA 연간 발생률은 인구 10만 명당 50–110건이며, 대부분의 대규모 등록 연구에서 퇴원 생존율은 8.0–10.4%이다 [1]. 산업 근로자는 긴 교대 주기, 고온·소음 노출, 분진 흡입, 만성 스트레스 등 잘 알려진 부정맥 조절 요인으로 인해 위험도가 더 높다 [2,3]. 산업단지 내에서는 네 가지 기전이 효과적 대응을 지속적으로 지연시킨다:</w:t>
      </w:r>
    </w:p>
    <w:p/>
    <w:p>
      <w:pPr>
        <w:pStyle w:val="ListNumber"/>
      </w:pPr>
      <w:r>
        <w:rPr>
          <w:rFonts w:ascii="Calibri" w:hAnsi="Calibri" w:eastAsia="Malgun Gothic"/>
          <w:b/>
          <w:i w:val="0"/>
          <w:sz w:val="22"/>
        </w:rPr>
        <w:t>AED 희소성과 열화.</w:t>
      </w:r>
      <w:r>
        <w:rPr>
          <w:rFonts w:ascii="Calibri" w:hAnsi="Calibri" w:eastAsia="Malgun Gothic"/>
          <w:b w:val="0"/>
          <w:i w:val="0"/>
          <w:sz w:val="22"/>
        </w:rPr>
        <w:t xml:space="preserve"> 장비는 설치되었으나 거의 유지보수되지 않는다. 감사 대상이 된 아시아 배치에서 공공 AED의 약 22%가 필요 시점에 작동하지 않았다 [4].</w:t>
      </w:r>
    </w:p>
    <w:p>
      <w:pPr>
        <w:pStyle w:val="ListNumber"/>
      </w:pPr>
      <w:r>
        <w:rPr>
          <w:rFonts w:ascii="Calibri" w:hAnsi="Calibri" w:eastAsia="Malgun Gothic"/>
          <w:b/>
          <w:i w:val="0"/>
          <w:sz w:val="22"/>
        </w:rPr>
        <w:t>낮은 CPR 인증률.</w:t>
      </w:r>
      <w:r>
        <w:rPr>
          <w:rFonts w:ascii="Calibri" w:hAnsi="Calibri" w:eastAsia="Malgun Gothic"/>
          <w:b w:val="0"/>
          <w:i w:val="0"/>
          <w:sz w:val="22"/>
        </w:rPr>
        <w:t xml:space="preserve"> 한·중 제조업 설문에서 비의료 직원의 자가보고 인증률은 8–14%에 불과하다 [5].</w:t>
      </w:r>
    </w:p>
    <w:p>
      <w:pPr>
        <w:pStyle w:val="ListNumber"/>
      </w:pPr>
      <w:r>
        <w:rPr>
          <w:rFonts w:ascii="Calibri" w:hAnsi="Calibri" w:eastAsia="Malgun Gothic"/>
          <w:b/>
          <w:i w:val="0"/>
          <w:sz w:val="22"/>
        </w:rPr>
        <w:t>디스패치 단편화.</w:t>
      </w:r>
      <w:r>
        <w:rPr>
          <w:rFonts w:ascii="Calibri" w:hAnsi="Calibri" w:eastAsia="Malgun Gothic"/>
          <w:b w:val="0"/>
          <w:i w:val="0"/>
          <w:sz w:val="22"/>
        </w:rPr>
        <w:t xml:space="preserve"> 사내 의무실, 훈련된 자원봉사자, 119/120 응급센터가 서로 단절된 정보 채널에서 운영된다.</w:t>
      </w:r>
    </w:p>
    <w:p>
      <w:pPr>
        <w:pStyle w:val="ListNumber"/>
      </w:pPr>
      <w:r>
        <w:rPr>
          <w:rFonts w:ascii="Calibri" w:hAnsi="Calibri" w:eastAsia="Malgun Gothic"/>
          <w:b/>
          <w:i w:val="0"/>
          <w:sz w:val="22"/>
        </w:rPr>
        <w:t>언어 마찰.</w:t>
      </w:r>
      <w:r>
        <w:rPr>
          <w:rFonts w:ascii="Calibri" w:hAnsi="Calibri" w:eastAsia="Malgun Gothic"/>
          <w:b w:val="0"/>
          <w:i w:val="0"/>
          <w:sz w:val="22"/>
        </w:rPr>
        <w:t xml:space="preserve"> 한·중 합작 단지(예: 산둥, 평택)에는 생산 등급의 이중 언어 안전 인터페이스가 없다.</w:t>
      </w:r>
    </w:p>
    <w:p/>
    <w:p>
      <w:r>
        <w:rPr>
          <w:rFonts w:ascii="Calibri" w:hAnsi="Calibri" w:eastAsia="Malgun Gothic"/>
          <w:b/>
          <w:color w:val="0F172A"/>
          <w:sz w:val="26"/>
        </w:rPr>
        <w:t>1.2 디지털 헬스 × 산업 안전의 기회</w:t>
      </w:r>
    </w:p>
    <w:p/>
    <w:p>
      <w:r>
        <w:rPr>
          <w:rFonts w:ascii="Calibri" w:hAnsi="Calibri" w:eastAsia="Malgun Gothic"/>
          <w:b w:val="0"/>
          <w:i w:val="0"/>
          <w:sz w:val="22"/>
        </w:rPr>
        <w:t xml:space="preserve">웨어러블 생체감지, 엣지 AI, IoT 기반 제세동의 융합은 실행 가능한 설계 공간을 만든다. 세계보건기구 </w:t>
      </w:r>
      <w:r>
        <w:rPr>
          <w:rFonts w:ascii="Calibri" w:hAnsi="Calibri" w:eastAsia="Malgun Gothic"/>
          <w:b w:val="0"/>
          <w:i/>
          <w:sz w:val="22"/>
        </w:rPr>
        <w:t>Global Strategy on Digital Health 2020–2025</w:t>
      </w:r>
      <w:r>
        <w:rPr>
          <w:rFonts w:ascii="Calibri" w:hAnsi="Calibri" w:eastAsia="Malgun Gothic"/>
          <w:b w:val="0"/>
          <w:i w:val="0"/>
          <w:sz w:val="22"/>
        </w:rPr>
        <w:t xml:space="preserve"> [6], 국제노동기구 </w:t>
      </w:r>
      <w:r>
        <w:rPr>
          <w:rFonts w:ascii="Calibri" w:hAnsi="Calibri" w:eastAsia="Malgun Gothic"/>
          <w:b w:val="0"/>
          <w:i/>
          <w:sz w:val="22"/>
        </w:rPr>
        <w:t>Vision Zero Fund</w:t>
      </w:r>
      <w:r>
        <w:rPr>
          <w:rFonts w:ascii="Calibri" w:hAnsi="Calibri" w:eastAsia="Malgun Gothic"/>
          <w:b w:val="0"/>
          <w:i w:val="0"/>
          <w:sz w:val="22"/>
        </w:rPr>
        <w:t xml:space="preserve"> 프로그램 [7], 대한민국 제5차 </w:t>
      </w:r>
      <w:r>
        <w:rPr>
          <w:rFonts w:ascii="Calibri" w:hAnsi="Calibri" w:eastAsia="Malgun Gothic"/>
          <w:b w:val="0"/>
          <w:i/>
          <w:sz w:val="22"/>
        </w:rPr>
        <w:t>산업재해 예방 종합계획</w:t>
      </w:r>
      <w:r>
        <w:rPr>
          <w:rFonts w:ascii="Calibri" w:hAnsi="Calibri" w:eastAsia="Malgun Gothic"/>
          <w:b w:val="0"/>
          <w:i w:val="0"/>
          <w:sz w:val="22"/>
        </w:rPr>
        <w:t>(2023) [8]은 모두 작업장 응급 역량의 디지털화를 우선순위로 둔다.</w:t>
      </w:r>
    </w:p>
    <w:p/>
    <w:p>
      <w:r>
        <w:rPr>
          <w:rFonts w:ascii="Calibri" w:hAnsi="Calibri" w:eastAsia="Malgun Gothic"/>
          <w:b/>
          <w:color w:val="0F172A"/>
          <w:sz w:val="26"/>
        </w:rPr>
        <w:t>1.3 기존 접근과 공백</w:t>
      </w:r>
    </w:p>
    <w:p/>
    <w:p>
      <w:r>
        <w:rPr>
          <w:rFonts w:ascii="Calibri" w:hAnsi="Calibri" w:eastAsia="Malgun Gothic"/>
          <w:b w:val="0"/>
          <w:i w:val="0"/>
          <w:sz w:val="22"/>
        </w:rPr>
        <w:t>기존 시스템은 문제의 단편만 다룰 뿐 전체 사슬을 다루지 못한다(표 1). PulsePoint(미국) [12], AED Map(한국) [13] 같은 AED 지리정보 서비스는 공공 공간을 대상으로 하며 기업 환경-보건-안전(EHS) 시스템과 통합되지 않는다. Apple Watch [14] 같은 소비자용 웨어러블 심전도는 기업급 위험 분류가 없다. CPR 온라인 학습(AHA HeartCode; KACPR e-Learning [11])은 실시간 디스패치와 단절되어 있다. 표준 119/120 병원 전 절차는 병렬 자원봉사자 디스패치를 제공하지 않는다. 이러한 요소들을 네이티브 이중 언어 제공과 함께 수직적 폐쇄 루프로 통합한 시스템은 이전에 없었다.</w:t>
      </w:r>
    </w:p>
    <w:p/>
    <w:p>
      <w:r>
        <w:rPr>
          <w:rFonts w:ascii="Calibri" w:hAnsi="Calibri" w:eastAsia="Malgun Gothic"/>
          <w:b/>
          <w:color w:val="0F172A"/>
          <w:sz w:val="26"/>
        </w:rPr>
        <w:t>1.4 목표와 기여</w:t>
      </w:r>
    </w:p>
    <w:p/>
    <w:p>
      <w:r>
        <w:rPr>
          <w:rFonts w:ascii="Calibri" w:hAnsi="Calibri" w:eastAsia="Malgun Gothic"/>
          <w:b w:val="0"/>
          <w:i w:val="0"/>
          <w:sz w:val="22"/>
        </w:rPr>
        <w:t>본 연구의 기여는 다음과 같다:</w:t>
      </w:r>
    </w:p>
    <w:p/>
    <w:p>
      <w:pPr>
        <w:pStyle w:val="ListBullet"/>
      </w:pPr>
      <w:r>
        <w:rPr>
          <w:rFonts w:ascii="Calibri" w:hAnsi="Calibri" w:eastAsia="Malgun Gothic"/>
          <w:b w:val="0"/>
          <w:i w:val="0"/>
          <w:sz w:val="22"/>
        </w:rPr>
        <w:t xml:space="preserve">디지털 헬스 경진대회 </w:t>
      </w:r>
      <w:r>
        <w:rPr>
          <w:rFonts w:ascii="Calibri" w:hAnsi="Calibri" w:eastAsia="Malgun Gothic"/>
          <w:b w:val="0"/>
          <w:i/>
          <w:sz w:val="22"/>
        </w:rPr>
        <w:t>산업 안전</w:t>
      </w:r>
      <w:r>
        <w:rPr>
          <w:rFonts w:ascii="Calibri" w:hAnsi="Calibri" w:eastAsia="Malgun Gothic"/>
          <w:b w:val="0"/>
          <w:i w:val="0"/>
          <w:sz w:val="22"/>
        </w:rPr>
        <w:t xml:space="preserve"> 주제를 겨냥한, 완전 이중 언어(한 ↔ 중)·의존성 없는·접근성 준수 웹 원형;</w:t>
      </w:r>
    </w:p>
    <w:p>
      <w:pPr>
        <w:pStyle w:val="ListBullet"/>
      </w:pPr>
      <w:r>
        <w:rPr>
          <w:rFonts w:ascii="Calibri" w:hAnsi="Calibri" w:eastAsia="Malgun Gothic"/>
          <w:b w:val="0"/>
          <w:i w:val="0"/>
          <w:sz w:val="22"/>
        </w:rPr>
        <w:t>AHA 2025 [9], ERC 2021 [10], KACPR 2025 [11]에 매핑된, 모니터링·예측·디스패치·교육·분석을 아우르는 통합 사양;</w:t>
      </w:r>
    </w:p>
    <w:p>
      <w:pPr>
        <w:pStyle w:val="ListBullet"/>
      </w:pPr>
      <w:r>
        <w:rPr>
          <w:rFonts w:ascii="Calibri" w:hAnsi="Calibri" w:eastAsia="Malgun Gothic"/>
          <w:b w:val="0"/>
          <w:i w:val="0"/>
          <w:sz w:val="22"/>
        </w:rPr>
        <w:t>기대 생존율, 대응 시간, ROI, 지속가능발전목표(SDG) 영향을 정량화하는 문헌 삼각검증 및 시나리오 시뮬레이션 기반 평가;</w:t>
      </w:r>
    </w:p>
    <w:p>
      <w:pPr>
        <w:pStyle w:val="ListBullet"/>
      </w:pPr>
      <w:r>
        <w:rPr>
          <w:rFonts w:ascii="Calibri" w:hAnsi="Calibri" w:eastAsia="Malgun Gothic"/>
          <w:b w:val="0"/>
          <w:i w:val="0"/>
          <w:sz w:val="22"/>
        </w:rPr>
        <w:t>심사자와 후속 연구자가 수 분 내에 복제·수정·재배포할 수 있는 재현 가능한 오픈소스 공개(MIT).</w:t>
      </w:r>
    </w:p>
    <w:p/>
    <w:p>
      <w:r>
        <w:br/>
      </w:r>
    </w:p>
    <w:p/>
    <w:p>
      <w:r>
        <w:rPr>
          <w:rFonts w:ascii="Calibri" w:hAnsi="Calibri" w:eastAsia="Malgun Gothic"/>
          <w:b/>
          <w:color w:val="DC2626"/>
          <w:sz w:val="32"/>
        </w:rPr>
        <w:t>2. 방법</w:t>
      </w:r>
    </w:p>
    <w:p/>
    <w:p>
      <w:r>
        <w:rPr>
          <w:rFonts w:ascii="Calibri" w:hAnsi="Calibri" w:eastAsia="Malgun Gothic"/>
          <w:b/>
          <w:color w:val="0F172A"/>
          <w:sz w:val="26"/>
        </w:rPr>
        <w:t>2.1 설계 원칙과 요구사항</w:t>
      </w:r>
    </w:p>
    <w:p/>
    <w:p>
      <w:r>
        <w:rPr>
          <w:rFonts w:ascii="Calibri" w:hAnsi="Calibri" w:eastAsia="Malgun Gothic"/>
          <w:b w:val="0"/>
          <w:i w:val="0"/>
          <w:sz w:val="22"/>
        </w:rPr>
        <w:t xml:space="preserve">플랫폼은 다섯 가지 원칙으로 사양화하였다: (i) EHS 관리자, 현장 근로자/자원봉사자, 규제자라는 세 역할 페르소나를 위한 </w:t>
      </w:r>
      <w:r>
        <w:rPr>
          <w:rFonts w:ascii="Calibri" w:hAnsi="Calibri" w:eastAsia="Malgun Gothic"/>
          <w:b/>
          <w:i w:val="0"/>
          <w:sz w:val="22"/>
        </w:rPr>
        <w:t>사용자 중심</w:t>
      </w:r>
      <w:r>
        <w:rPr>
          <w:rFonts w:ascii="Calibri" w:hAnsi="Calibri" w:eastAsia="Malgun Gothic"/>
          <w:b w:val="0"/>
          <w:i w:val="0"/>
          <w:sz w:val="22"/>
        </w:rPr>
        <w:t xml:space="preserve"> 설계; (ii) 모든 지표가 정량화·추적·내보내기 가능한 </w:t>
      </w:r>
      <w:r>
        <w:rPr>
          <w:rFonts w:ascii="Calibri" w:hAnsi="Calibri" w:eastAsia="Malgun Gothic"/>
          <w:b/>
          <w:i w:val="0"/>
          <w:sz w:val="22"/>
        </w:rPr>
        <w:t>데이터 기반</w:t>
      </w:r>
      <w:r>
        <w:rPr>
          <w:rFonts w:ascii="Calibri" w:hAnsi="Calibri" w:eastAsia="Malgun Gothic"/>
          <w:b w:val="0"/>
          <w:i w:val="0"/>
          <w:sz w:val="22"/>
        </w:rPr>
        <w:t xml:space="preserve"> 운영; (iii) AHA 2025 ECC [9], ERC 2021 [10], KACPR 2025 [11], ISO 45001:2018 [15]과의 </w:t>
      </w:r>
      <w:r>
        <w:rPr>
          <w:rFonts w:ascii="Calibri" w:hAnsi="Calibri" w:eastAsia="Malgun Gothic"/>
          <w:b/>
          <w:i w:val="0"/>
          <w:sz w:val="22"/>
        </w:rPr>
        <w:t>표준 정렬</w:t>
      </w:r>
      <w:r>
        <w:rPr>
          <w:rFonts w:ascii="Calibri" w:hAnsi="Calibri" w:eastAsia="Malgun Gothic"/>
          <w:b w:val="0"/>
          <w:i w:val="0"/>
          <w:sz w:val="22"/>
        </w:rPr>
        <w:t xml:space="preserve">; (iv) 프런트엔드 무저장, 클라이언트 측 PDF 생성, HTTPS 강제를 갖춘 </w:t>
      </w:r>
      <w:r>
        <w:rPr>
          <w:rFonts w:ascii="Calibri" w:hAnsi="Calibri" w:eastAsia="Malgun Gothic"/>
          <w:b/>
          <w:i w:val="0"/>
          <w:sz w:val="22"/>
        </w:rPr>
        <w:t>설계 단계 프라이버시(privacy by design)</w:t>
      </w:r>
      <w:r>
        <w:rPr>
          <w:rFonts w:ascii="Calibri" w:hAnsi="Calibri" w:eastAsia="Malgun Gothic"/>
          <w:b w:val="0"/>
          <w:i w:val="0"/>
          <w:sz w:val="22"/>
        </w:rPr>
        <w:t xml:space="preserve">; (v) 오프라인 동작 가능한 데모 코어를 갖춘 정적 프런트엔드를 통한 </w:t>
      </w:r>
      <w:r>
        <w:rPr>
          <w:rFonts w:ascii="Calibri" w:hAnsi="Calibri" w:eastAsia="Malgun Gothic"/>
          <w:b/>
          <w:i w:val="0"/>
          <w:sz w:val="22"/>
        </w:rPr>
        <w:t>경량 접근성</w:t>
      </w:r>
      <w:r>
        <w:rPr>
          <w:rFonts w:ascii="Calibri" w:hAnsi="Calibri" w:eastAsia="Malgun Gothic"/>
          <w:b w:val="0"/>
          <w:i w:val="0"/>
          <w:sz w:val="22"/>
        </w:rPr>
        <w:t>.</w:t>
      </w:r>
    </w:p>
    <w:p/>
    <w:p>
      <w:r>
        <w:rPr>
          <w:rFonts w:ascii="Calibri" w:hAnsi="Calibri" w:eastAsia="Malgun Gothic"/>
          <w:b/>
          <w:color w:val="0F172A"/>
          <w:sz w:val="26"/>
        </w:rPr>
        <w:t>2.2 참조 아키텍처</w:t>
      </w:r>
    </w:p>
    <w:p/>
    <w:p>
      <w:r>
        <w:rPr>
          <w:rFonts w:ascii="Calibri" w:hAnsi="Calibri" w:eastAsia="Malgun Gothic"/>
          <w:b w:val="0"/>
          <w:i w:val="0"/>
          <w:sz w:val="22"/>
        </w:rPr>
        <w:t>플랫폼은 다섯 계층으로 사양화된다(그림 1): 웨어러블 계층(단일 유도 심전도 [ECG], SpO₂, 피부 온도); 엣지 계층(게이트웨이와 실시간 부정맥 식별); 서비스 계층(Shapley 가산 설명 [SHAP] 해석성 [17]을 갖춘 그래디언트 부스팅 위험 모델과 디스패치 최적화); 응용 계층(본 MVP로 구현된 이중 언어 웹 클라이언트); 표준 브리지(AHA/ERC/KACPR/ISO/HL7 FHIR). 경진대회 원형은 응용 계층을 구현하며, 시뮬레이션 데이터로 전체 상류 가치 사슬을 보여준다.</w:t>
      </w:r>
    </w:p>
    <w:p/>
    <w:p>
      <w:pPr>
        <w:ind w:left="283"/>
      </w:pPr>
      <w:r>
        <w:rPr>
          <w:rFonts w:ascii="Consolas" w:hAnsi="Consolas" w:eastAsia="Malgun Gothic"/>
          <w:sz w:val="19"/>
        </w:rPr>
        <w:t>┌─────────────────────────────────────────────────────────┐</w:t>
      </w:r>
    </w:p>
    <w:p>
      <w:pPr>
        <w:ind w:left="283"/>
      </w:pPr>
      <w:r>
        <w:rPr>
          <w:rFonts w:ascii="Consolas" w:hAnsi="Consolas" w:eastAsia="Malgun Gothic"/>
          <w:sz w:val="19"/>
        </w:rPr>
        <w:t>│ ① 웨어러블 계층:  ECG 패치 · SpO₂ · 피부 온도            │</w:t>
      </w:r>
    </w:p>
    <w:p>
      <w:pPr>
        <w:ind w:left="283"/>
      </w:pPr>
      <w:r>
        <w:rPr>
          <w:rFonts w:ascii="Consolas" w:hAnsi="Consolas" w:eastAsia="Malgun Gothic"/>
          <w:sz w:val="19"/>
        </w:rPr>
        <w:t>├─────────────────────────────────────────────────────────┤</w:t>
      </w:r>
    </w:p>
    <w:p>
      <w:pPr>
        <w:ind w:left="283"/>
      </w:pPr>
      <w:r>
        <w:rPr>
          <w:rFonts w:ascii="Consolas" w:hAnsi="Consolas" w:eastAsia="Malgun Gothic"/>
          <w:sz w:val="19"/>
        </w:rPr>
        <w:t>│ ② 엣지 계층:      게이트웨이 · 실시간 부정맥 식별        │</w:t>
      </w:r>
    </w:p>
    <w:p>
      <w:pPr>
        <w:ind w:left="283"/>
      </w:pPr>
      <w:r>
        <w:rPr>
          <w:rFonts w:ascii="Consolas" w:hAnsi="Consolas" w:eastAsia="Malgun Gothic"/>
          <w:sz w:val="19"/>
        </w:rPr>
        <w:t>├─────────────────────────────────────────────────────────┤</w:t>
      </w:r>
    </w:p>
    <w:p>
      <w:pPr>
        <w:ind w:left="283"/>
      </w:pPr>
      <w:r>
        <w:rPr>
          <w:rFonts w:ascii="Consolas" w:hAnsi="Consolas" w:eastAsia="Malgun Gothic"/>
          <w:sz w:val="19"/>
        </w:rPr>
        <w:t>│ ③ 서비스 계층:    그래디언트 부스팅 위험 + SHAP          │</w:t>
      </w:r>
    </w:p>
    <w:p>
      <w:pPr>
        <w:ind w:left="283"/>
      </w:pPr>
      <w:r>
        <w:rPr>
          <w:rFonts w:ascii="Consolas" w:hAnsi="Consolas" w:eastAsia="Malgun Gothic"/>
          <w:sz w:val="19"/>
        </w:rPr>
        <w:t>├─────────────────────────────────────────────────────────┤</w:t>
      </w:r>
    </w:p>
    <w:p>
      <w:pPr>
        <w:ind w:left="283"/>
      </w:pPr>
      <w:r>
        <w:rPr>
          <w:rFonts w:ascii="Consolas" w:hAnsi="Consolas" w:eastAsia="Malgun Gothic"/>
          <w:sz w:val="19"/>
        </w:rPr>
        <w:t>│ ④ 응용 계층(본 MVP): 이중 언어 웹 · PDF                  │</w:t>
      </w:r>
    </w:p>
    <w:p>
      <w:pPr>
        <w:ind w:left="283"/>
      </w:pPr>
      <w:r>
        <w:rPr>
          <w:rFonts w:ascii="Consolas" w:hAnsi="Consolas" w:eastAsia="Malgun Gothic"/>
          <w:sz w:val="19"/>
        </w:rPr>
        <w:t>├─────────────────────────────────────────────────────────┤</w:t>
      </w:r>
    </w:p>
    <w:p>
      <w:pPr>
        <w:ind w:left="283"/>
      </w:pPr>
      <w:r>
        <w:rPr>
          <w:rFonts w:ascii="Consolas" w:hAnsi="Consolas" w:eastAsia="Malgun Gothic"/>
          <w:sz w:val="19"/>
        </w:rPr>
        <w:t>│ ⑤ 표준 브리지:    AHA / ERC / KACPR / ISO / HL7 FHIR     │</w:t>
      </w:r>
    </w:p>
    <w:p>
      <w:pPr>
        <w:ind w:left="283"/>
      </w:pPr>
      <w:r>
        <w:rPr>
          <w:rFonts w:ascii="Consolas" w:hAnsi="Consolas" w:eastAsia="Malgun Gothic"/>
          <w:sz w:val="19"/>
        </w:rPr>
        <w:t>└─────────────────────────────────────────────────────────┘</w:t>
      </w:r>
    </w:p>
    <w:p/>
    <w:p>
      <w:r>
        <w:rPr>
          <w:rFonts w:ascii="Calibri" w:hAnsi="Calibri" w:eastAsia="Malgun Gothic"/>
          <w:b/>
          <w:i w:val="0"/>
          <w:sz w:val="22"/>
        </w:rPr>
        <w:t>그림 1.</w:t>
      </w:r>
      <w:r>
        <w:rPr>
          <w:rFonts w:ascii="Calibri" w:hAnsi="Calibri" w:eastAsia="Malgun Gothic"/>
          <w:b w:val="0"/>
          <w:i w:val="0"/>
          <w:sz w:val="22"/>
        </w:rPr>
        <w:t xml:space="preserve"> 계층형 참조 아키텍처. 본 논문이 보고하는 최소 기능 원형은 ④ 계층을 구현하며, ①–③ 계층과 ⑤ 계층은 후속 시범 도입을 위해 사양화되었다.</w:t>
      </w:r>
    </w:p>
    <w:p/>
    <w:p>
      <w:r>
        <w:rPr>
          <w:rFonts w:ascii="Calibri" w:hAnsi="Calibri" w:eastAsia="Malgun Gothic"/>
          <w:b/>
          <w:color w:val="0F172A"/>
          <w:sz w:val="26"/>
        </w:rPr>
        <w:t>2.3 프런트엔드 구현</w:t>
      </w:r>
    </w:p>
    <w:p/>
    <w:p>
      <w:r>
        <w:rPr>
          <w:rFonts w:ascii="Calibri" w:hAnsi="Calibri" w:eastAsia="Malgun Gothic"/>
          <w:b w:val="0"/>
          <w:i w:val="0"/>
          <w:sz w:val="22"/>
        </w:rPr>
        <w:t>클라이언트는 재현성을 극대화하고 페이지 용량을 최소화하기 위해 빌드 없는·프레임워크 없는 스택으로 구축하였다(표 2). 데이터 시각화는 Chart.js 4.4를, 범-CJK 타이포그래피는 Noto Sans SC / Noto Sans KR / Inter를 사용한다.</w:t>
      </w:r>
    </w:p>
    <w:p/>
    <w:p>
      <w:r>
        <w:rPr>
          <w:rFonts w:ascii="Calibri" w:hAnsi="Calibri" w:eastAsia="Malgun Gothic"/>
          <w:b/>
          <w:color w:val="0F172A"/>
          <w:sz w:val="26"/>
        </w:rPr>
        <w:t>2.4 국제화</w:t>
      </w:r>
    </w:p>
    <w:p/>
    <w:p>
      <w:r>
        <w:rPr>
          <w:rFonts w:ascii="Calibri" w:hAnsi="Calibri" w:eastAsia="Malgun Gothic"/>
          <w:b w:val="0"/>
          <w:i w:val="0"/>
          <w:sz w:val="22"/>
        </w:rPr>
        <w:t xml:space="preserve">경량 </w:t>
      </w:r>
      <w:r>
        <w:rPr>
          <w:rFonts w:ascii="Consolas" w:hAnsi="Consolas" w:eastAsia="Malgun Gothic"/>
          <w:b w:val="0"/>
          <w:i w:val="0"/>
          <w:sz w:val="22"/>
        </w:rPr>
        <w:t>data-i18n</w:t>
      </w:r>
      <w:r>
        <w:rPr>
          <w:rFonts w:ascii="Calibri" w:hAnsi="Calibri" w:eastAsia="Malgun Gothic"/>
          <w:b w:val="0"/>
          <w:i w:val="0"/>
          <w:sz w:val="22"/>
        </w:rPr>
        <w:t xml:space="preserve"> 속성 매핑(로케일당 약 430개 키)이 간체 중국어와 한국어 간 전체 사용자 인터페이스 번역을 구동한다. 사전은 </w:t>
      </w:r>
      <w:r>
        <w:rPr>
          <w:rFonts w:ascii="Consolas" w:hAnsi="Consolas" w:eastAsia="Malgun Gothic"/>
          <w:b w:val="0"/>
          <w:i w:val="0"/>
          <w:sz w:val="22"/>
        </w:rPr>
        <w:t>js/i18n.js</w:t>
      </w:r>
      <w:r>
        <w:rPr>
          <w:rFonts w:ascii="Calibri" w:hAnsi="Calibri" w:eastAsia="Malgun Gothic"/>
          <w:b w:val="0"/>
          <w:i w:val="0"/>
          <w:sz w:val="22"/>
        </w:rPr>
        <w:t xml:space="preserve">에 함께 배치되며, 언어 선호는 </w:t>
      </w:r>
      <w:r>
        <w:rPr>
          <w:rFonts w:ascii="Consolas" w:hAnsi="Consolas" w:eastAsia="Malgun Gothic"/>
          <w:b w:val="0"/>
          <w:i w:val="0"/>
          <w:sz w:val="22"/>
        </w:rPr>
        <w:t>localStorage</w:t>
      </w:r>
      <w:r>
        <w:rPr>
          <w:rFonts w:ascii="Calibri" w:hAnsi="Calibri" w:eastAsia="Malgun Gothic"/>
          <w:b w:val="0"/>
          <w:i w:val="0"/>
          <w:sz w:val="22"/>
        </w:rPr>
        <w:t>에 영구 저장되어 재방문 시 다시 적용되고, URL 매개변수(</w:t>
      </w:r>
      <w:r>
        <w:rPr>
          <w:rFonts w:ascii="Consolas" w:hAnsi="Consolas" w:eastAsia="Malgun Gothic"/>
          <w:b w:val="0"/>
          <w:i w:val="0"/>
          <w:sz w:val="22"/>
        </w:rPr>
        <w:t>?lang=zh|ko</w:t>
      </w:r>
      <w:r>
        <w:rPr>
          <w:rFonts w:ascii="Calibri" w:hAnsi="Calibri" w:eastAsia="Malgun Gothic"/>
          <w:b w:val="0"/>
          <w:i w:val="0"/>
          <w:sz w:val="22"/>
        </w:rPr>
        <w:t>)로 특정 로케일에 딥링크할 수 있다. 전환 시 차트 축 레이블이 다시 바인딩되어 주석이 현재 로케일과 일치한다.</w:t>
      </w:r>
    </w:p>
    <w:p/>
    <w:p>
      <w:r>
        <w:rPr>
          <w:rFonts w:ascii="Calibri" w:hAnsi="Calibri" w:eastAsia="Malgun Gothic"/>
          <w:b/>
          <w:color w:val="0F172A"/>
          <w:sz w:val="26"/>
        </w:rPr>
        <w:t>2.5 이중 언어 PDF 생성</w:t>
      </w:r>
    </w:p>
    <w:p/>
    <w:p>
      <w:r>
        <w:rPr>
          <w:rFonts w:ascii="Calibri" w:hAnsi="Calibri" w:eastAsia="Malgun Gothic"/>
          <w:b w:val="0"/>
          <w:i w:val="0"/>
          <w:sz w:val="22"/>
        </w:rPr>
        <w:t xml:space="preserve">일부 Chromium 빌드에서 관찰된 html2canvas 공백 출력 장애를 제거하기 위해, 기본 다운로드 경로는 Python </w:t>
      </w:r>
      <w:r>
        <w:rPr>
          <w:rFonts w:ascii="Consolas" w:hAnsi="Consolas" w:eastAsia="Malgun Gothic"/>
          <w:b w:val="0"/>
          <w:i w:val="0"/>
          <w:sz w:val="22"/>
        </w:rPr>
        <w:t>fpdf2</w:t>
      </w:r>
      <w:r>
        <w:rPr>
          <w:rFonts w:ascii="Calibri" w:hAnsi="Calibri" w:eastAsia="Malgun Gothic"/>
          <w:b w:val="0"/>
          <w:i w:val="0"/>
          <w:sz w:val="22"/>
        </w:rPr>
        <w:t xml:space="preserve"> 라이브러리와 Windows 내장 Malgun Gothic 글꼴로 빌드한 사전 생성 정적 PDF(</w:t>
      </w:r>
      <w:r>
        <w:rPr>
          <w:rFonts w:ascii="Consolas" w:hAnsi="Consolas" w:eastAsia="Malgun Gothic"/>
          <w:b w:val="0"/>
          <w:i w:val="0"/>
          <w:sz w:val="22"/>
        </w:rPr>
        <w:t>assets/CardioGuard_Industrial_KR.pdf</w:t>
      </w:r>
      <w:r>
        <w:rPr>
          <w:rFonts w:ascii="Calibri" w:hAnsi="Calibri" w:eastAsia="Malgun Gothic"/>
          <w:b w:val="0"/>
          <w:i w:val="0"/>
          <w:sz w:val="22"/>
        </w:rPr>
        <w:t xml:space="preserve">, 122 kB)를 제공하여, 어떤 브라우저 캔버스와도 무관하게 충실한 한국어 렌더링을 보장한다. 정적 파일에 도달할 수 없으면, 버튼은 DOM 요소 참조 대신 HTML 문자열 입력으로 호출되는 클라이언트 측 </w:t>
      </w:r>
      <w:r>
        <w:rPr>
          <w:rFonts w:ascii="Consolas" w:hAnsi="Consolas" w:eastAsia="Malgun Gothic"/>
          <w:b w:val="0"/>
          <w:i w:val="0"/>
          <w:sz w:val="22"/>
        </w:rPr>
        <w:t>html2pdf.js</w:t>
      </w:r>
      <w:r>
        <w:rPr>
          <w:rFonts w:ascii="Calibri" w:hAnsi="Calibri" w:eastAsia="Malgun Gothic"/>
          <w:b w:val="0"/>
          <w:i w:val="0"/>
          <w:sz w:val="22"/>
        </w:rPr>
        <w:t>로 폴백하여 화면 밖 위치 지정 버그를 회피한다. 내보낸 PDF는 경진대회 평가 기준이 요구하는 네 개 섹션을 포함한다: (1) 웹사이트 설계 및 개발 방법; (2) 주요 기능; (3) 기대 효과 및 응용 가치; (4) 보충 설명.</w:t>
      </w:r>
    </w:p>
    <w:p/>
    <w:p>
      <w:r>
        <w:rPr>
          <w:rFonts w:ascii="Calibri" w:hAnsi="Calibri" w:eastAsia="Malgun Gothic"/>
          <w:b/>
          <w:color w:val="0F172A"/>
          <w:sz w:val="26"/>
        </w:rPr>
        <w:t>2.6 평가 방법</w:t>
      </w:r>
    </w:p>
    <w:p/>
    <w:p>
      <w:r>
        <w:rPr>
          <w:rFonts w:ascii="Calibri" w:hAnsi="Calibri" w:eastAsia="Malgun Gothic"/>
          <w:b w:val="0"/>
          <w:i w:val="0"/>
          <w:sz w:val="22"/>
        </w:rPr>
        <w:t xml:space="preserve">최소 기능 원형으로서, 플랫폼은 일차 데이터 수집이 아닌 </w:t>
      </w:r>
      <w:r>
        <w:rPr>
          <w:rFonts w:ascii="Calibri" w:hAnsi="Calibri" w:eastAsia="Malgun Gothic"/>
          <w:b/>
          <w:i w:val="0"/>
          <w:sz w:val="22"/>
        </w:rPr>
        <w:t>문헌 삼각검증</w:t>
      </w:r>
      <w:r>
        <w:rPr>
          <w:rFonts w:ascii="Calibri" w:hAnsi="Calibri" w:eastAsia="Malgun Gothic"/>
          <w:b w:val="0"/>
          <w:i w:val="0"/>
          <w:sz w:val="22"/>
        </w:rPr>
        <w:t xml:space="preserve"> 과 </w:t>
      </w:r>
      <w:r>
        <w:rPr>
          <w:rFonts w:ascii="Calibri" w:hAnsi="Calibri" w:eastAsia="Malgun Gothic"/>
          <w:b/>
          <w:i w:val="0"/>
          <w:sz w:val="22"/>
        </w:rPr>
        <w:t>시나리오 시뮬레이션</w:t>
      </w:r>
      <w:r>
        <w:rPr>
          <w:rFonts w:ascii="Calibri" w:hAnsi="Calibri" w:eastAsia="Malgun Gothic"/>
          <w:b w:val="0"/>
          <w:i w:val="0"/>
          <w:sz w:val="22"/>
        </w:rPr>
        <w:t xml:space="preserve"> 으로 평가하였다. 기준선은 AHA 2025 [9], ERC 2021 [10], KACPR 2025 [11]에서 도출하였고, 도입 시나리오는 1만 명 근로자 규모의 중형 산업단지로 가정하였다. Chart.js 대시보드는 핵심 운영 및 역학 지표에 대한 도입 전·후 차이를 보여준다.</w:t>
      </w:r>
    </w:p>
    <w:p/>
    <w:p>
      <w:r>
        <w:br/>
      </w:r>
    </w:p>
    <w:p/>
    <w:p>
      <w:r>
        <w:rPr>
          <w:rFonts w:ascii="Calibri" w:hAnsi="Calibri" w:eastAsia="Malgun Gothic"/>
          <w:b/>
          <w:color w:val="DC2626"/>
          <w:sz w:val="32"/>
        </w:rPr>
        <w:t>3. 결과</w:t>
      </w:r>
    </w:p>
    <w:p/>
    <w:p>
      <w:r>
        <w:rPr>
          <w:rFonts w:ascii="Calibri" w:hAnsi="Calibri" w:eastAsia="Malgun Gothic"/>
          <w:b/>
          <w:color w:val="0F172A"/>
          <w:sz w:val="26"/>
        </w:rPr>
        <w:t>3.1 기능 모듈</w:t>
      </w:r>
    </w:p>
    <w:p/>
    <w:p>
      <w:r>
        <w:rPr>
          <w:rFonts w:ascii="Calibri" w:hAnsi="Calibri" w:eastAsia="Malgun Gothic"/>
          <w:b w:val="0"/>
          <w:i w:val="0"/>
          <w:sz w:val="22"/>
        </w:rPr>
        <w:t>원형은 전체 응급 루프를 아우르는 여섯 개 기능 모듈을 구현하며, 각각은 임상 지침 조항으로 추적 가능하다(표 3).</w:t>
      </w:r>
    </w:p>
    <w:p/>
    <w:p>
      <w:r>
        <w:rPr>
          <w:rFonts w:ascii="Calibri" w:hAnsi="Calibri" w:eastAsia="Malgun Gothic"/>
          <w:b/>
          <w:color w:val="0F172A"/>
          <w:sz w:val="26"/>
        </w:rPr>
        <w:t>3.2 기대 임상 및 운영 효과</w:t>
      </w:r>
    </w:p>
    <w:p/>
    <w:p>
      <w:r>
        <w:rPr>
          <w:rFonts w:ascii="Calibri" w:hAnsi="Calibri" w:eastAsia="Malgun Gothic"/>
          <w:b w:val="0"/>
          <w:i w:val="0"/>
          <w:sz w:val="22"/>
        </w:rPr>
        <w:t>시나리오 시뮬레이션은 모델링된 모든 지표에서 상당한 개선을 예측하였다(표 4). 가장 큰 절대 이득은 4분 내 AED 도달성(+53%p)과 OHCA 퇴원 생존율(+15%p)에서 나타났으며, 1만 명 단지에서 고비용 급성 사건의 회피로 인해 모델링된 ROI &gt; 5였다.</w:t>
      </w:r>
    </w:p>
    <w:p/>
    <w:p>
      <w:r>
        <w:rPr>
          <w:rFonts w:ascii="Calibri" w:hAnsi="Calibri" w:eastAsia="Malgun Gothic"/>
          <w:b/>
          <w:color w:val="0F172A"/>
          <w:sz w:val="26"/>
        </w:rPr>
        <w:t>3.3 지속가능발전목표와의 정합성</w:t>
      </w:r>
    </w:p>
    <w:p/>
    <w:p>
      <w:r>
        <w:rPr>
          <w:rFonts w:ascii="Calibri" w:hAnsi="Calibri" w:eastAsia="Malgun Gothic"/>
          <w:b w:val="0"/>
          <w:i w:val="0"/>
          <w:sz w:val="22"/>
        </w:rPr>
        <w:t>플랫폼은 SDG 3.4(비전염성 질환 조기 사망 감소), SDG 8(양질의 일자리와 산업 근로자 생명 보호), SDG 17(국경 간 파트너십, 여기서는 네이티브 이중 언어 제공으로 촉진)을 진전시킨다.</w:t>
      </w:r>
    </w:p>
    <w:p/>
    <w:p>
      <w:r>
        <w:rPr>
          <w:rFonts w:ascii="Calibri" w:hAnsi="Calibri" w:eastAsia="Malgun Gothic"/>
          <w:b/>
          <w:i w:val="0"/>
          <w:sz w:val="22"/>
        </w:rPr>
        <w:t>표 1.</w:t>
      </w:r>
      <w:r>
        <w:rPr>
          <w:rFonts w:ascii="Calibri" w:hAnsi="Calibri" w:eastAsia="Malgun Gothic"/>
          <w:b w:val="0"/>
          <w:i w:val="0"/>
          <w:sz w:val="22"/>
        </w:rPr>
        <w:t xml:space="preserve"> 산업 심정지 폐쇄 루프 대비 대표적 기존 시스템과 그 한계.</w:t>
      </w:r>
    </w:p>
    <w:p/>
    <w:tbl>
      <w:tblPr>
        <w:tblStyle w:val="LightGrid-Accent1"/>
        <w:tblW w:type="auto" w:w="0"/>
        <w:tblLook w:firstColumn="1" w:firstRow="1" w:lastColumn="0" w:lastRow="0" w:noHBand="0" w:noVBand="1" w:val="04A0"/>
      </w:tblPr>
      <w:tblGrid>
        <w:gridCol w:w="3249"/>
        <w:gridCol w:w="3249"/>
        <w:gridCol w:w="3249"/>
      </w:tblGrid>
      <w:tr>
        <w:tc>
          <w:tcPr>
            <w:tcW w:type="dxa" w:w="3249"/>
          </w:tcPr>
          <w:p>
            <w:r>
              <w:rPr>
                <w:rFonts w:ascii="Calibri" w:hAnsi="Calibri" w:eastAsia="Malgun Gothic"/>
                <w:b/>
                <w:sz w:val="20"/>
              </w:rPr>
              <w:t>범주</w:t>
            </w:r>
          </w:p>
        </w:tc>
        <w:tc>
          <w:tcPr>
            <w:tcW w:type="dxa" w:w="3249"/>
          </w:tcPr>
          <w:p>
            <w:r>
              <w:rPr>
                <w:rFonts w:ascii="Calibri" w:hAnsi="Calibri" w:eastAsia="Malgun Gothic"/>
                <w:b/>
                <w:sz w:val="20"/>
              </w:rPr>
              <w:t>대표 시스템</w:t>
            </w:r>
          </w:p>
        </w:tc>
        <w:tc>
          <w:tcPr>
            <w:tcW w:type="dxa" w:w="3249"/>
          </w:tcPr>
          <w:p>
            <w:r>
              <w:rPr>
                <w:rFonts w:ascii="Calibri" w:hAnsi="Calibri" w:eastAsia="Malgun Gothic"/>
                <w:b/>
                <w:sz w:val="20"/>
              </w:rPr>
              <w:t>한계</w:t>
            </w:r>
          </w:p>
        </w:tc>
      </w:tr>
      <w:tr>
        <w:tc>
          <w:tcPr>
            <w:tcW w:type="dxa" w:w="3249"/>
          </w:tcPr>
          <w:p>
            <w:r>
              <w:rPr>
                <w:rFonts w:ascii="Calibri" w:hAnsi="Calibri" w:eastAsia="Malgun Gothic"/>
                <w:b w:val="0"/>
                <w:i w:val="0"/>
                <w:sz w:val="20"/>
              </w:rPr>
              <w:t>AED 지리정보</w:t>
            </w:r>
          </w:p>
        </w:tc>
        <w:tc>
          <w:tcPr>
            <w:tcW w:type="dxa" w:w="3249"/>
          </w:tcPr>
          <w:p>
            <w:r>
              <w:rPr>
                <w:rFonts w:ascii="Calibri" w:hAnsi="Calibri" w:eastAsia="Malgun Gothic"/>
                <w:b w:val="0"/>
                <w:i w:val="0"/>
                <w:sz w:val="20"/>
              </w:rPr>
              <w:t>PulsePoint(미국) [12]; AED Map(한국) [13]</w:t>
            </w:r>
          </w:p>
        </w:tc>
        <w:tc>
          <w:tcPr>
            <w:tcW w:type="dxa" w:w="3249"/>
          </w:tcPr>
          <w:p>
            <w:r>
              <w:rPr>
                <w:rFonts w:ascii="Calibri" w:hAnsi="Calibri" w:eastAsia="Malgun Gothic"/>
                <w:b w:val="0"/>
                <w:i w:val="0"/>
                <w:sz w:val="20"/>
              </w:rPr>
              <w:t>공공 공간 위주; EHS 통합 없음</w:t>
            </w:r>
          </w:p>
        </w:tc>
      </w:tr>
      <w:tr>
        <w:tc>
          <w:tcPr>
            <w:tcW w:type="dxa" w:w="3249"/>
          </w:tcPr>
          <w:p>
            <w:r>
              <w:rPr>
                <w:rFonts w:ascii="Calibri" w:hAnsi="Calibri" w:eastAsia="Malgun Gothic"/>
                <w:b w:val="0"/>
                <w:i w:val="0"/>
                <w:sz w:val="20"/>
              </w:rPr>
              <w:t>웨어러블 심전도 모니터링</w:t>
            </w:r>
          </w:p>
        </w:tc>
        <w:tc>
          <w:tcPr>
            <w:tcW w:type="dxa" w:w="3249"/>
          </w:tcPr>
          <w:p>
            <w:r>
              <w:rPr>
                <w:rFonts w:ascii="Calibri" w:hAnsi="Calibri" w:eastAsia="Malgun Gothic"/>
                <w:b w:val="0"/>
                <w:i w:val="0"/>
                <w:sz w:val="20"/>
              </w:rPr>
              <w:t>Apple Watch ECG [14]; Huawei Watch GT</w:t>
            </w:r>
          </w:p>
        </w:tc>
        <w:tc>
          <w:tcPr>
            <w:tcW w:type="dxa" w:w="3249"/>
          </w:tcPr>
          <w:p>
            <w:r>
              <w:rPr>
                <w:rFonts w:ascii="Calibri" w:hAnsi="Calibri" w:eastAsia="Malgun Gothic"/>
                <w:b w:val="0"/>
                <w:i w:val="0"/>
                <w:sz w:val="20"/>
              </w:rPr>
              <w:t>소비자 위주; 기업급 위험 분류 없음</w:t>
            </w:r>
          </w:p>
        </w:tc>
      </w:tr>
      <w:tr>
        <w:tc>
          <w:tcPr>
            <w:tcW w:type="dxa" w:w="3249"/>
          </w:tcPr>
          <w:p>
            <w:r>
              <w:rPr>
                <w:rFonts w:ascii="Calibri" w:hAnsi="Calibri" w:eastAsia="Malgun Gothic"/>
                <w:b w:val="0"/>
                <w:i w:val="0"/>
                <w:sz w:val="20"/>
              </w:rPr>
              <w:t>CPR 온라인 학습</w:t>
            </w:r>
          </w:p>
        </w:tc>
        <w:tc>
          <w:tcPr>
            <w:tcW w:type="dxa" w:w="3249"/>
          </w:tcPr>
          <w:p>
            <w:r>
              <w:rPr>
                <w:rFonts w:ascii="Calibri" w:hAnsi="Calibri" w:eastAsia="Malgun Gothic"/>
                <w:b w:val="0"/>
                <w:i w:val="0"/>
                <w:sz w:val="20"/>
              </w:rPr>
              <w:t>AHA HeartCode; KACPR e-Learning [11]</w:t>
            </w:r>
          </w:p>
        </w:tc>
        <w:tc>
          <w:tcPr>
            <w:tcW w:type="dxa" w:w="3249"/>
          </w:tcPr>
          <w:p>
            <w:r>
              <w:rPr>
                <w:rFonts w:ascii="Calibri" w:hAnsi="Calibri" w:eastAsia="Malgun Gothic"/>
                <w:b w:val="0"/>
                <w:i w:val="0"/>
                <w:sz w:val="20"/>
              </w:rPr>
              <w:t>실시간 디스패치와 단절</w:t>
            </w:r>
          </w:p>
        </w:tc>
      </w:tr>
      <w:tr>
        <w:tc>
          <w:tcPr>
            <w:tcW w:type="dxa" w:w="3249"/>
          </w:tcPr>
          <w:p>
            <w:r>
              <w:rPr>
                <w:rFonts w:ascii="Calibri" w:hAnsi="Calibri" w:eastAsia="Malgun Gothic"/>
                <w:b w:val="0"/>
                <w:i w:val="0"/>
                <w:sz w:val="20"/>
              </w:rPr>
              <w:t>병원 전 디스패치</w:t>
            </w:r>
          </w:p>
        </w:tc>
        <w:tc>
          <w:tcPr>
            <w:tcW w:type="dxa" w:w="3249"/>
          </w:tcPr>
          <w:p>
            <w:r>
              <w:rPr>
                <w:rFonts w:ascii="Calibri" w:hAnsi="Calibri" w:eastAsia="Malgun Gothic"/>
                <w:b w:val="0"/>
                <w:i w:val="0"/>
                <w:sz w:val="20"/>
              </w:rPr>
              <w:t>119 / 120 표준 절차</w:t>
            </w:r>
          </w:p>
        </w:tc>
        <w:tc>
          <w:tcPr>
            <w:tcW w:type="dxa" w:w="3249"/>
          </w:tcPr>
          <w:p>
            <w:r>
              <w:rPr>
                <w:rFonts w:ascii="Calibri" w:hAnsi="Calibri" w:eastAsia="Malgun Gothic"/>
                <w:b w:val="0"/>
                <w:i w:val="0"/>
                <w:sz w:val="20"/>
              </w:rPr>
              <w:t>병렬 자원봉사자 디스패치 없음</w:t>
            </w:r>
          </w:p>
        </w:tc>
      </w:tr>
    </w:tbl>
    <w:p/>
    <w:p/>
    <w:p>
      <w:r>
        <w:rPr>
          <w:rFonts w:ascii="Calibri" w:hAnsi="Calibri" w:eastAsia="Malgun Gothic"/>
          <w:b/>
          <w:i w:val="0"/>
          <w:sz w:val="22"/>
        </w:rPr>
        <w:t>표 2.</w:t>
      </w:r>
      <w:r>
        <w:rPr>
          <w:rFonts w:ascii="Calibri" w:hAnsi="Calibri" w:eastAsia="Malgun Gothic"/>
          <w:b w:val="0"/>
          <w:i w:val="0"/>
          <w:sz w:val="22"/>
        </w:rPr>
        <w:t xml:space="preserve"> 프런트엔드 구현 스택과 근거.</w:t>
      </w:r>
    </w:p>
    <w:p/>
    <w:tbl>
      <w:tblPr>
        <w:tblStyle w:val="LightGrid-Accent1"/>
        <w:tblW w:type="auto" w:w="0"/>
        <w:tblLook w:firstColumn="1" w:firstRow="1" w:lastColumn="0" w:lastRow="0" w:noHBand="0" w:noVBand="1" w:val="04A0"/>
      </w:tblPr>
      <w:tblGrid>
        <w:gridCol w:w="3249"/>
        <w:gridCol w:w="3249"/>
        <w:gridCol w:w="3249"/>
      </w:tblGrid>
      <w:tr>
        <w:tc>
          <w:tcPr>
            <w:tcW w:type="dxa" w:w="3249"/>
          </w:tcPr>
          <w:p>
            <w:r>
              <w:rPr>
                <w:rFonts w:ascii="Calibri" w:hAnsi="Calibri" w:eastAsia="Malgun Gothic"/>
                <w:b/>
                <w:sz w:val="20"/>
              </w:rPr>
              <w:t>관심사</w:t>
            </w:r>
          </w:p>
        </w:tc>
        <w:tc>
          <w:tcPr>
            <w:tcW w:type="dxa" w:w="3249"/>
          </w:tcPr>
          <w:p>
            <w:r>
              <w:rPr>
                <w:rFonts w:ascii="Calibri" w:hAnsi="Calibri" w:eastAsia="Malgun Gothic"/>
                <w:b/>
                <w:sz w:val="20"/>
              </w:rPr>
              <w:t>기술</w:t>
            </w:r>
          </w:p>
        </w:tc>
        <w:tc>
          <w:tcPr>
            <w:tcW w:type="dxa" w:w="3249"/>
          </w:tcPr>
          <w:p>
            <w:r>
              <w:rPr>
                <w:rFonts w:ascii="Calibri" w:hAnsi="Calibri" w:eastAsia="Malgun Gothic"/>
                <w:b/>
                <w:sz w:val="20"/>
              </w:rPr>
              <w:t>근거</w:t>
            </w:r>
          </w:p>
        </w:tc>
      </w:tr>
      <w:tr>
        <w:tc>
          <w:tcPr>
            <w:tcW w:type="dxa" w:w="3249"/>
          </w:tcPr>
          <w:p>
            <w:r>
              <w:rPr>
                <w:rFonts w:ascii="Calibri" w:hAnsi="Calibri" w:eastAsia="Malgun Gothic"/>
                <w:b w:val="0"/>
                <w:i w:val="0"/>
                <w:sz w:val="20"/>
              </w:rPr>
              <w:t>마크업</w:t>
            </w:r>
          </w:p>
        </w:tc>
        <w:tc>
          <w:tcPr>
            <w:tcW w:type="dxa" w:w="3249"/>
          </w:tcPr>
          <w:p>
            <w:r>
              <w:rPr>
                <w:rFonts w:ascii="Calibri" w:hAnsi="Calibri" w:eastAsia="Malgun Gothic"/>
                <w:b w:val="0"/>
                <w:i w:val="0"/>
                <w:sz w:val="20"/>
              </w:rPr>
              <w:t>WAI-ARIA 랜드마크를 갖춘 HTML5</w:t>
            </w:r>
          </w:p>
        </w:tc>
        <w:tc>
          <w:tcPr>
            <w:tcW w:type="dxa" w:w="3249"/>
          </w:tcPr>
          <w:p>
            <w:r>
              <w:rPr>
                <w:rFonts w:ascii="Calibri" w:hAnsi="Calibri" w:eastAsia="Malgun Gothic"/>
                <w:b w:val="0"/>
                <w:i w:val="0"/>
                <w:sz w:val="20"/>
              </w:rPr>
              <w:t>접근성과 검색엔진 최적화</w:t>
            </w:r>
          </w:p>
        </w:tc>
      </w:tr>
      <w:tr>
        <w:tc>
          <w:tcPr>
            <w:tcW w:type="dxa" w:w="3249"/>
          </w:tcPr>
          <w:p>
            <w:r>
              <w:rPr>
                <w:rFonts w:ascii="Calibri" w:hAnsi="Calibri" w:eastAsia="Malgun Gothic"/>
                <w:b w:val="0"/>
                <w:i w:val="0"/>
                <w:sz w:val="20"/>
              </w:rPr>
              <w:t>스타일</w:t>
            </w:r>
          </w:p>
        </w:tc>
        <w:tc>
          <w:tcPr>
            <w:tcW w:type="dxa" w:w="3249"/>
          </w:tcPr>
          <w:p>
            <w:r>
              <w:rPr>
                <w:rFonts w:ascii="Calibri" w:hAnsi="Calibri" w:eastAsia="Malgun Gothic"/>
                <w:b w:val="0"/>
                <w:i w:val="0"/>
                <w:sz w:val="20"/>
              </w:rPr>
              <w:t>CSS3(커스텀 속성, Grid, 글래스모피즘)</w:t>
            </w:r>
          </w:p>
        </w:tc>
        <w:tc>
          <w:tcPr>
            <w:tcW w:type="dxa" w:w="3249"/>
          </w:tcPr>
          <w:p>
            <w:r>
              <w:rPr>
                <w:rFonts w:ascii="Calibri" w:hAnsi="Calibri" w:eastAsia="Malgun Gothic"/>
                <w:b w:val="0"/>
                <w:i w:val="0"/>
                <w:sz w:val="20"/>
              </w:rPr>
              <w:t>빌드 없음; 현대적 미학</w:t>
            </w:r>
          </w:p>
        </w:tc>
      </w:tr>
      <w:tr>
        <w:tc>
          <w:tcPr>
            <w:tcW w:type="dxa" w:w="3249"/>
          </w:tcPr>
          <w:p>
            <w:r>
              <w:rPr>
                <w:rFonts w:ascii="Calibri" w:hAnsi="Calibri" w:eastAsia="Malgun Gothic"/>
                <w:b w:val="0"/>
                <w:i w:val="0"/>
                <w:sz w:val="20"/>
              </w:rPr>
              <w:t>로직</w:t>
            </w:r>
          </w:p>
        </w:tc>
        <w:tc>
          <w:tcPr>
            <w:tcW w:type="dxa" w:w="3249"/>
          </w:tcPr>
          <w:p>
            <w:r>
              <w:rPr>
                <w:rFonts w:ascii="Calibri" w:hAnsi="Calibri" w:eastAsia="Malgun Gothic"/>
                <w:b w:val="0"/>
                <w:i w:val="0"/>
                <w:sz w:val="20"/>
              </w:rPr>
              <w:t>바닐라 JavaScript(ES6+)</w:t>
            </w:r>
          </w:p>
        </w:tc>
        <w:tc>
          <w:tcPr>
            <w:tcW w:type="dxa" w:w="3249"/>
          </w:tcPr>
          <w:p>
            <w:r>
              <w:rPr>
                <w:rFonts w:ascii="Calibri" w:hAnsi="Calibri" w:eastAsia="Malgun Gothic"/>
                <w:b w:val="0"/>
                <w:i w:val="0"/>
                <w:sz w:val="20"/>
              </w:rPr>
              <w:t>프레임워크 없음, 런타임 &lt; 10 kB</w:t>
            </w:r>
          </w:p>
        </w:tc>
      </w:tr>
      <w:tr>
        <w:tc>
          <w:tcPr>
            <w:tcW w:type="dxa" w:w="3249"/>
          </w:tcPr>
          <w:p>
            <w:r>
              <w:rPr>
                <w:rFonts w:ascii="Calibri" w:hAnsi="Calibri" w:eastAsia="Malgun Gothic"/>
                <w:b w:val="0"/>
                <w:i w:val="0"/>
                <w:sz w:val="20"/>
              </w:rPr>
              <w:t>시각화</w:t>
            </w:r>
          </w:p>
        </w:tc>
        <w:tc>
          <w:tcPr>
            <w:tcW w:type="dxa" w:w="3249"/>
          </w:tcPr>
          <w:p>
            <w:r>
              <w:rPr>
                <w:rFonts w:ascii="Calibri" w:hAnsi="Calibri" w:eastAsia="Malgun Gothic"/>
                <w:b w:val="0"/>
                <w:i w:val="0"/>
                <w:sz w:val="20"/>
              </w:rPr>
              <w:t>Chart.js 4.4(CDN)</w:t>
            </w:r>
          </w:p>
        </w:tc>
        <w:tc>
          <w:tcPr>
            <w:tcW w:type="dxa" w:w="3249"/>
          </w:tcPr>
          <w:p>
            <w:r>
              <w:rPr>
                <w:rFonts w:ascii="Calibri" w:hAnsi="Calibri" w:eastAsia="Malgun Gothic"/>
                <w:b w:val="0"/>
                <w:i w:val="0"/>
                <w:sz w:val="20"/>
              </w:rPr>
              <w:t>성숙하고 저부하이며 접근 가능한 캔버스</w:t>
            </w:r>
          </w:p>
        </w:tc>
      </w:tr>
      <w:tr>
        <w:tc>
          <w:tcPr>
            <w:tcW w:type="dxa" w:w="3249"/>
          </w:tcPr>
          <w:p>
            <w:r>
              <w:rPr>
                <w:rFonts w:ascii="Calibri" w:hAnsi="Calibri" w:eastAsia="Malgun Gothic"/>
                <w:b w:val="0"/>
                <w:i w:val="0"/>
                <w:sz w:val="20"/>
              </w:rPr>
              <w:t>PDF 내보내기(기본)</w:t>
            </w:r>
          </w:p>
        </w:tc>
        <w:tc>
          <w:tcPr>
            <w:tcW w:type="dxa" w:w="3249"/>
          </w:tcPr>
          <w:p>
            <w:r>
              <w:rPr>
                <w:rFonts w:ascii="Calibri" w:hAnsi="Calibri" w:eastAsia="Malgun Gothic"/>
                <w:b w:val="0"/>
                <w:i w:val="0"/>
                <w:sz w:val="20"/>
              </w:rPr>
              <w:t xml:space="preserve">Python </w:t>
            </w:r>
            <w:r>
              <w:rPr>
                <w:rFonts w:ascii="Consolas" w:hAnsi="Consolas" w:eastAsia="Malgun Gothic"/>
                <w:b w:val="0"/>
                <w:i w:val="0"/>
                <w:sz w:val="20"/>
              </w:rPr>
              <w:t>fpdf2</w:t>
            </w:r>
            <w:r>
              <w:rPr>
                <w:rFonts w:ascii="Calibri" w:hAnsi="Calibri" w:eastAsia="Malgun Gothic"/>
                <w:b w:val="0"/>
                <w:i w:val="0"/>
                <w:sz w:val="20"/>
              </w:rPr>
              <w:t xml:space="preserve"> + Malgun Gothic 사전 생성</w:t>
            </w:r>
          </w:p>
        </w:tc>
        <w:tc>
          <w:tcPr>
            <w:tcW w:type="dxa" w:w="3249"/>
          </w:tcPr>
          <w:p>
            <w:r>
              <w:rPr>
                <w:rFonts w:ascii="Calibri" w:hAnsi="Calibri" w:eastAsia="Malgun Gothic"/>
                <w:b w:val="0"/>
                <w:i w:val="0"/>
                <w:sz w:val="20"/>
              </w:rPr>
              <w:t>신뢰할 수 있는 한국어 렌더링</w:t>
            </w:r>
          </w:p>
        </w:tc>
      </w:tr>
      <w:tr>
        <w:tc>
          <w:tcPr>
            <w:tcW w:type="dxa" w:w="3249"/>
          </w:tcPr>
          <w:p>
            <w:r>
              <w:rPr>
                <w:rFonts w:ascii="Calibri" w:hAnsi="Calibri" w:eastAsia="Malgun Gothic"/>
                <w:b w:val="0"/>
                <w:i w:val="0"/>
                <w:sz w:val="20"/>
              </w:rPr>
              <w:t>PDF 내보내기(폴백)</w:t>
            </w:r>
          </w:p>
        </w:tc>
        <w:tc>
          <w:tcPr>
            <w:tcW w:type="dxa" w:w="3249"/>
          </w:tcPr>
          <w:p>
            <w:r>
              <w:rPr>
                <w:rFonts w:ascii="Calibri" w:hAnsi="Calibri" w:eastAsia="Malgun Gothic"/>
                <w:b w:val="0"/>
                <w:i w:val="0"/>
                <w:sz w:val="20"/>
              </w:rPr>
              <w:t>html2pdf.js 0.10(HTML 문자열 모드)</w:t>
            </w:r>
          </w:p>
        </w:tc>
        <w:tc>
          <w:tcPr>
            <w:tcW w:type="dxa" w:w="3249"/>
          </w:tcPr>
          <w:p>
            <w:r>
              <w:rPr>
                <w:rFonts w:ascii="Calibri" w:hAnsi="Calibri" w:eastAsia="Malgun Gothic"/>
                <w:b w:val="0"/>
                <w:i w:val="0"/>
                <w:sz w:val="20"/>
              </w:rPr>
              <w:t>오프라인 / 정적 호스트 동등성</w:t>
            </w:r>
          </w:p>
        </w:tc>
      </w:tr>
      <w:tr>
        <w:tc>
          <w:tcPr>
            <w:tcW w:type="dxa" w:w="3249"/>
          </w:tcPr>
          <w:p>
            <w:r>
              <w:rPr>
                <w:rFonts w:ascii="Calibri" w:hAnsi="Calibri" w:eastAsia="Malgun Gothic"/>
                <w:b w:val="0"/>
                <w:i w:val="0"/>
                <w:sz w:val="20"/>
              </w:rPr>
              <w:t>타이포그래피</w:t>
            </w:r>
          </w:p>
        </w:tc>
        <w:tc>
          <w:tcPr>
            <w:tcW w:type="dxa" w:w="3249"/>
          </w:tcPr>
          <w:p>
            <w:r>
              <w:rPr>
                <w:rFonts w:ascii="Calibri" w:hAnsi="Calibri" w:eastAsia="Malgun Gothic"/>
                <w:b w:val="0"/>
                <w:i w:val="0"/>
                <w:sz w:val="20"/>
              </w:rPr>
              <w:t>Noto Sans SC / Noto Sans KR / Inter</w:t>
            </w:r>
          </w:p>
        </w:tc>
        <w:tc>
          <w:tcPr>
            <w:tcW w:type="dxa" w:w="3249"/>
          </w:tcPr>
          <w:p>
            <w:r>
              <w:rPr>
                <w:rFonts w:ascii="Calibri" w:hAnsi="Calibri" w:eastAsia="Malgun Gothic"/>
                <w:b w:val="0"/>
                <w:i w:val="0"/>
                <w:sz w:val="20"/>
              </w:rPr>
              <w:t>범-CJK 일관성</w:t>
            </w:r>
          </w:p>
        </w:tc>
      </w:tr>
    </w:tbl>
    <w:p/>
    <w:p/>
    <w:p>
      <w:r>
        <w:rPr>
          <w:rFonts w:ascii="Calibri" w:hAnsi="Calibri" w:eastAsia="Malgun Gothic"/>
          <w:b/>
          <w:i w:val="0"/>
          <w:sz w:val="22"/>
        </w:rPr>
        <w:t>표 3.</w:t>
      </w:r>
      <w:r>
        <w:rPr>
          <w:rFonts w:ascii="Calibri" w:hAnsi="Calibri" w:eastAsia="Malgun Gothic"/>
          <w:b w:val="0"/>
          <w:i w:val="0"/>
          <w:sz w:val="22"/>
        </w:rPr>
        <w:t xml:space="preserve"> 기능 모듈과 지침 출처.</w:t>
      </w:r>
    </w:p>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rFonts w:ascii="Calibri" w:hAnsi="Calibri" w:eastAsia="Malgun Gothic"/>
                <w:b/>
                <w:sz w:val="20"/>
              </w:rPr>
              <w:t>#</w:t>
            </w:r>
          </w:p>
        </w:tc>
        <w:tc>
          <w:tcPr>
            <w:tcW w:type="dxa" w:w="2436"/>
          </w:tcPr>
          <w:p>
            <w:r>
              <w:rPr>
                <w:rFonts w:ascii="Calibri" w:hAnsi="Calibri" w:eastAsia="Malgun Gothic"/>
                <w:b/>
                <w:sz w:val="20"/>
              </w:rPr>
              <w:t>모듈</w:t>
            </w:r>
          </w:p>
        </w:tc>
        <w:tc>
          <w:tcPr>
            <w:tcW w:type="dxa" w:w="2436"/>
          </w:tcPr>
          <w:p>
            <w:r>
              <w:rPr>
                <w:rFonts w:ascii="Calibri" w:hAnsi="Calibri" w:eastAsia="Malgun Gothic"/>
                <w:b/>
                <w:sz w:val="20"/>
              </w:rPr>
              <w:t>기능</w:t>
            </w:r>
          </w:p>
        </w:tc>
        <w:tc>
          <w:tcPr>
            <w:tcW w:type="dxa" w:w="2436"/>
          </w:tcPr>
          <w:p>
            <w:r>
              <w:rPr>
                <w:rFonts w:ascii="Calibri" w:hAnsi="Calibri" w:eastAsia="Malgun Gothic"/>
                <w:b/>
                <w:sz w:val="20"/>
              </w:rPr>
              <w:t>지침 근거</w:t>
            </w:r>
          </w:p>
        </w:tc>
      </w:tr>
      <w:tr>
        <w:tc>
          <w:tcPr>
            <w:tcW w:type="dxa" w:w="2436"/>
          </w:tcPr>
          <w:p>
            <w:r>
              <w:rPr>
                <w:rFonts w:ascii="Calibri" w:hAnsi="Calibri" w:eastAsia="Malgun Gothic"/>
                <w:b w:val="0"/>
                <w:i w:val="0"/>
                <w:sz w:val="20"/>
              </w:rPr>
              <w:t>1</w:t>
            </w:r>
          </w:p>
        </w:tc>
        <w:tc>
          <w:tcPr>
            <w:tcW w:type="dxa" w:w="2436"/>
          </w:tcPr>
          <w:p>
            <w:r>
              <w:rPr>
                <w:rFonts w:ascii="Calibri" w:hAnsi="Calibri" w:eastAsia="Malgun Gothic"/>
                <w:b w:val="0"/>
                <w:i w:val="0"/>
                <w:sz w:val="20"/>
              </w:rPr>
              <w:t>실시간 생체신호 모니터링</w:t>
            </w:r>
          </w:p>
        </w:tc>
        <w:tc>
          <w:tcPr>
            <w:tcW w:type="dxa" w:w="2436"/>
          </w:tcPr>
          <w:p>
            <w:r>
              <w:rPr>
                <w:rFonts w:ascii="Calibri" w:hAnsi="Calibri" w:eastAsia="Malgun Gothic"/>
                <w:b w:val="0"/>
                <w:i w:val="0"/>
                <w:sz w:val="20"/>
              </w:rPr>
              <w:t>단일 유도 ECG, SpO₂, 체온; AI 부정맥 탐지</w:t>
            </w:r>
          </w:p>
        </w:tc>
        <w:tc>
          <w:tcPr>
            <w:tcW w:type="dxa" w:w="2436"/>
          </w:tcPr>
          <w:p>
            <w:r>
              <w:rPr>
                <w:rFonts w:ascii="Calibri" w:hAnsi="Calibri" w:eastAsia="Malgun Gothic"/>
                <w:b w:val="0"/>
                <w:i w:val="0"/>
                <w:sz w:val="20"/>
              </w:rPr>
              <w:t>AHA 2025 §2.1 [9]</w:t>
            </w:r>
          </w:p>
        </w:tc>
      </w:tr>
      <w:tr>
        <w:tc>
          <w:tcPr>
            <w:tcW w:type="dxa" w:w="2436"/>
          </w:tcPr>
          <w:p>
            <w:r>
              <w:rPr>
                <w:rFonts w:ascii="Calibri" w:hAnsi="Calibri" w:eastAsia="Malgun Gothic"/>
                <w:b w:val="0"/>
                <w:i w:val="0"/>
                <w:sz w:val="20"/>
              </w:rPr>
              <w:t>2</w:t>
            </w:r>
          </w:p>
        </w:tc>
        <w:tc>
          <w:tcPr>
            <w:tcW w:type="dxa" w:w="2436"/>
          </w:tcPr>
          <w:p>
            <w:r>
              <w:rPr>
                <w:rFonts w:ascii="Calibri" w:hAnsi="Calibri" w:eastAsia="Malgun Gothic"/>
                <w:b w:val="0"/>
                <w:i w:val="0"/>
                <w:sz w:val="20"/>
              </w:rPr>
              <w:t>AI 위험도 예측</w:t>
            </w:r>
          </w:p>
        </w:tc>
        <w:tc>
          <w:tcPr>
            <w:tcW w:type="dxa" w:w="2436"/>
          </w:tcPr>
          <w:p>
            <w:r>
              <w:rPr>
                <w:rFonts w:ascii="Calibri" w:hAnsi="Calibri" w:eastAsia="Malgun Gothic"/>
                <w:b w:val="0"/>
                <w:i w:val="0"/>
                <w:sz w:val="20"/>
              </w:rPr>
              <w:t>12개 특징 그래디언트 부스팅; 24시간 점수; SHAP 설명</w:t>
            </w:r>
          </w:p>
        </w:tc>
        <w:tc>
          <w:tcPr>
            <w:tcW w:type="dxa" w:w="2436"/>
          </w:tcPr>
          <w:p>
            <w:r>
              <w:rPr>
                <w:rFonts w:ascii="Calibri" w:hAnsi="Calibri" w:eastAsia="Malgun Gothic"/>
                <w:b w:val="0"/>
                <w:i w:val="0"/>
                <w:sz w:val="20"/>
              </w:rPr>
              <w:t>ESC HF 2023 [16]; SHAP [17]</w:t>
            </w:r>
          </w:p>
        </w:tc>
      </w:tr>
      <w:tr>
        <w:tc>
          <w:tcPr>
            <w:tcW w:type="dxa" w:w="2436"/>
          </w:tcPr>
          <w:p>
            <w:r>
              <w:rPr>
                <w:rFonts w:ascii="Calibri" w:hAnsi="Calibri" w:eastAsia="Malgun Gothic"/>
                <w:b w:val="0"/>
                <w:i w:val="0"/>
                <w:sz w:val="20"/>
              </w:rPr>
              <w:t>3</w:t>
            </w:r>
          </w:p>
        </w:tc>
        <w:tc>
          <w:tcPr>
            <w:tcW w:type="dxa" w:w="2436"/>
          </w:tcPr>
          <w:p>
            <w:r>
              <w:rPr>
                <w:rFonts w:ascii="Calibri" w:hAnsi="Calibri" w:eastAsia="Malgun Gothic"/>
                <w:b w:val="0"/>
                <w:i w:val="0"/>
                <w:sz w:val="20"/>
              </w:rPr>
              <w:t>AED IoT 네트워크</w:t>
            </w:r>
          </w:p>
        </w:tc>
        <w:tc>
          <w:tcPr>
            <w:tcW w:type="dxa" w:w="2436"/>
          </w:tcPr>
          <w:p>
            <w:r>
              <w:rPr>
                <w:rFonts w:ascii="Calibri" w:hAnsi="Calibri" w:eastAsia="Malgun Gothic"/>
                <w:b w:val="0"/>
                <w:i w:val="0"/>
                <w:sz w:val="20"/>
              </w:rPr>
              <w:t>자체 점검 텔레메트리; 지오펜스 분실 경보; 최근접 AED 디스패치</w:t>
            </w:r>
          </w:p>
        </w:tc>
        <w:tc>
          <w:tcPr>
            <w:tcW w:type="dxa" w:w="2436"/>
          </w:tcPr>
          <w:p>
            <w:r>
              <w:rPr>
                <w:rFonts w:ascii="Calibri" w:hAnsi="Calibri" w:eastAsia="Malgun Gothic"/>
                <w:b w:val="0"/>
                <w:i w:val="0"/>
                <w:sz w:val="20"/>
              </w:rPr>
              <w:t>AHA 2025 §3.4 [9]</w:t>
            </w:r>
          </w:p>
        </w:tc>
      </w:tr>
      <w:tr>
        <w:tc>
          <w:tcPr>
            <w:tcW w:type="dxa" w:w="2436"/>
          </w:tcPr>
          <w:p>
            <w:r>
              <w:rPr>
                <w:rFonts w:ascii="Calibri" w:hAnsi="Calibri" w:eastAsia="Malgun Gothic"/>
                <w:b w:val="0"/>
                <w:i w:val="0"/>
                <w:sz w:val="20"/>
              </w:rPr>
              <w:t>4</w:t>
            </w:r>
          </w:p>
        </w:tc>
        <w:tc>
          <w:tcPr>
            <w:tcW w:type="dxa" w:w="2436"/>
          </w:tcPr>
          <w:p>
            <w:r>
              <w:rPr>
                <w:rFonts w:ascii="Calibri" w:hAnsi="Calibri" w:eastAsia="Malgun Gothic"/>
                <w:b w:val="0"/>
                <w:i w:val="0"/>
                <w:sz w:val="20"/>
              </w:rPr>
              <w:t>원클릭 응급 대응</w:t>
            </w:r>
          </w:p>
        </w:tc>
        <w:tc>
          <w:tcPr>
            <w:tcW w:type="dxa" w:w="2436"/>
          </w:tcPr>
          <w:p>
            <w:r>
              <w:rPr>
                <w:rFonts w:ascii="Calibri" w:hAnsi="Calibri" w:eastAsia="Malgun Gothic"/>
                <w:b w:val="0"/>
                <w:i w:val="0"/>
                <w:sz w:val="20"/>
              </w:rPr>
              <w:t>3중 채널 알림(의무실, 자원봉사자, 119/120); 음성 CPR 코칭</w:t>
            </w:r>
          </w:p>
        </w:tc>
        <w:tc>
          <w:tcPr>
            <w:tcW w:type="dxa" w:w="2436"/>
          </w:tcPr>
          <w:p>
            <w:r>
              <w:rPr>
                <w:rFonts w:ascii="Calibri" w:hAnsi="Calibri" w:eastAsia="Malgun Gothic"/>
                <w:b w:val="0"/>
                <w:i w:val="0"/>
                <w:sz w:val="20"/>
              </w:rPr>
              <w:t>AHA 2025 §4.1 [9]</w:t>
            </w:r>
          </w:p>
        </w:tc>
      </w:tr>
      <w:tr>
        <w:tc>
          <w:tcPr>
            <w:tcW w:type="dxa" w:w="2436"/>
          </w:tcPr>
          <w:p>
            <w:r>
              <w:rPr>
                <w:rFonts w:ascii="Calibri" w:hAnsi="Calibri" w:eastAsia="Malgun Gothic"/>
                <w:b w:val="0"/>
                <w:i w:val="0"/>
                <w:sz w:val="20"/>
              </w:rPr>
              <w:t>5</w:t>
            </w:r>
          </w:p>
        </w:tc>
        <w:tc>
          <w:tcPr>
            <w:tcW w:type="dxa" w:w="2436"/>
          </w:tcPr>
          <w:p>
            <w:r>
              <w:rPr>
                <w:rFonts w:ascii="Calibri" w:hAnsi="Calibri" w:eastAsia="Malgun Gothic"/>
                <w:b w:val="0"/>
                <w:i w:val="0"/>
                <w:sz w:val="20"/>
              </w:rPr>
              <w:t>CPR 교육 관리</w:t>
            </w:r>
          </w:p>
        </w:tc>
        <w:tc>
          <w:tcPr>
            <w:tcW w:type="dxa" w:w="2436"/>
          </w:tcPr>
          <w:p>
            <w:r>
              <w:rPr>
                <w:rFonts w:ascii="Calibri" w:hAnsi="Calibri" w:eastAsia="Malgun Gothic"/>
                <w:b w:val="0"/>
                <w:i w:val="0"/>
                <w:sz w:val="20"/>
              </w:rPr>
              <w:t>온라인 강좌 + VR + 인증 수명주기 경보</w:t>
            </w:r>
          </w:p>
        </w:tc>
        <w:tc>
          <w:tcPr>
            <w:tcW w:type="dxa" w:w="2436"/>
          </w:tcPr>
          <w:p>
            <w:r>
              <w:rPr>
                <w:rFonts w:ascii="Calibri" w:hAnsi="Calibri" w:eastAsia="Malgun Gothic"/>
                <w:b w:val="0"/>
                <w:i w:val="0"/>
                <w:sz w:val="20"/>
              </w:rPr>
              <w:t>AHA HeartCode; KACPR e-Learning [11]</w:t>
            </w:r>
          </w:p>
        </w:tc>
      </w:tr>
      <w:tr>
        <w:tc>
          <w:tcPr>
            <w:tcW w:type="dxa" w:w="2436"/>
          </w:tcPr>
          <w:p>
            <w:r>
              <w:rPr>
                <w:rFonts w:ascii="Calibri" w:hAnsi="Calibri" w:eastAsia="Malgun Gothic"/>
                <w:b w:val="0"/>
                <w:i w:val="0"/>
                <w:sz w:val="20"/>
              </w:rPr>
              <w:t>6</w:t>
            </w:r>
          </w:p>
        </w:tc>
        <w:tc>
          <w:tcPr>
            <w:tcW w:type="dxa" w:w="2436"/>
          </w:tcPr>
          <w:p>
            <w:r>
              <w:rPr>
                <w:rFonts w:ascii="Calibri" w:hAnsi="Calibri" w:eastAsia="Malgun Gothic"/>
                <w:b w:val="0"/>
                <w:i w:val="0"/>
                <w:sz w:val="20"/>
              </w:rPr>
              <w:t>안전 데이터 콕핏</w:t>
            </w:r>
          </w:p>
        </w:tc>
        <w:tc>
          <w:tcPr>
            <w:tcW w:type="dxa" w:w="2436"/>
          </w:tcPr>
          <w:p>
            <w:r>
              <w:rPr>
                <w:rFonts w:ascii="Calibri" w:hAnsi="Calibri" w:eastAsia="Malgun Gothic"/>
                <w:b w:val="0"/>
                <w:i w:val="0"/>
                <w:sz w:val="20"/>
              </w:rPr>
              <w:t>단지/기업/산업 3단계 집계; 전년·전기 대비 분석; 규제 내보내기</w:t>
            </w:r>
          </w:p>
        </w:tc>
        <w:tc>
          <w:tcPr>
            <w:tcW w:type="dxa" w:w="2436"/>
          </w:tcPr>
          <w:p>
            <w:r>
              <w:rPr>
                <w:rFonts w:ascii="Calibri" w:hAnsi="Calibri" w:eastAsia="Malgun Gothic"/>
                <w:b w:val="0"/>
                <w:i w:val="0"/>
                <w:sz w:val="20"/>
              </w:rPr>
              <w:t>ISO 45001 §9.1 [15]</w:t>
            </w:r>
          </w:p>
        </w:tc>
      </w:tr>
    </w:tbl>
    <w:p/>
    <w:p/>
    <w:p>
      <w:r>
        <w:rPr>
          <w:rFonts w:ascii="Calibri" w:hAnsi="Calibri" w:eastAsia="Malgun Gothic"/>
          <w:b/>
          <w:i w:val="0"/>
          <w:sz w:val="22"/>
        </w:rPr>
        <w:t>표 4.</w:t>
      </w:r>
      <w:r>
        <w:rPr>
          <w:rFonts w:ascii="Calibri" w:hAnsi="Calibri" w:eastAsia="Malgun Gothic"/>
          <w:b w:val="0"/>
          <w:i w:val="0"/>
          <w:sz w:val="22"/>
        </w:rPr>
        <w:t xml:space="preserve"> 1만 명 근로자 산업단지에서의 기대 효과(문헌 삼각검증 + 시나리오 시뮬레이션).</w:t>
      </w:r>
    </w:p>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rFonts w:ascii="Calibri" w:hAnsi="Calibri" w:eastAsia="Malgun Gothic"/>
                <w:b/>
                <w:sz w:val="20"/>
              </w:rPr>
              <w:t>지표</w:t>
            </w:r>
          </w:p>
        </w:tc>
        <w:tc>
          <w:tcPr>
            <w:tcW w:type="dxa" w:w="1949"/>
          </w:tcPr>
          <w:p>
            <w:r>
              <w:rPr>
                <w:rFonts w:ascii="Calibri" w:hAnsi="Calibri" w:eastAsia="Malgun Gothic"/>
                <w:b/>
                <w:sz w:val="20"/>
              </w:rPr>
              <w:t>기준선</w:t>
            </w:r>
          </w:p>
        </w:tc>
        <w:tc>
          <w:tcPr>
            <w:tcW w:type="dxa" w:w="1949"/>
          </w:tcPr>
          <w:p>
            <w:r>
              <w:rPr>
                <w:rFonts w:ascii="Calibri" w:hAnsi="Calibri" w:eastAsia="Malgun Gothic"/>
                <w:b/>
                <w:sz w:val="20"/>
              </w:rPr>
              <w:t>기대치</w:t>
            </w:r>
          </w:p>
        </w:tc>
        <w:tc>
          <w:tcPr>
            <w:tcW w:type="dxa" w:w="1949"/>
          </w:tcPr>
          <w:p>
            <w:r>
              <w:rPr>
                <w:rFonts w:ascii="Calibri" w:hAnsi="Calibri" w:eastAsia="Malgun Gothic"/>
                <w:b/>
                <w:sz w:val="20"/>
              </w:rPr>
              <w:t>Δ</w:t>
            </w:r>
          </w:p>
        </w:tc>
        <w:tc>
          <w:tcPr>
            <w:tcW w:type="dxa" w:w="1949"/>
          </w:tcPr>
          <w:p>
            <w:r>
              <w:rPr>
                <w:rFonts w:ascii="Calibri" w:hAnsi="Calibri" w:eastAsia="Malgun Gothic"/>
                <w:b/>
                <w:sz w:val="20"/>
              </w:rPr>
              <w:t>효과 근거</w:t>
            </w:r>
          </w:p>
        </w:tc>
      </w:tr>
      <w:tr>
        <w:tc>
          <w:tcPr>
            <w:tcW w:type="dxa" w:w="1949"/>
          </w:tcPr>
          <w:p>
            <w:r>
              <w:rPr>
                <w:rFonts w:ascii="Calibri" w:hAnsi="Calibri" w:eastAsia="Malgun Gothic"/>
                <w:b w:val="0"/>
                <w:i w:val="0"/>
                <w:sz w:val="20"/>
              </w:rPr>
              <w:t>OHCA 퇴원 생존율</w:t>
            </w:r>
          </w:p>
        </w:tc>
        <w:tc>
          <w:tcPr>
            <w:tcW w:type="dxa" w:w="1949"/>
          </w:tcPr>
          <w:p>
            <w:r>
              <w:rPr>
                <w:rFonts w:ascii="Calibri" w:hAnsi="Calibri" w:eastAsia="Malgun Gothic"/>
                <w:b w:val="0"/>
                <w:i w:val="0"/>
                <w:sz w:val="20"/>
              </w:rPr>
              <w:t>~10%</w:t>
            </w:r>
          </w:p>
        </w:tc>
        <w:tc>
          <w:tcPr>
            <w:tcW w:type="dxa" w:w="1949"/>
          </w:tcPr>
          <w:p>
            <w:r>
              <w:rPr>
                <w:rFonts w:ascii="Calibri" w:hAnsi="Calibri" w:eastAsia="Malgun Gothic"/>
                <w:b w:val="0"/>
                <w:i w:val="0"/>
                <w:sz w:val="20"/>
              </w:rPr>
              <w:t>≥ 25%</w:t>
            </w:r>
          </w:p>
        </w:tc>
        <w:tc>
          <w:tcPr>
            <w:tcW w:type="dxa" w:w="1949"/>
          </w:tcPr>
          <w:p>
            <w:r>
              <w:rPr>
                <w:rFonts w:ascii="Calibri" w:hAnsi="Calibri" w:eastAsia="Malgun Gothic"/>
                <w:b w:val="0"/>
                <w:i w:val="0"/>
                <w:sz w:val="20"/>
              </w:rPr>
              <w:t>+15%p</w:t>
            </w:r>
          </w:p>
        </w:tc>
        <w:tc>
          <w:tcPr>
            <w:tcW w:type="dxa" w:w="1949"/>
          </w:tcPr>
          <w:p>
            <w:r>
              <w:rPr>
                <w:rFonts w:ascii="Calibri" w:hAnsi="Calibri" w:eastAsia="Malgun Gothic"/>
                <w:b w:val="0"/>
                <w:i w:val="0"/>
                <w:sz w:val="20"/>
              </w:rPr>
              <w:t>목격자 CPR + 조기 AED 근거 [9]</w:t>
            </w:r>
          </w:p>
        </w:tc>
      </w:tr>
      <w:tr>
        <w:tc>
          <w:tcPr>
            <w:tcW w:type="dxa" w:w="1949"/>
          </w:tcPr>
          <w:p>
            <w:r>
              <w:rPr>
                <w:rFonts w:ascii="Calibri" w:hAnsi="Calibri" w:eastAsia="Malgun Gothic"/>
                <w:b w:val="0"/>
                <w:i w:val="0"/>
                <w:sz w:val="20"/>
              </w:rPr>
              <w:t>쓰러짐 → CPR 시간 중위값</w:t>
            </w:r>
          </w:p>
        </w:tc>
        <w:tc>
          <w:tcPr>
            <w:tcW w:type="dxa" w:w="1949"/>
          </w:tcPr>
          <w:p>
            <w:r>
              <w:rPr>
                <w:rFonts w:ascii="Calibri" w:hAnsi="Calibri" w:eastAsia="Malgun Gothic"/>
                <w:b w:val="0"/>
                <w:i w:val="0"/>
                <w:sz w:val="20"/>
              </w:rPr>
              <w:t>~8분</w:t>
            </w:r>
          </w:p>
        </w:tc>
        <w:tc>
          <w:tcPr>
            <w:tcW w:type="dxa" w:w="1949"/>
          </w:tcPr>
          <w:p>
            <w:r>
              <w:rPr>
                <w:rFonts w:ascii="Calibri" w:hAnsi="Calibri" w:eastAsia="Malgun Gothic"/>
                <w:b w:val="0"/>
                <w:i w:val="0"/>
                <w:sz w:val="20"/>
              </w:rPr>
              <w:t>≤ 3분</w:t>
            </w:r>
          </w:p>
        </w:tc>
        <w:tc>
          <w:tcPr>
            <w:tcW w:type="dxa" w:w="1949"/>
          </w:tcPr>
          <w:p>
            <w:r>
              <w:rPr>
                <w:rFonts w:ascii="Calibri" w:hAnsi="Calibri" w:eastAsia="Malgun Gothic"/>
                <w:b w:val="0"/>
                <w:i w:val="0"/>
                <w:sz w:val="20"/>
              </w:rPr>
              <w:t>−62%</w:t>
            </w:r>
          </w:p>
        </w:tc>
        <w:tc>
          <w:tcPr>
            <w:tcW w:type="dxa" w:w="1949"/>
          </w:tcPr>
          <w:p>
            <w:r>
              <w:rPr>
                <w:rFonts w:ascii="Calibri" w:hAnsi="Calibri" w:eastAsia="Malgun Gothic"/>
                <w:b w:val="0"/>
                <w:i w:val="0"/>
                <w:sz w:val="20"/>
              </w:rPr>
              <w:t>IoT-AED + 근접 자원봉사자 디스패치</w:t>
            </w:r>
          </w:p>
        </w:tc>
      </w:tr>
      <w:tr>
        <w:tc>
          <w:tcPr>
            <w:tcW w:type="dxa" w:w="1949"/>
          </w:tcPr>
          <w:p>
            <w:r>
              <w:rPr>
                <w:rFonts w:ascii="Calibri" w:hAnsi="Calibri" w:eastAsia="Malgun Gothic"/>
                <w:b w:val="0"/>
                <w:i w:val="0"/>
                <w:sz w:val="20"/>
              </w:rPr>
              <w:t>4분 내 AED 도달성</w:t>
            </w:r>
          </w:p>
        </w:tc>
        <w:tc>
          <w:tcPr>
            <w:tcW w:type="dxa" w:w="1949"/>
          </w:tcPr>
          <w:p>
            <w:r>
              <w:rPr>
                <w:rFonts w:ascii="Calibri" w:hAnsi="Calibri" w:eastAsia="Malgun Gothic"/>
                <w:b w:val="0"/>
                <w:i w:val="0"/>
                <w:sz w:val="20"/>
              </w:rPr>
              <w:t>38%</w:t>
            </w:r>
          </w:p>
        </w:tc>
        <w:tc>
          <w:tcPr>
            <w:tcW w:type="dxa" w:w="1949"/>
          </w:tcPr>
          <w:p>
            <w:r>
              <w:rPr>
                <w:rFonts w:ascii="Calibri" w:hAnsi="Calibri" w:eastAsia="Malgun Gothic"/>
                <w:b w:val="0"/>
                <w:i w:val="0"/>
                <w:sz w:val="20"/>
              </w:rPr>
              <w:t>91%</w:t>
            </w:r>
          </w:p>
        </w:tc>
        <w:tc>
          <w:tcPr>
            <w:tcW w:type="dxa" w:w="1949"/>
          </w:tcPr>
          <w:p>
            <w:r>
              <w:rPr>
                <w:rFonts w:ascii="Calibri" w:hAnsi="Calibri" w:eastAsia="Malgun Gothic"/>
                <w:b w:val="0"/>
                <w:i w:val="0"/>
                <w:sz w:val="20"/>
              </w:rPr>
              <w:t>+53%p</w:t>
            </w:r>
          </w:p>
        </w:tc>
        <w:tc>
          <w:tcPr>
            <w:tcW w:type="dxa" w:w="1949"/>
          </w:tcPr>
          <w:p>
            <w:r>
              <w:rPr>
                <w:rFonts w:ascii="Calibri" w:hAnsi="Calibri" w:eastAsia="Malgun Gothic"/>
                <w:b w:val="0"/>
                <w:i w:val="0"/>
                <w:sz w:val="20"/>
              </w:rPr>
              <w:t>네트워크 재배치</w:t>
            </w:r>
          </w:p>
        </w:tc>
      </w:tr>
      <w:tr>
        <w:tc>
          <w:tcPr>
            <w:tcW w:type="dxa" w:w="1949"/>
          </w:tcPr>
          <w:p>
            <w:r>
              <w:rPr>
                <w:rFonts w:ascii="Calibri" w:hAnsi="Calibri" w:eastAsia="Malgun Gothic"/>
                <w:b w:val="0"/>
                <w:i w:val="0"/>
                <w:sz w:val="20"/>
              </w:rPr>
              <w:t>CPR 인증률</w:t>
            </w:r>
          </w:p>
        </w:tc>
        <w:tc>
          <w:tcPr>
            <w:tcW w:type="dxa" w:w="1949"/>
          </w:tcPr>
          <w:p>
            <w:r>
              <w:rPr>
                <w:rFonts w:ascii="Calibri" w:hAnsi="Calibri" w:eastAsia="Malgun Gothic"/>
                <w:b w:val="0"/>
                <w:i w:val="0"/>
                <w:sz w:val="20"/>
              </w:rPr>
              <w:t>12%</w:t>
            </w:r>
          </w:p>
        </w:tc>
        <w:tc>
          <w:tcPr>
            <w:tcW w:type="dxa" w:w="1949"/>
          </w:tcPr>
          <w:p>
            <w:r>
              <w:rPr>
                <w:rFonts w:ascii="Calibri" w:hAnsi="Calibri" w:eastAsia="Malgun Gothic"/>
                <w:b w:val="0"/>
                <w:i w:val="0"/>
                <w:sz w:val="20"/>
              </w:rPr>
              <w:t>≥ 60%</w:t>
            </w:r>
          </w:p>
        </w:tc>
        <w:tc>
          <w:tcPr>
            <w:tcW w:type="dxa" w:w="1949"/>
          </w:tcPr>
          <w:p>
            <w:r>
              <w:rPr>
                <w:rFonts w:ascii="Calibri" w:hAnsi="Calibri" w:eastAsia="Malgun Gothic"/>
                <w:b w:val="0"/>
                <w:i w:val="0"/>
                <w:sz w:val="20"/>
              </w:rPr>
              <w:t>+48%p</w:t>
            </w:r>
          </w:p>
        </w:tc>
        <w:tc>
          <w:tcPr>
            <w:tcW w:type="dxa" w:w="1949"/>
          </w:tcPr>
          <w:p>
            <w:r>
              <w:rPr>
                <w:rFonts w:ascii="Calibri" w:hAnsi="Calibri" w:eastAsia="Malgun Gothic"/>
                <w:b w:val="0"/>
                <w:i w:val="0"/>
                <w:sz w:val="20"/>
              </w:rPr>
              <w:t>디지털 학습 루프</w:t>
            </w:r>
          </w:p>
        </w:tc>
      </w:tr>
      <w:tr>
        <w:tc>
          <w:tcPr>
            <w:tcW w:type="dxa" w:w="1949"/>
          </w:tcPr>
          <w:p>
            <w:r>
              <w:rPr>
                <w:rFonts w:ascii="Calibri" w:hAnsi="Calibri" w:eastAsia="Malgun Gothic"/>
                <w:b w:val="0"/>
                <w:i w:val="0"/>
                <w:sz w:val="20"/>
              </w:rPr>
              <w:t>연간 손실 회피(1만 명)</w:t>
            </w:r>
          </w:p>
        </w:tc>
        <w:tc>
          <w:tcPr>
            <w:tcW w:type="dxa" w:w="1949"/>
          </w:tcPr>
          <w:p>
            <w:r>
              <w:rPr>
                <w:rFonts w:ascii="Calibri" w:hAnsi="Calibri" w:eastAsia="Malgun Gothic"/>
                <w:b w:val="0"/>
                <w:i w:val="0"/>
                <w:sz w:val="20"/>
              </w:rPr>
              <w:t>—</w:t>
            </w:r>
          </w:p>
        </w:tc>
        <w:tc>
          <w:tcPr>
            <w:tcW w:type="dxa" w:w="1949"/>
          </w:tcPr>
          <w:p>
            <w:r>
              <w:rPr>
                <w:rFonts w:ascii="Calibri" w:hAnsi="Calibri" w:eastAsia="Malgun Gothic"/>
                <w:b w:val="0"/>
                <w:i w:val="0"/>
                <w:sz w:val="20"/>
              </w:rPr>
              <w:t>&gt; ¥1,000만</w:t>
            </w:r>
          </w:p>
        </w:tc>
        <w:tc>
          <w:tcPr>
            <w:tcW w:type="dxa" w:w="1949"/>
          </w:tcPr>
          <w:p>
            <w:r>
              <w:rPr>
                <w:rFonts w:ascii="Calibri" w:hAnsi="Calibri" w:eastAsia="Malgun Gothic"/>
                <w:b w:val="0"/>
                <w:i w:val="0"/>
                <w:sz w:val="20"/>
              </w:rPr>
              <w:t>—</w:t>
            </w:r>
          </w:p>
        </w:tc>
        <w:tc>
          <w:tcPr>
            <w:tcW w:type="dxa" w:w="1949"/>
          </w:tcPr>
          <w:p>
            <w:r>
              <w:rPr>
                <w:rFonts w:ascii="Calibri" w:hAnsi="Calibri" w:eastAsia="Malgun Gothic"/>
                <w:b w:val="0"/>
                <w:i w:val="0"/>
                <w:sz w:val="20"/>
              </w:rPr>
              <w:t>사건당 평균 치료비 30–50만 위안</w:t>
            </w:r>
          </w:p>
        </w:tc>
      </w:tr>
      <w:tr>
        <w:tc>
          <w:tcPr>
            <w:tcW w:type="dxa" w:w="1949"/>
          </w:tcPr>
          <w:p>
            <w:r>
              <w:rPr>
                <w:rFonts w:ascii="Calibri" w:hAnsi="Calibri" w:eastAsia="Malgun Gothic"/>
                <w:b w:val="0"/>
                <w:i w:val="0"/>
                <w:sz w:val="20"/>
              </w:rPr>
              <w:t>투자수익률</w:t>
            </w:r>
          </w:p>
        </w:tc>
        <w:tc>
          <w:tcPr>
            <w:tcW w:type="dxa" w:w="1949"/>
          </w:tcPr>
          <w:p>
            <w:r>
              <w:rPr>
                <w:rFonts w:ascii="Calibri" w:hAnsi="Calibri" w:eastAsia="Malgun Gothic"/>
                <w:b w:val="0"/>
                <w:i w:val="0"/>
                <w:sz w:val="20"/>
              </w:rPr>
              <w:t>—</w:t>
            </w:r>
          </w:p>
        </w:tc>
        <w:tc>
          <w:tcPr>
            <w:tcW w:type="dxa" w:w="1949"/>
          </w:tcPr>
          <w:p>
            <w:r>
              <w:rPr>
                <w:rFonts w:ascii="Calibri" w:hAnsi="Calibri" w:eastAsia="Malgun Gothic"/>
                <w:b w:val="0"/>
                <w:i w:val="0"/>
                <w:sz w:val="20"/>
              </w:rPr>
              <w:t>&gt; 5</w:t>
            </w:r>
          </w:p>
        </w:tc>
        <w:tc>
          <w:tcPr>
            <w:tcW w:type="dxa" w:w="1949"/>
          </w:tcPr>
          <w:p>
            <w:r>
              <w:rPr>
                <w:rFonts w:ascii="Calibri" w:hAnsi="Calibri" w:eastAsia="Malgun Gothic"/>
                <w:b w:val="0"/>
                <w:i w:val="0"/>
                <w:sz w:val="20"/>
              </w:rPr>
              <w:t>—</w:t>
            </w:r>
          </w:p>
        </w:tc>
        <w:tc>
          <w:tcPr>
            <w:tcW w:type="dxa" w:w="1949"/>
          </w:tcPr>
          <w:p>
            <w:r>
              <w:rPr>
                <w:rFonts w:ascii="Calibri" w:hAnsi="Calibri" w:eastAsia="Malgun Gothic"/>
                <w:b w:val="0"/>
                <w:i w:val="0"/>
                <w:sz w:val="20"/>
              </w:rPr>
              <w:t>손실 회피 ÷ 플랫폼 비용</w:t>
            </w:r>
          </w:p>
        </w:tc>
      </w:tr>
    </w:tbl>
    <w:p/>
    <w:p/>
    <w:p>
      <w:r>
        <w:rPr>
          <w:rFonts w:ascii="Calibri" w:hAnsi="Calibri" w:eastAsia="Malgun Gothic"/>
          <w:b w:val="0"/>
          <w:i/>
          <w:sz w:val="22"/>
        </w:rPr>
        <w:t>%p, 백분율 포인트.</w:t>
      </w:r>
    </w:p>
    <w:p/>
    <w:p>
      <w:r>
        <w:br/>
      </w:r>
    </w:p>
    <w:p/>
    <w:p>
      <w:r>
        <w:rPr>
          <w:rFonts w:ascii="Calibri" w:hAnsi="Calibri" w:eastAsia="Malgun Gothic"/>
          <w:b/>
          <w:color w:val="DC2626"/>
          <w:sz w:val="32"/>
        </w:rPr>
        <w:t>4. 고찰</w:t>
      </w:r>
    </w:p>
    <w:p/>
    <w:p>
      <w:r>
        <w:rPr>
          <w:rFonts w:ascii="Calibri" w:hAnsi="Calibri" w:eastAsia="Malgun Gothic"/>
          <w:b/>
          <w:color w:val="0F172A"/>
          <w:sz w:val="26"/>
        </w:rPr>
        <w:t>4.1 주요 발견</w:t>
      </w:r>
    </w:p>
    <w:p/>
    <w:p>
      <w:r>
        <w:rPr>
          <w:rFonts w:ascii="Calibri" w:hAnsi="Calibri" w:eastAsia="Malgun Gothic"/>
          <w:b w:val="0"/>
          <w:i w:val="0"/>
          <w:sz w:val="22"/>
        </w:rPr>
        <w:t>CardioGuard Industrial은 산업 심정지의 전 과정—모니터링, 예측, AED 디스패치, 음성 안내 대응, 인증 교육, 분석—이 표준에 기반하고 비용 없이 재현 가능한 단일 이중 언어 산출물로 통합될 수 있음을 보여준다. 예측 효과 크기(표 4)는 조기 목격자 CPR과 조기 제세동의 확립된 생존 이익과 일치하여 [1,9,10], 시뮬레이션의 표면 타당도를 뒷받침한다.</w:t>
      </w:r>
    </w:p>
    <w:p/>
    <w:p>
      <w:r>
        <w:rPr>
          <w:rFonts w:ascii="Calibri" w:hAnsi="Calibri" w:eastAsia="Malgun Gothic"/>
          <w:b/>
          <w:color w:val="0F172A"/>
          <w:sz w:val="26"/>
        </w:rPr>
        <w:t>4.2 기존 연구와의 비교</w:t>
      </w:r>
    </w:p>
    <w:p/>
    <w:p>
      <w:r>
        <w:rPr>
          <w:rFonts w:ascii="Calibri" w:hAnsi="Calibri" w:eastAsia="Malgun Gothic"/>
          <w:b w:val="0"/>
          <w:i w:val="0"/>
          <w:sz w:val="22"/>
        </w:rPr>
        <w:t xml:space="preserve">공공 공간 AED 지도 [12,13], 소비자 웨어러블 [14], 독립형 온라인 학습 [11]과 달리, 본 설계는 산업단지 시나리오 내에서 사슬을 </w:t>
      </w:r>
      <w:r>
        <w:rPr>
          <w:rFonts w:ascii="Calibri" w:hAnsi="Calibri" w:eastAsia="Malgun Gothic"/>
          <w:b w:val="0"/>
          <w:i/>
          <w:sz w:val="22"/>
        </w:rPr>
        <w:t>수직적으로</w:t>
      </w:r>
      <w:r>
        <w:rPr>
          <w:rFonts w:ascii="Calibri" w:hAnsi="Calibri" w:eastAsia="Malgun Gothic"/>
          <w:b w:val="0"/>
          <w:i w:val="0"/>
          <w:sz w:val="22"/>
        </w:rPr>
        <w:t xml:space="preserve"> 폐쇄하고 네이티브 이중 언어 제공을 더한다(표 1). 우리가 아는 한, 이 조합—산업 심정지 폐쇄 루프 + 생산 등급 한·중 동등성 + 보장된 한국어 PDF—은 이전에 보고된 바 없다.</w:t>
      </w:r>
    </w:p>
    <w:p/>
    <w:p>
      <w:r>
        <w:rPr>
          <w:rFonts w:ascii="Calibri" w:hAnsi="Calibri" w:eastAsia="Malgun Gothic"/>
          <w:b/>
          <w:color w:val="0F172A"/>
          <w:sz w:val="26"/>
        </w:rPr>
        <w:t>4.3 응용과 한·중 산업 협력</w:t>
      </w:r>
    </w:p>
    <w:p/>
    <w:p>
      <w:r>
        <w:rPr>
          <w:rFonts w:ascii="Calibri" w:hAnsi="Calibri" w:eastAsia="Malgun Gothic"/>
          <w:b w:val="0"/>
          <w:i w:val="0"/>
          <w:sz w:val="22"/>
        </w:rPr>
        <w:t>직접 수혜자에는 산업 운영자(낮은 사건 비용, 향상된 환경-사회-지배구조 등급), 근로자(접근 가능한 구명 대응), 공중보건 규제자(실시간 단지급 역학), 보험사(직업성 심장 위험의 정밀 보험계리 가격 책정)가 포함된다. 후보 국경 간 도입지로는 산둥 옌타이 한국 자본 산업단지, 경기 평택 중국 자본 제조 구역, 웨이하이 한·중 자유무역 시범구가 있다.</w:t>
      </w:r>
    </w:p>
    <w:p/>
    <w:p>
      <w:r>
        <w:rPr>
          <w:rFonts w:ascii="Calibri" w:hAnsi="Calibri" w:eastAsia="Malgun Gothic"/>
          <w:b/>
          <w:color w:val="0F172A"/>
          <w:sz w:val="26"/>
        </w:rPr>
        <w:t>4.4 규제 경로</w:t>
      </w:r>
    </w:p>
    <w:p/>
    <w:p>
      <w:r>
        <w:rPr>
          <w:rFonts w:ascii="Calibri" w:hAnsi="Calibri" w:eastAsia="Malgun Gothic"/>
          <w:b w:val="0"/>
          <w:i w:val="0"/>
          <w:sz w:val="22"/>
        </w:rPr>
        <w:t>제품화를 위해, 플랫폼은 중국에서 국가약품감독관리국 디지털 헬스 프레임워크에 따라 II 등급 의료기기 소프트웨어(SaMD)로 분류될 수 있고, 대한민국에서는 식품의약품안전처(MFDS) 디지털 헬스 소프트웨어 시판 전 신고(2024) [18]를 거치며, 국제적으로는 IEC 62304(의료 소프트웨어 수명주기)와 ISO 13485(품질 경영)에 정렬되어야 한다.</w:t>
      </w:r>
    </w:p>
    <w:p/>
    <w:p>
      <w:r>
        <w:rPr>
          <w:rFonts w:ascii="Calibri" w:hAnsi="Calibri" w:eastAsia="Malgun Gothic"/>
          <w:b/>
          <w:color w:val="0F172A"/>
          <w:sz w:val="26"/>
        </w:rPr>
        <w:t>4.5 한계</w:t>
      </w:r>
    </w:p>
    <w:p/>
    <w:p>
      <w:r>
        <w:rPr>
          <w:rFonts w:ascii="Calibri" w:hAnsi="Calibri" w:eastAsia="Malgun Gothic"/>
          <w:b w:val="0"/>
          <w:i w:val="0"/>
          <w:sz w:val="22"/>
        </w:rPr>
        <w:t>첫째, 데모 데이터는 공개 통계로부터 시뮬레이션한 것으로, 검증된 산업 코호트는 아직 수집되지 않아 예측 효과 크기는 실증적이라기보다 예시적이다. 둘째, AI 위험 모듈은 본 MVP에서 사양화되었을 뿐 배포·벤치마크되지 않았다. 셋째, 프라이버시와 보안은 프런트엔드 모범사례 수준에서 구현되었으며, 전 주기 감사(ISO/IEC 27001)는 미완이다. 넷째, 언어 커버리지는 한·중에 한정되어 동남아시아 노동시장은 아직 다루지 못한다.</w:t>
      </w:r>
    </w:p>
    <w:p/>
    <w:p>
      <w:r>
        <w:rPr>
          <w:rFonts w:ascii="Calibri" w:hAnsi="Calibri" w:eastAsia="Malgun Gothic"/>
          <w:b/>
          <w:color w:val="0F172A"/>
          <w:sz w:val="26"/>
        </w:rPr>
        <w:t>4.6 향후 과제</w:t>
      </w:r>
    </w:p>
    <w:p/>
    <w:p>
      <w:r>
        <w:rPr>
          <w:rFonts w:ascii="Calibri" w:hAnsi="Calibri" w:eastAsia="Malgun Gothic"/>
          <w:b w:val="0"/>
          <w:i w:val="0"/>
          <w:sz w:val="22"/>
        </w:rPr>
        <w:t>로드맵은 한·중 합작 기업 2개 공장 시범(2026 Q3)과 500명 전향적 코호트(2026 Q4)에서, MFDS 시판 전 신고(2027 Q1), 동료심사 발표 및 10개 단지 확장(2027 Q2), 동남아시아 언어 확장(2027 Q4)으로 진행된다. 모든 전향적 코호트는 이중 기관생명윤리위원회 감독과 헬싱키 선언 원칙 하에 수행될 것이다.</w:t>
      </w:r>
    </w:p>
    <w:p/>
    <w:p>
      <w:r>
        <w:br/>
      </w:r>
    </w:p>
    <w:p/>
    <w:p>
      <w:r>
        <w:rPr>
          <w:rFonts w:ascii="Calibri" w:hAnsi="Calibri" w:eastAsia="Malgun Gothic"/>
          <w:b/>
          <w:color w:val="DC2626"/>
          <w:sz w:val="32"/>
        </w:rPr>
        <w:t>5. 결론</w:t>
      </w:r>
    </w:p>
    <w:p/>
    <w:p>
      <w:r>
        <w:rPr>
          <w:rFonts w:ascii="Calibri" w:hAnsi="Calibri" w:eastAsia="Malgun Gothic"/>
          <w:b w:val="0"/>
          <w:i w:val="0"/>
          <w:sz w:val="22"/>
        </w:rPr>
        <w:t xml:space="preserve">CardioGuard Industrial은 디지털 헬스 경진대회 </w:t>
      </w:r>
      <w:r>
        <w:rPr>
          <w:rFonts w:ascii="Calibri" w:hAnsi="Calibri" w:eastAsia="Malgun Gothic"/>
          <w:b w:val="0"/>
          <w:i/>
          <w:sz w:val="22"/>
        </w:rPr>
        <w:t>산업 안전</w:t>
      </w:r>
      <w:r>
        <w:rPr>
          <w:rFonts w:ascii="Calibri" w:hAnsi="Calibri" w:eastAsia="Malgun Gothic"/>
          <w:b w:val="0"/>
          <w:i w:val="0"/>
          <w:sz w:val="22"/>
        </w:rPr>
        <w:t xml:space="preserve"> 요청에 응답하는, 재현 가능하고 표준에 정렬된 이중 언어 원형을 제공한다. 실시간 모니터링, AI 위험도 예측, AED IoT 디스패치, 음성 안내 CPR 대응, 인증 교육, 안전 분석을 단일 폐쇄 루프로 통합하고—배포된 웹 클라이언트, MIT 라이선스 소스 코드, 원클릭 한국어 PDF로 산출물을 패키징함으로써—본 산출물은 임상 지침 충실도, 이중 언어 접근성, 오픈소스 재현성을 결합한다. 이러한 특성은 한·중 합작 단지의 시범 도입으로의 이행과 후속 동료심사 발표에 매우 적합하다.</w:t>
      </w:r>
    </w:p>
    <w:p/>
    <w:p>
      <w:r>
        <w:br/>
      </w:r>
    </w:p>
    <w:p/>
    <w:p>
      <w:r>
        <w:rPr>
          <w:rFonts w:ascii="Calibri" w:hAnsi="Calibri" w:eastAsia="Malgun Gothic"/>
          <w:b/>
          <w:color w:val="DC2626"/>
          <w:sz w:val="32"/>
        </w:rPr>
        <w:t>선언</w:t>
      </w:r>
    </w:p>
    <w:p/>
    <w:p>
      <w:r>
        <w:rPr>
          <w:rFonts w:ascii="Calibri" w:hAnsi="Calibri" w:eastAsia="Malgun Gothic"/>
          <w:b/>
          <w:color w:val="0F172A"/>
          <w:sz w:val="26"/>
        </w:rPr>
        <w:t>윤리 승인 및 참여 동의</w:t>
      </w:r>
    </w:p>
    <w:p>
      <w:r>
        <w:rPr>
          <w:rFonts w:ascii="Calibri" w:hAnsi="Calibri" w:eastAsia="Malgun Gothic"/>
          <w:b w:val="0"/>
          <w:i w:val="0"/>
          <w:sz w:val="22"/>
        </w:rPr>
        <w:t>해당 없음. 본 최소 기능 원형은 인간 피험자, 인간 데이터, 동물 대상을 포함하지 않으며 기관생명윤리위원회 승인이 필요하지 않았다. 후속 전향적 코호트(§4.6)는 시안의학고등전문학교와 경운대학교의 이중 심사를 받고 헬싱키 선언 원칙 하에 수행될 것이다.</w:t>
      </w:r>
    </w:p>
    <w:p/>
    <w:p>
      <w:r>
        <w:rPr>
          <w:rFonts w:ascii="Calibri" w:hAnsi="Calibri" w:eastAsia="Malgun Gothic"/>
          <w:b/>
          <w:color w:val="0F172A"/>
          <w:sz w:val="26"/>
        </w:rPr>
        <w:t>출판 동의</w:t>
      </w:r>
    </w:p>
    <w:p>
      <w:r>
        <w:rPr>
          <w:rFonts w:ascii="Calibri" w:hAnsi="Calibri" w:eastAsia="Malgun Gothic"/>
          <w:b w:val="0"/>
          <w:i w:val="0"/>
          <w:sz w:val="22"/>
        </w:rPr>
        <w:t>해당 없음.</w:t>
      </w:r>
    </w:p>
    <w:p/>
    <w:p>
      <w:r>
        <w:rPr>
          <w:rFonts w:ascii="Calibri" w:hAnsi="Calibri" w:eastAsia="Malgun Gothic"/>
          <w:b/>
          <w:color w:val="0F172A"/>
          <w:sz w:val="26"/>
        </w:rPr>
        <w:t>데이터 및 자료 가용성</w:t>
      </w:r>
    </w:p>
    <w:p>
      <w:r>
        <w:rPr>
          <w:rFonts w:ascii="Calibri" w:hAnsi="Calibri" w:eastAsia="Malgun Gothic"/>
          <w:b w:val="0"/>
          <w:i w:val="0"/>
          <w:sz w:val="22"/>
        </w:rPr>
        <w:t xml:space="preserve">본 연구의 소스 코드, 시뮬레이션 대시보드 데이터, 생성된 한국어 PDF는 프로젝트 저장소에서 MIT 라이선스(코드)와 CC BY 4.0(논문 본문)으로 공개된다. 인간 피험자 데이터는 포함되지 않는다. 산출물은 저장소 루트에서 </w:t>
      </w:r>
      <w:r>
        <w:rPr>
          <w:rFonts w:ascii="Consolas" w:hAnsi="Consolas" w:eastAsia="Malgun Gothic"/>
          <w:b w:val="0"/>
          <w:i w:val="0"/>
          <w:sz w:val="22"/>
        </w:rPr>
        <w:t>python -m http.server</w:t>
      </w:r>
      <w:r>
        <w:rPr>
          <w:rFonts w:ascii="Calibri" w:hAnsi="Calibri" w:eastAsia="Malgun Gothic"/>
          <w:b w:val="0"/>
          <w:i w:val="0"/>
          <w:sz w:val="22"/>
        </w:rPr>
        <w:t>로 로컬에서 재현할 수 있다.</w:t>
      </w:r>
    </w:p>
    <w:p/>
    <w:p>
      <w:r>
        <w:rPr>
          <w:rFonts w:ascii="Calibri" w:hAnsi="Calibri" w:eastAsia="Malgun Gothic"/>
          <w:b/>
          <w:color w:val="0F172A"/>
          <w:sz w:val="26"/>
        </w:rPr>
        <w:t>이해 상충</w:t>
      </w:r>
    </w:p>
    <w:p>
      <w:r>
        <w:rPr>
          <w:rFonts w:ascii="Calibri" w:hAnsi="Calibri" w:eastAsia="Malgun Gothic"/>
          <w:b w:val="0"/>
          <w:i w:val="0"/>
          <w:sz w:val="22"/>
        </w:rPr>
        <w:t>저자는 이해 상충이 없음을 선언한다.</w:t>
      </w:r>
    </w:p>
    <w:p/>
    <w:p>
      <w:r>
        <w:rPr>
          <w:rFonts w:ascii="Calibri" w:hAnsi="Calibri" w:eastAsia="Malgun Gothic"/>
          <w:b/>
          <w:color w:val="0F172A"/>
          <w:sz w:val="26"/>
        </w:rPr>
        <w:t>연구비</w:t>
      </w:r>
    </w:p>
    <w:p>
      <w:r>
        <w:rPr>
          <w:rFonts w:ascii="Calibri" w:hAnsi="Calibri" w:eastAsia="Malgun Gothic"/>
          <w:b w:val="0"/>
          <w:i w:val="0"/>
          <w:sz w:val="22"/>
        </w:rPr>
        <w:t xml:space="preserve">본 연구는 외부 연구비를 받지 않았다. </w:t>
      </w:r>
      <w:r>
        <w:rPr>
          <w:rFonts w:ascii="Calibri" w:hAnsi="Calibri" w:eastAsia="Malgun Gothic"/>
          <w:b w:val="0"/>
          <w:i/>
          <w:sz w:val="22"/>
        </w:rPr>
        <w:t>(해당 시 투고 시점에 갱신.)</w:t>
      </w:r>
    </w:p>
    <w:p/>
    <w:p>
      <w:r>
        <w:rPr>
          <w:rFonts w:ascii="Calibri" w:hAnsi="Calibri" w:eastAsia="Malgun Gothic"/>
          <w:b/>
          <w:color w:val="0F172A"/>
          <w:sz w:val="26"/>
        </w:rPr>
        <w:t>저자 기여</w:t>
      </w:r>
    </w:p>
    <w:p>
      <w:r>
        <w:rPr>
          <w:rFonts w:ascii="Calibri" w:hAnsi="Calibri" w:eastAsia="Malgun Gothic"/>
          <w:b w:val="0"/>
          <w:i w:val="0"/>
          <w:sz w:val="22"/>
        </w:rPr>
        <w:t>J.W.가 연구를 구상하고 플랫폼을 설계·구현하였으며 평가를 수행하고 원고를 작성하였다. 저자는 최종 원고를 읽고 승인하였다.</w:t>
      </w:r>
    </w:p>
    <w:p/>
    <w:p>
      <w:r>
        <w:rPr>
          <w:rFonts w:ascii="Calibri" w:hAnsi="Calibri" w:eastAsia="Malgun Gothic"/>
          <w:b/>
          <w:color w:val="0F172A"/>
          <w:sz w:val="26"/>
        </w:rPr>
        <w:t>감사의 글</w:t>
      </w:r>
    </w:p>
    <w:p>
      <w:r>
        <w:rPr>
          <w:rFonts w:ascii="Calibri" w:hAnsi="Calibri" w:eastAsia="Malgun Gothic"/>
          <w:b w:val="0"/>
          <w:i w:val="0"/>
          <w:sz w:val="22"/>
        </w:rPr>
        <w:t>저자는 비공식 토론에 응해 준 시안의학고등전문학교와 경운대학교 동료들에게 감사한다.</w:t>
      </w:r>
    </w:p>
    <w:p/>
    <w:p>
      <w:r>
        <w:rPr>
          <w:rFonts w:ascii="Calibri" w:hAnsi="Calibri" w:eastAsia="Malgun Gothic"/>
          <w:b/>
          <w:color w:val="0F172A"/>
          <w:sz w:val="26"/>
        </w:rPr>
        <w:t>인공지능 사용(ICMJE/COPE 정렬 공개)</w:t>
      </w:r>
    </w:p>
    <w:p>
      <w:r>
        <w:rPr>
          <w:rFonts w:ascii="Calibri" w:hAnsi="Calibri" w:eastAsia="Malgun Gothic"/>
          <w:b w:val="0"/>
          <w:i w:val="0"/>
          <w:sz w:val="22"/>
        </w:rPr>
        <w:t xml:space="preserve">생성형 AI는 </w:t>
      </w:r>
      <w:r>
        <w:rPr>
          <w:rFonts w:ascii="Calibri" w:hAnsi="Calibri" w:eastAsia="Malgun Gothic"/>
          <w:b/>
          <w:i w:val="0"/>
          <w:sz w:val="22"/>
        </w:rPr>
        <w:t>오직 저자가 작성한 산문의 언어 다듬기와 상용구 코드 스캐폴딩</w:t>
      </w:r>
      <w:r>
        <w:rPr>
          <w:rFonts w:ascii="Calibri" w:hAnsi="Calibri" w:eastAsia="Malgun Gothic"/>
          <w:b w:val="0"/>
          <w:i w:val="0"/>
          <w:sz w:val="22"/>
        </w:rPr>
        <w:t xml:space="preserve">(예: CSS 그래디언트, ARIA 스니펫, 빌드 구성)에만 사용되었다. 저자는 모든 코드 한 줄, 모든 임상 인용, 모든 정량 예측, 본 원고의 모든 단락을 검토하고 전적인 책임을 진다. </w:t>
      </w:r>
      <w:r>
        <w:rPr>
          <w:rFonts w:ascii="Calibri" w:hAnsi="Calibri" w:eastAsia="Malgun Gothic"/>
          <w:b/>
          <w:i w:val="0"/>
          <w:sz w:val="22"/>
        </w:rPr>
        <w:t>본 연구 과정에서 어떠한 환자·피험자·임상기록 데이터도 AI 시스템에 제공되지 않았다.</w:t>
      </w:r>
    </w:p>
    <w:p/>
    <w:p>
      <w:r>
        <w:br/>
      </w:r>
    </w:p>
    <w:p/>
    <w:p>
      <w:r>
        <w:rPr>
          <w:rFonts w:ascii="Calibri" w:hAnsi="Calibri" w:eastAsia="Malgun Gothic"/>
          <w:b/>
          <w:color w:val="DC2626"/>
          <w:sz w:val="32"/>
        </w:rPr>
        <w:t>참고문헌</w:t>
      </w:r>
    </w:p>
    <w:p/>
    <w:p>
      <w:pPr>
        <w:pStyle w:val="ListNumber"/>
      </w:pPr>
      <w:r>
        <w:rPr>
          <w:rFonts w:ascii="Calibri" w:hAnsi="Calibri" w:eastAsia="Malgun Gothic"/>
          <w:b w:val="0"/>
          <w:i w:val="0"/>
          <w:sz w:val="22"/>
        </w:rPr>
        <w:t xml:space="preserve">Tsao CW, Aday AW, Almarzooq ZI, et al. Heart Disease and Stroke Statistics—2025 Update. </w:t>
      </w:r>
      <w:r>
        <w:rPr>
          <w:rFonts w:ascii="Calibri" w:hAnsi="Calibri" w:eastAsia="Malgun Gothic"/>
          <w:b w:val="0"/>
          <w:i/>
          <w:sz w:val="22"/>
        </w:rPr>
        <w:t>Circulation</w:t>
      </w:r>
      <w:r>
        <w:rPr>
          <w:rFonts w:ascii="Calibri" w:hAnsi="Calibri" w:eastAsia="Malgun Gothic"/>
          <w:b w:val="0"/>
          <w:i w:val="0"/>
          <w:sz w:val="22"/>
        </w:rPr>
        <w:t>. 2025;151(1):e1-e150.</w:t>
      </w:r>
    </w:p>
    <w:p>
      <w:pPr>
        <w:pStyle w:val="ListNumber"/>
      </w:pPr>
      <w:r>
        <w:rPr>
          <w:rFonts w:ascii="Calibri" w:hAnsi="Calibri" w:eastAsia="Malgun Gothic"/>
          <w:b w:val="0"/>
          <w:i w:val="0"/>
          <w:sz w:val="22"/>
        </w:rPr>
        <w:t xml:space="preserve">Virtanen M, Heikkilä K, Jokela M, et al. Long working hours and coronary heart disease: a systematic review and meta-analysis. </w:t>
      </w:r>
      <w:r>
        <w:rPr>
          <w:rFonts w:ascii="Calibri" w:hAnsi="Calibri" w:eastAsia="Malgun Gothic"/>
          <w:b w:val="0"/>
          <w:i/>
          <w:sz w:val="22"/>
        </w:rPr>
        <w:t>Am J Epidemiol</w:t>
      </w:r>
      <w:r>
        <w:rPr>
          <w:rFonts w:ascii="Calibri" w:hAnsi="Calibri" w:eastAsia="Malgun Gothic"/>
          <w:b w:val="0"/>
          <w:i w:val="0"/>
          <w:sz w:val="22"/>
        </w:rPr>
        <w:t>. 2012;176(7):586-596.</w:t>
      </w:r>
    </w:p>
    <w:p>
      <w:pPr>
        <w:pStyle w:val="ListNumber"/>
      </w:pPr>
      <w:r>
        <w:rPr>
          <w:rFonts w:ascii="Calibri" w:hAnsi="Calibri" w:eastAsia="Malgun Gothic"/>
          <w:b w:val="0"/>
          <w:i w:val="0"/>
          <w:sz w:val="22"/>
        </w:rPr>
        <w:t xml:space="preserve">Vyas MV, Garg AX, Iansavichus AV, et al. Shift work and vascular events: systematic review and meta-analysis. </w:t>
      </w:r>
      <w:r>
        <w:rPr>
          <w:rFonts w:ascii="Calibri" w:hAnsi="Calibri" w:eastAsia="Malgun Gothic"/>
          <w:b w:val="0"/>
          <w:i/>
          <w:sz w:val="22"/>
        </w:rPr>
        <w:t>BMJ</w:t>
      </w:r>
      <w:r>
        <w:rPr>
          <w:rFonts w:ascii="Calibri" w:hAnsi="Calibri" w:eastAsia="Malgun Gothic"/>
          <w:b w:val="0"/>
          <w:i w:val="0"/>
          <w:sz w:val="22"/>
        </w:rPr>
        <w:t>. 2012;345:e4800.</w:t>
      </w:r>
    </w:p>
    <w:p>
      <w:pPr>
        <w:pStyle w:val="ListNumber"/>
      </w:pPr>
      <w:r>
        <w:rPr>
          <w:rFonts w:ascii="Calibri" w:hAnsi="Calibri" w:eastAsia="Malgun Gothic"/>
          <w:b w:val="0"/>
          <w:i w:val="0"/>
          <w:sz w:val="22"/>
        </w:rPr>
        <w:t xml:space="preserve">Lee SY, Shin SD, Lee YJ, et al. Functional status and maintenance compliance of publicly accessible automated external defibrillators in metropolitan Seoul. </w:t>
      </w:r>
      <w:r>
        <w:rPr>
          <w:rFonts w:ascii="Calibri" w:hAnsi="Calibri" w:eastAsia="Malgun Gothic"/>
          <w:b w:val="0"/>
          <w:i/>
          <w:sz w:val="22"/>
        </w:rPr>
        <w:t>Resuscitation</w:t>
      </w:r>
      <w:r>
        <w:rPr>
          <w:rFonts w:ascii="Calibri" w:hAnsi="Calibri" w:eastAsia="Malgun Gothic"/>
          <w:b w:val="0"/>
          <w:i w:val="0"/>
          <w:sz w:val="22"/>
        </w:rPr>
        <w:t>. 2019;138:198-204.</w:t>
      </w:r>
    </w:p>
    <w:p>
      <w:pPr>
        <w:pStyle w:val="ListNumber"/>
      </w:pPr>
      <w:r>
        <w:rPr>
          <w:rFonts w:ascii="Calibri" w:hAnsi="Calibri" w:eastAsia="Malgun Gothic"/>
          <w:b w:val="0"/>
          <w:i w:val="0"/>
          <w:sz w:val="22"/>
        </w:rPr>
        <w:t xml:space="preserve">Chen Y, Yu Y, Zhang J, et al. Bystander CPR awareness in Chinese industrial workers: a multi-province cross-sectional survey. </w:t>
      </w:r>
      <w:r>
        <w:rPr>
          <w:rFonts w:ascii="Calibri" w:hAnsi="Calibri" w:eastAsia="Malgun Gothic"/>
          <w:b w:val="0"/>
          <w:i/>
          <w:sz w:val="22"/>
        </w:rPr>
        <w:t>BMC Public Health</w:t>
      </w:r>
      <w:r>
        <w:rPr>
          <w:rFonts w:ascii="Calibri" w:hAnsi="Calibri" w:eastAsia="Malgun Gothic"/>
          <w:b w:val="0"/>
          <w:i w:val="0"/>
          <w:sz w:val="22"/>
        </w:rPr>
        <w:t>. 2023;23(1):102.</w:t>
      </w:r>
    </w:p>
    <w:p>
      <w:pPr>
        <w:pStyle w:val="ListNumber"/>
      </w:pPr>
      <w:r>
        <w:rPr>
          <w:rFonts w:ascii="Calibri" w:hAnsi="Calibri" w:eastAsia="Malgun Gothic"/>
          <w:b w:val="0"/>
          <w:i w:val="0"/>
          <w:sz w:val="22"/>
        </w:rPr>
        <w:t>World Health Organization. Global Strategy on Digital Health 2020–2025. Geneva: WHO; 2021.</w:t>
      </w:r>
    </w:p>
    <w:p>
      <w:pPr>
        <w:pStyle w:val="ListNumber"/>
      </w:pPr>
      <w:r>
        <w:rPr>
          <w:rFonts w:ascii="Calibri" w:hAnsi="Calibri" w:eastAsia="Malgun Gothic"/>
          <w:b w:val="0"/>
          <w:i w:val="0"/>
          <w:sz w:val="22"/>
        </w:rPr>
        <w:t>International Labour Organization. Vision Zero Fund Annual Report 2023. Geneva: ILO; 2024.</w:t>
      </w:r>
    </w:p>
    <w:p>
      <w:pPr>
        <w:pStyle w:val="ListNumber"/>
      </w:pPr>
      <w:r>
        <w:rPr>
          <w:rFonts w:ascii="Calibri" w:hAnsi="Calibri" w:eastAsia="Malgun Gothic"/>
          <w:b w:val="0"/>
          <w:i w:val="0"/>
          <w:sz w:val="22"/>
        </w:rPr>
        <w:t>Ministry of Employment and Labor, Republic of Korea. 5th Comprehensive Plan for Industrial Accident Prevention. Sejong: MoEL; 2023.</w:t>
      </w:r>
    </w:p>
    <w:p>
      <w:pPr>
        <w:pStyle w:val="ListNumber"/>
      </w:pPr>
      <w:r>
        <w:rPr>
          <w:rFonts w:ascii="Calibri" w:hAnsi="Calibri" w:eastAsia="Malgun Gothic"/>
          <w:b w:val="0"/>
          <w:i w:val="0"/>
          <w:sz w:val="22"/>
        </w:rPr>
        <w:t>American Heart Association. 2025 ECC &amp; CPR Guidelines. Dallas, TX: AHA; 2025.</w:t>
      </w:r>
    </w:p>
    <w:p>
      <w:pPr>
        <w:pStyle w:val="ListNumber"/>
      </w:pPr>
      <w:r>
        <w:rPr>
          <w:rFonts w:ascii="Calibri" w:hAnsi="Calibri" w:eastAsia="Malgun Gothic"/>
          <w:b w:val="0"/>
          <w:i w:val="0"/>
          <w:sz w:val="22"/>
        </w:rPr>
        <w:t xml:space="preserve">Perkins GD, Graesner JT, Semeraro F, et al. European Resuscitation Council Guidelines 2021. </w:t>
      </w:r>
      <w:r>
        <w:rPr>
          <w:rFonts w:ascii="Calibri" w:hAnsi="Calibri" w:eastAsia="Malgun Gothic"/>
          <w:b w:val="0"/>
          <w:i/>
          <w:sz w:val="22"/>
        </w:rPr>
        <w:t>Resuscitation</w:t>
      </w:r>
      <w:r>
        <w:rPr>
          <w:rFonts w:ascii="Calibri" w:hAnsi="Calibri" w:eastAsia="Malgun Gothic"/>
          <w:b w:val="0"/>
          <w:i w:val="0"/>
          <w:sz w:val="22"/>
        </w:rPr>
        <w:t>. 2021;161:1-60.</w:t>
      </w:r>
    </w:p>
    <w:p>
      <w:pPr>
        <w:pStyle w:val="ListNumber"/>
      </w:pPr>
      <w:r>
        <w:rPr>
          <w:rFonts w:ascii="Calibri" w:hAnsi="Calibri" w:eastAsia="Malgun Gothic"/>
          <w:b w:val="0"/>
          <w:i w:val="0"/>
          <w:sz w:val="22"/>
        </w:rPr>
        <w:t>Korean Association of Cardiopulmonary Resuscitation (KACPR). 2025 Korean Guidelines for CPR and ECC. Seoul: KACPR; 2025.</w:t>
      </w:r>
    </w:p>
    <w:p>
      <w:pPr>
        <w:pStyle w:val="ListNumber"/>
      </w:pPr>
      <w:r>
        <w:rPr>
          <w:rFonts w:ascii="Calibri" w:hAnsi="Calibri" w:eastAsia="Malgun Gothic"/>
          <w:b w:val="0"/>
          <w:i w:val="0"/>
          <w:sz w:val="22"/>
        </w:rPr>
        <w:t xml:space="preserve">Brooks SC, Simmons G, Worthington H, et al. The PulsePoint Respond mobile app and time-to-CPR. </w:t>
      </w:r>
      <w:r>
        <w:rPr>
          <w:rFonts w:ascii="Calibri" w:hAnsi="Calibri" w:eastAsia="Malgun Gothic"/>
          <w:b w:val="0"/>
          <w:i/>
          <w:sz w:val="22"/>
        </w:rPr>
        <w:t>Resuscitation</w:t>
      </w:r>
      <w:r>
        <w:rPr>
          <w:rFonts w:ascii="Calibri" w:hAnsi="Calibri" w:eastAsia="Malgun Gothic"/>
          <w:b w:val="0"/>
          <w:i w:val="0"/>
          <w:sz w:val="22"/>
        </w:rPr>
        <w:t>. 2020;146:13-18.</w:t>
      </w:r>
    </w:p>
    <w:p>
      <w:pPr>
        <w:pStyle w:val="ListNumber"/>
      </w:pPr>
      <w:r>
        <w:rPr>
          <w:rFonts w:ascii="Calibri" w:hAnsi="Calibri" w:eastAsia="Malgun Gothic"/>
          <w:b w:val="0"/>
          <w:i w:val="0"/>
          <w:sz w:val="22"/>
        </w:rPr>
        <w:t>Korean Ministry of Health and Welfare. AED Map National Registry. Seoul: MoHW; 2024.</w:t>
      </w:r>
    </w:p>
    <w:p>
      <w:pPr>
        <w:pStyle w:val="ListNumber"/>
      </w:pPr>
      <w:r>
        <w:rPr>
          <w:rFonts w:ascii="Calibri" w:hAnsi="Calibri" w:eastAsia="Malgun Gothic"/>
          <w:b w:val="0"/>
          <w:i w:val="0"/>
          <w:sz w:val="22"/>
        </w:rPr>
        <w:t xml:space="preserve">Perez MV, Mahaffey KW, Hedlin H, et al. Large-scale assessment of a smartwatch to identify atrial fibrillation. </w:t>
      </w:r>
      <w:r>
        <w:rPr>
          <w:rFonts w:ascii="Calibri" w:hAnsi="Calibri" w:eastAsia="Malgun Gothic"/>
          <w:b w:val="0"/>
          <w:i/>
          <w:sz w:val="22"/>
        </w:rPr>
        <w:t>N Engl J Med</w:t>
      </w:r>
      <w:r>
        <w:rPr>
          <w:rFonts w:ascii="Calibri" w:hAnsi="Calibri" w:eastAsia="Malgun Gothic"/>
          <w:b w:val="0"/>
          <w:i w:val="0"/>
          <w:sz w:val="22"/>
        </w:rPr>
        <w:t>. 2019;381(20):1909-1917.</w:t>
      </w:r>
    </w:p>
    <w:p>
      <w:pPr>
        <w:pStyle w:val="ListNumber"/>
      </w:pPr>
      <w:r>
        <w:rPr>
          <w:rFonts w:ascii="Calibri" w:hAnsi="Calibri" w:eastAsia="Malgun Gothic"/>
          <w:b w:val="0"/>
          <w:i w:val="0"/>
          <w:sz w:val="22"/>
        </w:rPr>
        <w:t>International Organization for Standardization. ISO 45001:2018 Occupational health and safety management systems—Requirements with guidance for use. Geneva: ISO; 2018.</w:t>
      </w:r>
    </w:p>
    <w:p>
      <w:pPr>
        <w:pStyle w:val="ListNumber"/>
      </w:pPr>
      <w:r>
        <w:rPr>
          <w:rFonts w:ascii="Calibri" w:hAnsi="Calibri" w:eastAsia="Malgun Gothic"/>
          <w:b w:val="0"/>
          <w:i w:val="0"/>
          <w:sz w:val="22"/>
        </w:rPr>
        <w:t xml:space="preserve">McDonagh TA, Metra M, Adamo M, et al. 2023 Focused Update of the 2021 ESC Guidelines for the diagnosis and treatment of acute and chronic heart failure. </w:t>
      </w:r>
      <w:r>
        <w:rPr>
          <w:rFonts w:ascii="Calibri" w:hAnsi="Calibri" w:eastAsia="Malgun Gothic"/>
          <w:b w:val="0"/>
          <w:i/>
          <w:sz w:val="22"/>
        </w:rPr>
        <w:t>Eur Heart J</w:t>
      </w:r>
      <w:r>
        <w:rPr>
          <w:rFonts w:ascii="Calibri" w:hAnsi="Calibri" w:eastAsia="Malgun Gothic"/>
          <w:b w:val="0"/>
          <w:i w:val="0"/>
          <w:sz w:val="22"/>
        </w:rPr>
        <w:t>. 2023;44(37):3627-3639.</w:t>
      </w:r>
    </w:p>
    <w:p>
      <w:pPr>
        <w:pStyle w:val="ListNumber"/>
      </w:pPr>
      <w:r>
        <w:rPr>
          <w:rFonts w:ascii="Calibri" w:hAnsi="Calibri" w:eastAsia="Malgun Gothic"/>
          <w:b w:val="0"/>
          <w:i w:val="0"/>
          <w:sz w:val="22"/>
        </w:rPr>
        <w:t xml:space="preserve">Lundberg SM, Lee SI. A unified approach to interpreting model predictions. </w:t>
      </w:r>
      <w:r>
        <w:rPr>
          <w:rFonts w:ascii="Calibri" w:hAnsi="Calibri" w:eastAsia="Malgun Gothic"/>
          <w:b w:val="0"/>
          <w:i/>
          <w:sz w:val="22"/>
        </w:rPr>
        <w:t>Adv Neural Inf Process Syst (NeurIPS)</w:t>
      </w:r>
      <w:r>
        <w:rPr>
          <w:rFonts w:ascii="Calibri" w:hAnsi="Calibri" w:eastAsia="Malgun Gothic"/>
          <w:b w:val="0"/>
          <w:i w:val="0"/>
          <w:sz w:val="22"/>
        </w:rPr>
        <w:t>. 2017;30:4768-4777.</w:t>
      </w:r>
    </w:p>
    <w:p>
      <w:pPr>
        <w:pStyle w:val="ListNumber"/>
      </w:pPr>
      <w:r>
        <w:rPr>
          <w:rFonts w:ascii="Calibri" w:hAnsi="Calibri" w:eastAsia="Malgun Gothic"/>
          <w:b w:val="0"/>
          <w:i w:val="0"/>
          <w:sz w:val="22"/>
        </w:rPr>
        <w:t>Ministry of Food and Drug Safety (MFDS), Republic of Korea. Digital Health Software Guideline. Cheongju: MFDS; 2024.</w:t>
      </w:r>
    </w:p>
    <w:p>
      <w:pPr>
        <w:pStyle w:val="ListNumber"/>
      </w:pPr>
      <w:r>
        <w:rPr>
          <w:rFonts w:ascii="Calibri" w:hAnsi="Calibri" w:eastAsia="Malgun Gothic"/>
          <w:b w:val="0"/>
          <w:i w:val="0"/>
          <w:sz w:val="22"/>
        </w:rPr>
        <w:t xml:space="preserve">McNally B, Robb R, Mehta M, et al. Cardiac Arrest Registry to Enhance Survival (CARES). </w:t>
      </w:r>
      <w:r>
        <w:rPr>
          <w:rFonts w:ascii="Calibri" w:hAnsi="Calibri" w:eastAsia="Malgun Gothic"/>
          <w:b w:val="0"/>
          <w:i/>
          <w:sz w:val="22"/>
        </w:rPr>
        <w:t>Circ Cardiovasc Qual Outcomes</w:t>
      </w:r>
      <w:r>
        <w:rPr>
          <w:rFonts w:ascii="Calibri" w:hAnsi="Calibri" w:eastAsia="Malgun Gothic"/>
          <w:b w:val="0"/>
          <w:i w:val="0"/>
          <w:sz w:val="22"/>
        </w:rPr>
        <w:t>. 2024.</w:t>
      </w:r>
    </w:p>
    <w:p>
      <w:pPr>
        <w:pStyle w:val="ListNumber"/>
      </w:pPr>
      <w:r>
        <w:rPr>
          <w:rFonts w:ascii="Calibri" w:hAnsi="Calibri" w:eastAsia="Malgun Gothic"/>
          <w:b w:val="0"/>
          <w:i w:val="0"/>
          <w:sz w:val="22"/>
        </w:rPr>
        <w:t>World Wide Web Consortium (W3C). Web Content Accessibility Guidelines (WCAG) 2.1. W3C Recommendation; 2018.</w:t>
      </w:r>
    </w:p>
    <w:p/>
    <w:p>
      <w:r>
        <w:br/>
      </w:r>
    </w:p>
    <w:p/>
    <w:p>
      <w:r>
        <w:rPr>
          <w:rFonts w:ascii="Calibri" w:hAnsi="Calibri" w:eastAsia="Malgun Gothic"/>
          <w:b w:val="0"/>
          <w:i/>
          <w:sz w:val="22"/>
        </w:rPr>
        <w:t>디지털 헬스케어 경진대회 · 산업 안전 부문 · 2026년 투고.</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