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等线"/>
          <w:b/>
          <w:color w:val="0F172A"/>
          <w:sz w:val="44"/>
        </w:rPr>
        <w:t>工心守护（CardioGuard Industrial）：面向工业现场心脏急救的中韩双语数字化平台</w:t>
      </w:r>
    </w:p>
    <w:p/>
    <w:p>
      <w:r>
        <w:rPr>
          <w:rFonts w:ascii="Calibri" w:hAnsi="Calibri" w:eastAsia="等线"/>
          <w:b/>
          <w:i w:val="0"/>
          <w:sz w:val="22"/>
        </w:rPr>
        <w:t>短标题（Running title）：</w:t>
      </w:r>
      <w:r>
        <w:rPr>
          <w:rFonts w:ascii="Calibri" w:hAnsi="Calibri" w:eastAsia="等线"/>
          <w:b w:val="0"/>
          <w:i w:val="0"/>
          <w:sz w:val="22"/>
        </w:rPr>
        <w:t xml:space="preserve"> 面向工业心脏急救的双语平台</w:t>
      </w:r>
    </w:p>
    <w:p/>
    <w:p>
      <w:r>
        <w:rPr>
          <w:rFonts w:ascii="Calibri" w:hAnsi="Calibri" w:eastAsia="等线"/>
          <w:b/>
          <w:i w:val="0"/>
          <w:sz w:val="22"/>
        </w:rPr>
        <w:t>文章类型：</w:t>
      </w:r>
      <w:r>
        <w:rPr>
          <w:rFonts w:ascii="Calibri" w:hAnsi="Calibri" w:eastAsia="等线"/>
          <w:b w:val="0"/>
          <w:i w:val="0"/>
          <w:sz w:val="22"/>
        </w:rPr>
        <w:t xml:space="preserve"> 原创软件 / 系统论文（数字健康）</w:t>
      </w:r>
    </w:p>
    <w:p/>
    <w:p>
      <w:r>
        <w:br/>
      </w:r>
    </w:p>
    <w:p/>
    <w:p>
      <w:r>
        <w:rPr>
          <w:rFonts w:ascii="Calibri" w:hAnsi="Calibri" w:eastAsia="等线"/>
          <w:b/>
          <w:i w:val="0"/>
          <w:sz w:val="22"/>
        </w:rPr>
        <w:t>吴静蕊</w:t>
      </w:r>
      <w:r>
        <w:rPr>
          <w:rFonts w:ascii="Calibri" w:hAnsi="Calibri" w:eastAsia="等线"/>
          <w:b w:val="0"/>
          <w:i w:val="0"/>
          <w:sz w:val="22"/>
        </w:rPr>
        <w:t xml:space="preserve"> ¹ ² *</w:t>
      </w:r>
    </w:p>
    <w:p/>
    <w:p>
      <w:r>
        <w:rPr>
          <w:rFonts w:ascii="Calibri" w:hAnsi="Calibri" w:eastAsia="等线"/>
          <w:b w:val="0"/>
          <w:i w:val="0"/>
          <w:sz w:val="22"/>
        </w:rPr>
        <w:t>¹ 西安医学高等专科学校（Xi'an Medical College），中国陕西西安</w:t>
      </w:r>
    </w:p>
    <w:p>
      <w:r>
        <w:rPr>
          <w:rFonts w:ascii="Calibri" w:hAnsi="Calibri" w:eastAsia="等线"/>
          <w:b w:val="0"/>
          <w:i w:val="0"/>
          <w:sz w:val="22"/>
        </w:rPr>
        <w:t>² 경운대학교（Kyungwoon University）公共卫生学系，韩国庆尚北道龟尾</w:t>
      </w:r>
    </w:p>
    <w:p/>
    <w:p>
      <w:r>
        <w:rPr>
          <w:rFonts w:ascii="Calibri" w:hAnsi="Calibri" w:eastAsia="等线"/>
          <w:b/>
          <w:i w:val="0"/>
          <w:sz w:val="22"/>
        </w:rPr>
        <w:t>通讯作者。</w:t>
      </w:r>
      <w:r>
        <w:rPr>
          <w:rFonts w:ascii="Calibri" w:hAnsi="Calibri" w:eastAsia="等线"/>
          <w:b w:val="0"/>
          <w:i w:val="0"/>
          <w:sz w:val="22"/>
        </w:rPr>
        <w:t xml:space="preserve"> 吴静蕊，Kyungwoon University 公共卫生学系，韩国龟尾 39160。电子邮箱：253207006@ikw.ac.kr · ORCID：0000-0000-0000-0000 </w:t>
      </w:r>
      <w:r>
        <w:rPr>
          <w:rFonts w:ascii="Calibri" w:hAnsi="Calibri" w:eastAsia="等线"/>
          <w:b w:val="0"/>
          <w:i/>
          <w:sz w:val="22"/>
        </w:rPr>
        <w:t>（待补充）</w:t>
      </w:r>
    </w:p>
    <w:p/>
    <w:p>
      <w:r>
        <w:rPr>
          <w:rFonts w:ascii="Calibri" w:hAnsi="Calibri" w:eastAsia="等线"/>
          <w:b/>
          <w:i w:val="0"/>
          <w:sz w:val="22"/>
        </w:rPr>
        <w:t>投稿对象：</w:t>
      </w:r>
      <w:r>
        <w:rPr>
          <w:rFonts w:ascii="Calibri" w:hAnsi="Calibri" w:eastAsia="等线"/>
          <w:b w:val="0"/>
          <w:i w:val="0"/>
          <w:sz w:val="22"/>
        </w:rPr>
        <w:t xml:space="preserve"> 数字健康医疗竞赛 —— </w:t>
      </w:r>
      <w:r>
        <w:rPr>
          <w:rFonts w:ascii="Calibri" w:hAnsi="Calibri" w:eastAsia="等线"/>
          <w:b w:val="0"/>
          <w:i/>
          <w:sz w:val="22"/>
        </w:rPr>
        <w:t>产业安全（Industrial Safety）</w:t>
      </w:r>
      <w:r>
        <w:rPr>
          <w:rFonts w:ascii="Calibri" w:hAnsi="Calibri" w:eastAsia="等线"/>
          <w:b w:val="0"/>
          <w:i w:val="0"/>
          <w:sz w:val="22"/>
        </w:rPr>
        <w:t xml:space="preserve"> 主题，2026 年 6 月</w:t>
      </w:r>
    </w:p>
    <w:p>
      <w:r>
        <w:rPr>
          <w:rFonts w:ascii="Calibri" w:hAnsi="Calibri" w:eastAsia="等线"/>
          <w:b/>
          <w:i w:val="0"/>
          <w:sz w:val="22"/>
        </w:rPr>
        <w:t>许可协议：</w:t>
      </w:r>
      <w:r>
        <w:rPr>
          <w:rFonts w:ascii="Calibri" w:hAnsi="Calibri" w:eastAsia="等线"/>
          <w:b w:val="0"/>
          <w:i w:val="0"/>
          <w:sz w:val="22"/>
        </w:rPr>
        <w:t xml:space="preserve"> MIT（源代码）· CC BY 4.0（论文正文）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研究亮点（Highlights）</w:t>
      </w:r>
    </w:p>
    <w:p/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一个中韩双语静态 Web 平台，为工业现场心脏急救闭合"监测 → 预测 → 响应 → 培训 → 数据"全链路。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每一个功能模块都对接 AHA 2025 ECC、ERC 2021、KACPR 2025 与 ISO 45001:2018，为评审提供可追溯的标准出处。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一个万人级（10,000 名工人）情景模拟显示，院外心脏骤停（OHCA）出院存活率有望从约 10% 提升至 ≥ 25%，首次响应时间中位数从 8 分钟缩短至 ≤ 3 分钟。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一键韩文 PDF 导出与约 430 键的双语国际化层，消除了同类原型普遍存在的中韩跨境部署门槛。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交付物完全开源，可在任意静态主机上逐字节复现。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摘要</w:t>
      </w:r>
    </w:p>
    <w:p/>
    <w:p>
      <w:r>
        <w:rPr>
          <w:rFonts w:ascii="Calibri" w:hAnsi="Calibri" w:eastAsia="等线"/>
          <w:b/>
          <w:i w:val="0"/>
          <w:sz w:val="22"/>
        </w:rPr>
        <w:t>背景。</w:t>
      </w:r>
      <w:r>
        <w:rPr>
          <w:rFonts w:ascii="Calibri" w:hAnsi="Calibri" w:eastAsia="等线"/>
          <w:b w:val="0"/>
          <w:i w:val="0"/>
          <w:sz w:val="22"/>
        </w:rPr>
        <w:t xml:space="preserve"> 院外心脏骤停（OHCA）是工业作业场所致死性最高的急性事件之一，全球出院存活率不足 10%。事发后最初四分钟内的旁观者心肺复苏（CPR）与自动体外除颤器（AED）使用是存活率最主要的可改变决定因素；然而工业园区普遍面临 AED 分布稀疏、CPR 持证率低、调度链路碎片化等问题，在中韩合资园区还叠加了缺乏生产级双语界面这一障碍。</w:t>
      </w:r>
    </w:p>
    <w:p/>
    <w:p>
      <w:r>
        <w:rPr>
          <w:rFonts w:ascii="Calibri" w:hAnsi="Calibri" w:eastAsia="等线"/>
          <w:b/>
          <w:i w:val="0"/>
          <w:sz w:val="22"/>
        </w:rPr>
        <w:t>目的。</w:t>
      </w:r>
      <w:r>
        <w:rPr>
          <w:rFonts w:ascii="Calibri" w:hAnsi="Calibri" w:eastAsia="等线"/>
          <w:b w:val="0"/>
          <w:i w:val="0"/>
          <w:sz w:val="22"/>
        </w:rPr>
        <w:t xml:space="preserve"> 设计、实现并评估 </w:t>
      </w:r>
      <w:r>
        <w:rPr>
          <w:rFonts w:ascii="Calibri" w:hAnsi="Calibri" w:eastAsia="等线"/>
          <w:b w:val="0"/>
          <w:i/>
          <w:sz w:val="22"/>
        </w:rPr>
        <w:t>工心守护（CardioGuard Industrial / 산업심장수호）</w:t>
      </w:r>
      <w:r>
        <w:rPr>
          <w:rFonts w:ascii="Calibri" w:hAnsi="Calibri" w:eastAsia="等线"/>
          <w:b w:val="0"/>
          <w:i w:val="0"/>
          <w:sz w:val="22"/>
        </w:rPr>
        <w:t xml:space="preserve"> —— 一个可复现的中韩双语数字健康平台，将工业心脏急救的闭环响应工程化落地，并以可直接参赛的交付物形式呈现。</w:t>
      </w:r>
    </w:p>
    <w:p/>
    <w:p>
      <w:r>
        <w:rPr>
          <w:rFonts w:ascii="Calibri" w:hAnsi="Calibri" w:eastAsia="等线"/>
          <w:b/>
          <w:i w:val="0"/>
          <w:sz w:val="22"/>
        </w:rPr>
        <w:t>方法。</w:t>
      </w:r>
      <w:r>
        <w:rPr>
          <w:rFonts w:ascii="Calibri" w:hAnsi="Calibri" w:eastAsia="等线"/>
          <w:b w:val="0"/>
          <w:i w:val="0"/>
          <w:sz w:val="22"/>
        </w:rPr>
        <w:t xml:space="preserve"> 我们开发了一个零依赖、符合无障碍标准（WCAG 2.1 AA）的静态 Web 原型，集成实时生理监测、人工智能（AI）风险预测规范、AED 物联网（IoT）网络、语音引导 CPR 响应、数字化培训与安全数据驾驶舱。每个模块均对接 AHA 2025 ECC、ERC 2021、KACPR 2025 与 ISO 45001:2018。由于本交付物为最小可行原型（MVP），其预期效果通过文献三角互证与情景模拟（以 1 万名工人的中型工业园区为假设）进行评估，而非一手数据采集。</w:t>
      </w:r>
    </w:p>
    <w:p/>
    <w:p>
      <w:r>
        <w:rPr>
          <w:rFonts w:ascii="Calibri" w:hAnsi="Calibri" w:eastAsia="等线"/>
          <w:b/>
          <w:i w:val="0"/>
          <w:sz w:val="22"/>
        </w:rPr>
        <w:t>结果。</w:t>
      </w:r>
      <w:r>
        <w:rPr>
          <w:rFonts w:ascii="Calibri" w:hAnsi="Calibri" w:eastAsia="等线"/>
          <w:b w:val="0"/>
          <w:i w:val="0"/>
          <w:sz w:val="22"/>
        </w:rPr>
        <w:t xml:space="preserve"> 该原型实现了中韩原生切换（约 430 个国际化键）、一键韩文 PDF 导出与四个交互式仪表盘。相对于已发表基线，情景模拟预测：OHCA 出院存活率从约 10% 升至 ≥ 25%（+15 个百分点），晕倒至 CPR 时间中位数从约 8 分钟降至 ≤ 3 分钟（−62%），4 分钟 AED 可达率从 38% 升至 91%（+53 个百分点），CPR 持证率从 12% 升至 ≥ 60%；在 1 万人园区下估计投资回报率（ROI）&gt; 5。</w:t>
      </w:r>
    </w:p>
    <w:p/>
    <w:p>
      <w:r>
        <w:rPr>
          <w:rFonts w:ascii="Calibri" w:hAnsi="Calibri" w:eastAsia="等线"/>
          <w:b/>
          <w:i w:val="0"/>
          <w:sz w:val="22"/>
        </w:rPr>
        <w:t>结论。</w:t>
      </w:r>
      <w:r>
        <w:rPr>
          <w:rFonts w:ascii="Calibri" w:hAnsi="Calibri" w:eastAsia="等线"/>
          <w:b w:val="0"/>
          <w:i w:val="0"/>
          <w:sz w:val="22"/>
        </w:rPr>
        <w:t xml:space="preserve"> 工心守护是一个以标准为锚、双语、开源的原型，可零成本复现，已准备好向中韩合资园区的试点部署过渡。本工作展示了对 </w:t>
      </w:r>
      <w:r>
        <w:rPr>
          <w:rFonts w:ascii="Calibri" w:hAnsi="Calibri" w:eastAsia="等线"/>
          <w:b w:val="0"/>
          <w:i/>
          <w:sz w:val="22"/>
        </w:rPr>
        <w:t>产业安全</w:t>
      </w:r>
      <w:r>
        <w:rPr>
          <w:rFonts w:ascii="Calibri" w:hAnsi="Calibri" w:eastAsia="等线"/>
          <w:b w:val="0"/>
          <w:i w:val="0"/>
          <w:sz w:val="22"/>
        </w:rPr>
        <w:t xml:space="preserve"> 命题切实可行的数字健康应答，并为后续同行评议的扩展提供了模板。</w:t>
      </w:r>
    </w:p>
    <w:p/>
    <w:p>
      <w:r>
        <w:rPr>
          <w:rFonts w:ascii="Calibri" w:hAnsi="Calibri" w:eastAsia="等线"/>
          <w:b/>
          <w:i w:val="0"/>
          <w:sz w:val="22"/>
        </w:rPr>
        <w:t>关键词：</w:t>
      </w:r>
      <w:r>
        <w:rPr>
          <w:rFonts w:ascii="Calibri" w:hAnsi="Calibri" w:eastAsia="等线"/>
          <w:b w:val="0"/>
          <w:i w:val="0"/>
          <w:sz w:val="22"/>
        </w:rPr>
        <w:t xml:space="preserve"> 数字健康；产业安全；院外心脏骤停；自动体外除颤器；心肺复苏；物联网；临床决策支持；双语用户界面；中韩合作；公共卫生信息学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缩略语</w:t>
      </w:r>
    </w:p>
    <w:p/>
    <w:p>
      <w:r>
        <w:rPr>
          <w:rFonts w:ascii="Calibri" w:hAnsi="Calibri" w:eastAsia="等线"/>
          <w:b w:val="0"/>
          <w:i w:val="0"/>
          <w:sz w:val="22"/>
        </w:rPr>
        <w:t>AED，自动体外除颤器；AHA，美国心脏协会；AI，人工智能；CPR，心肺复苏；ECC，紧急心血管救治；EHS，环境、健康与安全；ERC，欧洲复苏委员会；FHIR，快速医疗互操作资源；IoT，物联网；ISO，国际标准化组织；KACPR，韩国心肺复苏协会；MFDS，韩国食品药品安全部；MVP，最小可行原型；NCD，非传染性疾病；OHCA，院外心脏骤停；ROI，投资回报率；SaMD，医疗器械软件；SDG，可持续发展目标；SHAP，Shapley 加性解释；SpO₂，外周血氧饱和度；VR，虚拟现实；WCAG，网络内容无障碍指南；WHO，世界卫生组织。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1. 引言</w:t>
      </w:r>
    </w:p>
    <w:p/>
    <w:p>
      <w:r>
        <w:rPr>
          <w:rFonts w:ascii="Calibri" w:hAnsi="Calibri" w:eastAsia="等线"/>
          <w:b/>
          <w:color w:val="0F172A"/>
          <w:sz w:val="26"/>
        </w:rPr>
        <w:t>1.1 工业现场 OHCA 的公共卫生负担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根据美国心脏协会（AHA）2025 年版 </w:t>
      </w:r>
      <w:r>
        <w:rPr>
          <w:rFonts w:ascii="Calibri" w:hAnsi="Calibri" w:eastAsia="等线"/>
          <w:b w:val="0"/>
          <w:i/>
          <w:sz w:val="22"/>
        </w:rPr>
        <w:t>Heart Disease and Stroke Statistics</w:t>
      </w:r>
      <w:r>
        <w:rPr>
          <w:rFonts w:ascii="Calibri" w:hAnsi="Calibri" w:eastAsia="等线"/>
          <w:b w:val="0"/>
          <w:i w:val="0"/>
          <w:sz w:val="22"/>
        </w:rPr>
        <w:t xml:space="preserve"> 更新报告，工业化经济体的 OHCA 年发病率约为每 10 万人 50–110 例，在多数大型登记研究中出院存活率为 8.0%–10.4% [1]。工业工人因长轮班周期、高温与噪声暴露、颗粒物吸入及慢性应激而具有更高的风险特征——这些都是已被充分记录的心律失常调节因素 [2,3]。在工业园区内，有四种机制持续延迟有效响应：</w:t>
      </w:r>
    </w:p>
    <w:p/>
    <w:p>
      <w:pPr>
        <w:pStyle w:val="ListNumber"/>
      </w:pPr>
      <w:r>
        <w:rPr>
          <w:rFonts w:ascii="Calibri" w:hAnsi="Calibri" w:eastAsia="等线"/>
          <w:b/>
          <w:i w:val="0"/>
          <w:sz w:val="22"/>
        </w:rPr>
        <w:t>AED 稀疏与失效。</w:t>
      </w:r>
      <w:r>
        <w:rPr>
          <w:rFonts w:ascii="Calibri" w:hAnsi="Calibri" w:eastAsia="等线"/>
          <w:b w:val="0"/>
          <w:i w:val="0"/>
          <w:sz w:val="22"/>
        </w:rPr>
        <w:t xml:space="preserve"> 设备虽已安装却很少维护；在受审计的亚洲部署中，约 22% 的公共 AED 在需要时无法正常工作 [4]。</w:t>
      </w:r>
    </w:p>
    <w:p>
      <w:pPr>
        <w:pStyle w:val="ListNumber"/>
      </w:pPr>
      <w:r>
        <w:rPr>
          <w:rFonts w:ascii="Calibri" w:hAnsi="Calibri" w:eastAsia="等线"/>
          <w:b/>
          <w:i w:val="0"/>
          <w:sz w:val="22"/>
        </w:rPr>
        <w:t>CPR 持证率低。</w:t>
      </w:r>
      <w:r>
        <w:rPr>
          <w:rFonts w:ascii="Calibri" w:hAnsi="Calibri" w:eastAsia="等线"/>
          <w:b w:val="0"/>
          <w:i w:val="0"/>
          <w:sz w:val="22"/>
        </w:rPr>
        <w:t xml:space="preserve"> 中韩制造业调查中，非医务员工自报的持证率仅为 8%–14% [5]。</w:t>
      </w:r>
    </w:p>
    <w:p>
      <w:pPr>
        <w:pStyle w:val="ListNumber"/>
      </w:pPr>
      <w:r>
        <w:rPr>
          <w:rFonts w:ascii="Calibri" w:hAnsi="Calibri" w:eastAsia="等线"/>
          <w:b/>
          <w:i w:val="0"/>
          <w:sz w:val="22"/>
        </w:rPr>
        <w:t>调度碎片化。</w:t>
      </w:r>
      <w:r>
        <w:rPr>
          <w:rFonts w:ascii="Calibri" w:hAnsi="Calibri" w:eastAsia="等线"/>
          <w:b w:val="0"/>
          <w:i w:val="0"/>
          <w:sz w:val="22"/>
        </w:rPr>
        <w:t xml:space="preserve"> 厂内医务室、受训志愿者与 119/120 急救中心运行在彼此割裂的信息通道上。</w:t>
      </w:r>
    </w:p>
    <w:p>
      <w:pPr>
        <w:pStyle w:val="ListNumber"/>
      </w:pPr>
      <w:r>
        <w:rPr>
          <w:rFonts w:ascii="Calibri" w:hAnsi="Calibri" w:eastAsia="等线"/>
          <w:b/>
          <w:i w:val="0"/>
          <w:sz w:val="22"/>
        </w:rPr>
        <w:t>语言摩擦。</w:t>
      </w:r>
      <w:r>
        <w:rPr>
          <w:rFonts w:ascii="Calibri" w:hAnsi="Calibri" w:eastAsia="等线"/>
          <w:b w:val="0"/>
          <w:i w:val="0"/>
          <w:sz w:val="22"/>
        </w:rPr>
        <w:t xml:space="preserve"> 中韩合资园区（如山东、平泽）缺乏生产级的双语安全界面。</w:t>
      </w:r>
    </w:p>
    <w:p/>
    <w:p>
      <w:r>
        <w:rPr>
          <w:rFonts w:ascii="Calibri" w:hAnsi="Calibri" w:eastAsia="等线"/>
          <w:b/>
          <w:color w:val="0F172A"/>
          <w:sz w:val="26"/>
        </w:rPr>
        <w:t>1.2 数字健康 × 产业安全的机遇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可穿戴生物传感、边缘 AI 与 IoT 联网除颤的融合，开辟了一个切实可行的设计空间。世界卫生组织 </w:t>
      </w:r>
      <w:r>
        <w:rPr>
          <w:rFonts w:ascii="Calibri" w:hAnsi="Calibri" w:eastAsia="等线"/>
          <w:b w:val="0"/>
          <w:i/>
          <w:sz w:val="22"/>
        </w:rPr>
        <w:t>全球数字健康战略 2020–2025</w:t>
      </w:r>
      <w:r>
        <w:rPr>
          <w:rFonts w:ascii="Calibri" w:hAnsi="Calibri" w:eastAsia="等线"/>
          <w:b w:val="0"/>
          <w:i w:val="0"/>
          <w:sz w:val="22"/>
        </w:rPr>
        <w:t xml:space="preserve"> [6]、国际劳工组织 </w:t>
      </w:r>
      <w:r>
        <w:rPr>
          <w:rFonts w:ascii="Calibri" w:hAnsi="Calibri" w:eastAsia="等线"/>
          <w:b w:val="0"/>
          <w:i/>
          <w:sz w:val="22"/>
        </w:rPr>
        <w:t>Vision Zero Fund</w:t>
      </w:r>
      <w:r>
        <w:rPr>
          <w:rFonts w:ascii="Calibri" w:hAnsi="Calibri" w:eastAsia="等线"/>
          <w:b w:val="0"/>
          <w:i w:val="0"/>
          <w:sz w:val="22"/>
        </w:rPr>
        <w:t xml:space="preserve"> 项目 [7]，以及韩国第 5 次 </w:t>
      </w:r>
      <w:r>
        <w:rPr>
          <w:rFonts w:ascii="Calibri" w:hAnsi="Calibri" w:eastAsia="等线"/>
          <w:b w:val="0"/>
          <w:i/>
          <w:sz w:val="22"/>
        </w:rPr>
        <w:t>产业灾害预防综合计划</w:t>
      </w:r>
      <w:r>
        <w:rPr>
          <w:rFonts w:ascii="Calibri" w:hAnsi="Calibri" w:eastAsia="等线"/>
          <w:b w:val="0"/>
          <w:i w:val="0"/>
          <w:sz w:val="22"/>
        </w:rPr>
        <w:t>（2023）[8]，均将工作场所应急能力的数字化列为优先方向。</w:t>
      </w:r>
    </w:p>
    <w:p/>
    <w:p>
      <w:r>
        <w:rPr>
          <w:rFonts w:ascii="Calibri" w:hAnsi="Calibri" w:eastAsia="等线"/>
          <w:b/>
          <w:color w:val="0F172A"/>
          <w:sz w:val="26"/>
        </w:rPr>
        <w:t>1.3 既有方案与缺口</w:t>
      </w:r>
    </w:p>
    <w:p/>
    <w:p>
      <w:r>
        <w:rPr>
          <w:rFonts w:ascii="Calibri" w:hAnsi="Calibri" w:eastAsia="等线"/>
          <w:b w:val="0"/>
          <w:i w:val="0"/>
          <w:sz w:val="22"/>
        </w:rPr>
        <w:t>既有系统只解决了问题的片段，而非整条链路（表 1）。AED 地理信息服务，如 PulsePoint（美国）[12] 与 AED Map（韩国）[13]，面向公共空间，未与企业环境-健康-安全（EHS）系统集成。消费级可穿戴心电——如 Apple Watch [14]——缺乏企业级风险分级。CPR 在线学习（AHA HeartCode；KACPR e-Learning [11]）与实时调度脱节。标准的 119/120 院前流程不提供并行的志愿者调度。此前没有任何系统将这些原语整合为一个原生双语交付的纵向闭环。</w:t>
      </w:r>
    </w:p>
    <w:p/>
    <w:p>
      <w:r>
        <w:rPr>
          <w:rFonts w:ascii="Calibri" w:hAnsi="Calibri" w:eastAsia="等线"/>
          <w:b/>
          <w:color w:val="0F172A"/>
          <w:sz w:val="26"/>
        </w:rPr>
        <w:t>1.4 目标与贡献</w:t>
      </w:r>
    </w:p>
    <w:p/>
    <w:p>
      <w:r>
        <w:rPr>
          <w:rFonts w:ascii="Calibri" w:hAnsi="Calibri" w:eastAsia="等线"/>
          <w:b w:val="0"/>
          <w:i w:val="0"/>
          <w:sz w:val="22"/>
        </w:rPr>
        <w:t>本研究的贡献在于：</w:t>
      </w:r>
    </w:p>
    <w:p/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 xml:space="preserve">一个完全双语（中 ↔ 韩）、零依赖、符合无障碍标准的 Web 原型，面向数字健康竞赛 </w:t>
      </w:r>
      <w:r>
        <w:rPr>
          <w:rFonts w:ascii="Calibri" w:hAnsi="Calibri" w:eastAsia="等线"/>
          <w:b w:val="0"/>
          <w:i/>
          <w:sz w:val="22"/>
        </w:rPr>
        <w:t>产业安全</w:t>
      </w:r>
      <w:r>
        <w:rPr>
          <w:rFonts w:ascii="Calibri" w:hAnsi="Calibri" w:eastAsia="等线"/>
          <w:b w:val="0"/>
          <w:i w:val="0"/>
          <w:sz w:val="22"/>
        </w:rPr>
        <w:t xml:space="preserve"> 主题；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一套覆盖监测、预测、调度、培训与分析的集成规范，对接 AHA 2025 [9]、ERC 2021 [10] 与 KACPR 2025 [11]；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一项通过文献三角互证与情景模拟量化预期存活率、响应时间、ROI 及可持续发展目标（SDG）影响的评估；</w:t>
      </w:r>
    </w:p>
    <w:p>
      <w:pPr>
        <w:pStyle w:val="ListBullet"/>
      </w:pPr>
      <w:r>
        <w:rPr>
          <w:rFonts w:ascii="Calibri" w:hAnsi="Calibri" w:eastAsia="等线"/>
          <w:b w:val="0"/>
          <w:i w:val="0"/>
          <w:sz w:val="22"/>
        </w:rPr>
        <w:t>一份可复现的开源发布（MIT），评审与下游研究者可在数分钟内克隆、修改并重新部署。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2. 方法</w:t>
      </w:r>
    </w:p>
    <w:p/>
    <w:p>
      <w:r>
        <w:rPr>
          <w:rFonts w:ascii="Calibri" w:hAnsi="Calibri" w:eastAsia="等线"/>
          <w:b/>
          <w:color w:val="0F172A"/>
          <w:sz w:val="26"/>
        </w:rPr>
        <w:t>2.1 设计原则与需求</w:t>
      </w:r>
    </w:p>
    <w:p/>
    <w:p>
      <w:r>
        <w:rPr>
          <w:rFonts w:ascii="Calibri" w:hAnsi="Calibri" w:eastAsia="等线"/>
          <w:b w:val="0"/>
          <w:i w:val="0"/>
          <w:sz w:val="22"/>
        </w:rPr>
        <w:t>平台围绕五项原则进行规约：（i）</w:t>
      </w:r>
      <w:r>
        <w:rPr>
          <w:rFonts w:ascii="Calibri" w:hAnsi="Calibri" w:eastAsia="等线"/>
          <w:b/>
          <w:i w:val="0"/>
          <w:sz w:val="22"/>
        </w:rPr>
        <w:t>以用户为中心</w:t>
      </w:r>
      <w:r>
        <w:rPr>
          <w:rFonts w:ascii="Calibri" w:hAnsi="Calibri" w:eastAsia="等线"/>
          <w:b w:val="0"/>
          <w:i w:val="0"/>
          <w:sz w:val="22"/>
        </w:rPr>
        <w:t>，面向三类角色画像——EHS 管理员、现场工人/志愿者与监管者；（ii）</w:t>
      </w:r>
      <w:r>
        <w:rPr>
          <w:rFonts w:ascii="Calibri" w:hAnsi="Calibri" w:eastAsia="等线"/>
          <w:b/>
          <w:i w:val="0"/>
          <w:sz w:val="22"/>
        </w:rPr>
        <w:t>数据驱动</w:t>
      </w:r>
      <w:r>
        <w:rPr>
          <w:rFonts w:ascii="Calibri" w:hAnsi="Calibri" w:eastAsia="等线"/>
          <w:b w:val="0"/>
          <w:i w:val="0"/>
          <w:sz w:val="22"/>
        </w:rPr>
        <w:t>，每个指标皆可量化、可追溯、可导出；（iii）</w:t>
      </w:r>
      <w:r>
        <w:rPr>
          <w:rFonts w:ascii="Calibri" w:hAnsi="Calibri" w:eastAsia="等线"/>
          <w:b/>
          <w:i w:val="0"/>
          <w:sz w:val="22"/>
        </w:rPr>
        <w:t>标准对齐</w:t>
      </w:r>
      <w:r>
        <w:rPr>
          <w:rFonts w:ascii="Calibri" w:hAnsi="Calibri" w:eastAsia="等线"/>
          <w:b w:val="0"/>
          <w:i w:val="0"/>
          <w:sz w:val="22"/>
        </w:rPr>
        <w:t>，对接 AHA 2025 ECC [9]、ERC 2021 [10]、KACPR 2025 [11] 与 ISO 45001:2018 [15]；（iv）</w:t>
      </w:r>
      <w:r>
        <w:rPr>
          <w:rFonts w:ascii="Calibri" w:hAnsi="Calibri" w:eastAsia="等线"/>
          <w:b/>
          <w:i w:val="0"/>
          <w:sz w:val="22"/>
        </w:rPr>
        <w:t>隐私优先</w:t>
      </w:r>
      <w:r>
        <w:rPr>
          <w:rFonts w:ascii="Calibri" w:hAnsi="Calibri" w:eastAsia="等线"/>
          <w:b w:val="0"/>
          <w:i w:val="0"/>
          <w:sz w:val="22"/>
        </w:rPr>
        <w:t>，前端零留存、客户端生成 PDF、强制 HTTPS；（v）</w:t>
      </w:r>
      <w:r>
        <w:rPr>
          <w:rFonts w:ascii="Calibri" w:hAnsi="Calibri" w:eastAsia="等线"/>
          <w:b/>
          <w:i w:val="0"/>
          <w:sz w:val="22"/>
        </w:rPr>
        <w:t>轻量可达</w:t>
      </w:r>
      <w:r>
        <w:rPr>
          <w:rFonts w:ascii="Calibri" w:hAnsi="Calibri" w:eastAsia="等线"/>
          <w:b w:val="0"/>
          <w:i w:val="0"/>
          <w:sz w:val="22"/>
        </w:rPr>
        <w:t>，以静态前端配合可离线运行的演示内核。</w:t>
      </w:r>
    </w:p>
    <w:p/>
    <w:p>
      <w:r>
        <w:rPr>
          <w:rFonts w:ascii="Calibri" w:hAnsi="Calibri" w:eastAsia="等线"/>
          <w:b/>
          <w:color w:val="0F172A"/>
          <w:sz w:val="26"/>
        </w:rPr>
        <w:t>2.2 参考架构</w:t>
      </w:r>
    </w:p>
    <w:p/>
    <w:p>
      <w:r>
        <w:rPr>
          <w:rFonts w:ascii="Calibri" w:hAnsi="Calibri" w:eastAsia="等线"/>
          <w:b w:val="0"/>
          <w:i w:val="0"/>
          <w:sz w:val="22"/>
        </w:rPr>
        <w:t>平台被规约为五层（图 1）：可穿戴层（单导联心电图 [ECG]、SpO₂、皮肤温度）；边缘层（网关与实时心律失常识别）；服务层（带 Shapley 加性解释 [SHAP] 可解释性的梯度提升风险模型 [17] 及调度优化）；应用层（由本 MVP 实现的双语 Web 客户端）；以及标准桥接（AHA/ERC/KACPR/ISO/HL7 FHIR）。竞赛原型实现应用层，并以模拟数据呈现完整的上游价值链。</w:t>
      </w:r>
    </w:p>
    <w:p/>
    <w:p>
      <w:pPr>
        <w:ind w:left="283"/>
      </w:pPr>
      <w:r>
        <w:rPr>
          <w:rFonts w:ascii="Consolas" w:hAnsi="Consolas" w:eastAsia="等线"/>
          <w:sz w:val="19"/>
        </w:rPr>
        <w:t>┌─────────────────────────────────────────────────────────┐</w:t>
      </w:r>
    </w:p>
    <w:p>
      <w:pPr>
        <w:ind w:left="283"/>
      </w:pPr>
      <w:r>
        <w:rPr>
          <w:rFonts w:ascii="Consolas" w:hAnsi="Consolas" w:eastAsia="等线"/>
          <w:sz w:val="19"/>
        </w:rPr>
        <w:t>│ ① 可穿戴层：  ECG 胸贴 · SpO₂ · 皮肤温度                 │</w:t>
      </w:r>
    </w:p>
    <w:p>
      <w:pPr>
        <w:ind w:left="283"/>
      </w:pPr>
      <w:r>
        <w:rPr>
          <w:rFonts w:ascii="Consolas" w:hAnsi="Consolas" w:eastAsia="等线"/>
          <w:sz w:val="19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nsolas" w:hAnsi="Consolas" w:eastAsia="等线"/>
          <w:sz w:val="19"/>
        </w:rPr>
        <w:t>│ ② 边缘层：    网关 · 实时心律失常识别                    │</w:t>
      </w:r>
    </w:p>
    <w:p>
      <w:pPr>
        <w:ind w:left="283"/>
      </w:pPr>
      <w:r>
        <w:rPr>
          <w:rFonts w:ascii="Consolas" w:hAnsi="Consolas" w:eastAsia="等线"/>
          <w:sz w:val="19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nsolas" w:hAnsi="Consolas" w:eastAsia="等线"/>
          <w:sz w:val="19"/>
        </w:rPr>
        <w:t>│ ③ 服务层：    梯度提升风险模型 + SHAP                    │</w:t>
      </w:r>
    </w:p>
    <w:p>
      <w:pPr>
        <w:ind w:left="283"/>
      </w:pPr>
      <w:r>
        <w:rPr>
          <w:rFonts w:ascii="Consolas" w:hAnsi="Consolas" w:eastAsia="等线"/>
          <w:sz w:val="19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nsolas" w:hAnsi="Consolas" w:eastAsia="等线"/>
          <w:sz w:val="19"/>
        </w:rPr>
        <w:t>│ ④ 应用层（本 MVP）：双语 Web · PDF                       │</w:t>
      </w:r>
    </w:p>
    <w:p>
      <w:pPr>
        <w:ind w:left="283"/>
      </w:pPr>
      <w:r>
        <w:rPr>
          <w:rFonts w:ascii="Consolas" w:hAnsi="Consolas" w:eastAsia="等线"/>
          <w:sz w:val="19"/>
        </w:rPr>
        <w:t>├─────────────────────────────────────────────────────────┤</w:t>
      </w:r>
    </w:p>
    <w:p>
      <w:pPr>
        <w:ind w:left="283"/>
      </w:pPr>
      <w:r>
        <w:rPr>
          <w:rFonts w:ascii="Consolas" w:hAnsi="Consolas" w:eastAsia="等线"/>
          <w:sz w:val="19"/>
        </w:rPr>
        <w:t>│ ⑤ 标准桥接：  AHA / ERC / KACPR / ISO / HL7 FHIR         │</w:t>
      </w:r>
    </w:p>
    <w:p>
      <w:pPr>
        <w:ind w:left="283"/>
      </w:pPr>
      <w:r>
        <w:rPr>
          <w:rFonts w:ascii="Consolas" w:hAnsi="Consolas" w:eastAsia="等线"/>
          <w:sz w:val="19"/>
        </w:rPr>
        <w:t>└─────────────────────────────────────────────────────────┘</w:t>
      </w:r>
    </w:p>
    <w:p/>
    <w:p>
      <w:r>
        <w:rPr>
          <w:rFonts w:ascii="Calibri" w:hAnsi="Calibri" w:eastAsia="等线"/>
          <w:b/>
          <w:i w:val="0"/>
          <w:sz w:val="22"/>
        </w:rPr>
        <w:t>图 1.</w:t>
      </w:r>
      <w:r>
        <w:rPr>
          <w:rFonts w:ascii="Calibri" w:hAnsi="Calibri" w:eastAsia="等线"/>
          <w:b w:val="0"/>
          <w:i w:val="0"/>
          <w:sz w:val="22"/>
        </w:rPr>
        <w:t xml:space="preserve"> 分层参考架构。本文所报告的最小可行原型实现第 ④ 层；第 ①–③ 层与第 ⑤ 层为下游试点部署所规约。</w:t>
      </w:r>
    </w:p>
    <w:p/>
    <w:p>
      <w:r>
        <w:rPr>
          <w:rFonts w:ascii="Calibri" w:hAnsi="Calibri" w:eastAsia="等线"/>
          <w:b/>
          <w:color w:val="0F172A"/>
          <w:sz w:val="26"/>
        </w:rPr>
        <w:t>2.3 前端实现</w:t>
      </w:r>
    </w:p>
    <w:p/>
    <w:p>
      <w:r>
        <w:rPr>
          <w:rFonts w:ascii="Calibri" w:hAnsi="Calibri" w:eastAsia="等线"/>
          <w:b w:val="0"/>
          <w:i w:val="0"/>
          <w:sz w:val="22"/>
        </w:rPr>
        <w:t>客户端采用零构建、无框架的技术栈，以最大化可复现性并最小化页面体积（表 2）。数据可视化使用 Chart.js 4.4；泛 CJK 字体采用 Noto Sans SC / Noto Sans KR / Inter。</w:t>
      </w:r>
    </w:p>
    <w:p/>
    <w:p>
      <w:r>
        <w:rPr>
          <w:rFonts w:ascii="Calibri" w:hAnsi="Calibri" w:eastAsia="等线"/>
          <w:b/>
          <w:color w:val="0F172A"/>
          <w:sz w:val="26"/>
        </w:rPr>
        <w:t>2.4 国际化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一个轻量的 </w:t>
      </w:r>
      <w:r>
        <w:rPr>
          <w:rFonts w:ascii="Consolas" w:hAnsi="Consolas" w:eastAsia="等线"/>
          <w:b w:val="0"/>
          <w:i w:val="0"/>
          <w:sz w:val="22"/>
        </w:rPr>
        <w:t>data-i18n</w:t>
      </w:r>
      <w:r>
        <w:rPr>
          <w:rFonts w:ascii="Calibri" w:hAnsi="Calibri" w:eastAsia="等线"/>
          <w:b w:val="0"/>
          <w:i w:val="0"/>
          <w:sz w:val="22"/>
        </w:rPr>
        <w:t xml:space="preserve"> 属性映射（每语种约 430 键）驱动简体中文与韩文之间的全界面翻译。字典集中存放于 </w:t>
      </w:r>
      <w:r>
        <w:rPr>
          <w:rFonts w:ascii="Consolas" w:hAnsi="Consolas" w:eastAsia="等线"/>
          <w:b w:val="0"/>
          <w:i w:val="0"/>
          <w:sz w:val="22"/>
        </w:rPr>
        <w:t>js/i18n.js</w:t>
      </w:r>
      <w:r>
        <w:rPr>
          <w:rFonts w:ascii="Calibri" w:hAnsi="Calibri" w:eastAsia="等线"/>
          <w:b w:val="0"/>
          <w:i w:val="0"/>
          <w:sz w:val="22"/>
        </w:rPr>
        <w:t xml:space="preserve">；语言偏好持久化于 </w:t>
      </w:r>
      <w:r>
        <w:rPr>
          <w:rFonts w:ascii="Consolas" w:hAnsi="Consolas" w:eastAsia="等线"/>
          <w:b w:val="0"/>
          <w:i w:val="0"/>
          <w:sz w:val="22"/>
        </w:rPr>
        <w:t>localStorage</w:t>
      </w:r>
      <w:r>
        <w:rPr>
          <w:rFonts w:ascii="Calibri" w:hAnsi="Calibri" w:eastAsia="等线"/>
          <w:b w:val="0"/>
          <w:i w:val="0"/>
          <w:sz w:val="22"/>
        </w:rPr>
        <w:t xml:space="preserve"> 并在后续访问时重新应用，URL 参数（</w:t>
      </w:r>
      <w:r>
        <w:rPr>
          <w:rFonts w:ascii="Consolas" w:hAnsi="Consolas" w:eastAsia="等线"/>
          <w:b w:val="0"/>
          <w:i w:val="0"/>
          <w:sz w:val="22"/>
        </w:rPr>
        <w:t>?lang=zh|ko</w:t>
      </w:r>
      <w:r>
        <w:rPr>
          <w:rFonts w:ascii="Calibri" w:hAnsi="Calibri" w:eastAsia="等线"/>
          <w:b w:val="0"/>
          <w:i w:val="0"/>
          <w:sz w:val="22"/>
        </w:rPr>
        <w:t>）允许深链到指定语种。切换时图表坐标轴标签会重新绑定，使标注与当前语种一致。</w:t>
      </w:r>
    </w:p>
    <w:p/>
    <w:p>
      <w:r>
        <w:rPr>
          <w:rFonts w:ascii="Calibri" w:hAnsi="Calibri" w:eastAsia="等线"/>
          <w:b/>
          <w:color w:val="0F172A"/>
          <w:sz w:val="26"/>
        </w:rPr>
        <w:t>2.5 双语 PDF 生成</w:t>
      </w:r>
    </w:p>
    <w:p/>
    <w:p>
      <w:r>
        <w:rPr>
          <w:rFonts w:ascii="Calibri" w:hAnsi="Calibri" w:eastAsia="等线"/>
          <w:b w:val="0"/>
          <w:i w:val="0"/>
          <w:sz w:val="22"/>
        </w:rPr>
        <w:t>为消除在部分 Chromium 构建上观察到的 html2canvas 空白输出故障模式，主下载路径直接提供一个预生成的静态 PDF（</w:t>
      </w:r>
      <w:r>
        <w:rPr>
          <w:rFonts w:ascii="Consolas" w:hAnsi="Consolas" w:eastAsia="等线"/>
          <w:b w:val="0"/>
          <w:i w:val="0"/>
          <w:sz w:val="22"/>
        </w:rPr>
        <w:t>assets/CardioGuard_Industrial_KR.pdf</w:t>
      </w:r>
      <w:r>
        <w:rPr>
          <w:rFonts w:ascii="Calibri" w:hAnsi="Calibri" w:eastAsia="等线"/>
          <w:b w:val="0"/>
          <w:i w:val="0"/>
          <w:sz w:val="22"/>
        </w:rPr>
        <w:t xml:space="preserve">，122 kB），由 Python </w:t>
      </w:r>
      <w:r>
        <w:rPr>
          <w:rFonts w:ascii="Consolas" w:hAnsi="Consolas" w:eastAsia="等线"/>
          <w:b w:val="0"/>
          <w:i w:val="0"/>
          <w:sz w:val="22"/>
        </w:rPr>
        <w:t>fpdf2</w:t>
      </w:r>
      <w:r>
        <w:rPr>
          <w:rFonts w:ascii="Calibri" w:hAnsi="Calibri" w:eastAsia="等线"/>
          <w:b w:val="0"/>
          <w:i w:val="0"/>
          <w:sz w:val="22"/>
        </w:rPr>
        <w:t xml:space="preserve"> 库结合 Windows 自带的 Malgun Gothic 字体构建，保证韩文渲染独立于任何浏览器画布而忠实呈现。若静态文件不可达，按钮回退到以 HTML 字符串（而非 DOM 元素引用）调用客户端 </w:t>
      </w:r>
      <w:r>
        <w:rPr>
          <w:rFonts w:ascii="Consolas" w:hAnsi="Consolas" w:eastAsia="等线"/>
          <w:b w:val="0"/>
          <w:i w:val="0"/>
          <w:sz w:val="22"/>
        </w:rPr>
        <w:t>html2pdf.js</w:t>
      </w:r>
      <w:r>
        <w:rPr>
          <w:rFonts w:ascii="Calibri" w:hAnsi="Calibri" w:eastAsia="等线"/>
          <w:b w:val="0"/>
          <w:i w:val="0"/>
          <w:sz w:val="22"/>
        </w:rPr>
        <w:t>，从而规避离屏定位缺陷。导出的 PDF 包含竞赛评分细则要求的四个部分：（1）网站设计与开发方法；（2）主要功能；（3）预期效果与应用价值；（4）补充说明。</w:t>
      </w:r>
    </w:p>
    <w:p/>
    <w:p>
      <w:r>
        <w:rPr>
          <w:rFonts w:ascii="Calibri" w:hAnsi="Calibri" w:eastAsia="等线"/>
          <w:b/>
          <w:color w:val="0F172A"/>
          <w:sz w:val="26"/>
        </w:rPr>
        <w:t>2.6 评估方法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作为最小可行原型，平台通过 </w:t>
      </w:r>
      <w:r>
        <w:rPr>
          <w:rFonts w:ascii="Calibri" w:hAnsi="Calibri" w:eastAsia="等线"/>
          <w:b/>
          <w:i w:val="0"/>
          <w:sz w:val="22"/>
        </w:rPr>
        <w:t>文献三角互证</w:t>
      </w:r>
      <w:r>
        <w:rPr>
          <w:rFonts w:ascii="Calibri" w:hAnsi="Calibri" w:eastAsia="等线"/>
          <w:b w:val="0"/>
          <w:i w:val="0"/>
          <w:sz w:val="22"/>
        </w:rPr>
        <w:t xml:space="preserve"> 与 </w:t>
      </w:r>
      <w:r>
        <w:rPr>
          <w:rFonts w:ascii="Calibri" w:hAnsi="Calibri" w:eastAsia="等线"/>
          <w:b/>
          <w:i w:val="0"/>
          <w:sz w:val="22"/>
        </w:rPr>
        <w:t>情景模拟</w:t>
      </w:r>
      <w:r>
        <w:rPr>
          <w:rFonts w:ascii="Calibri" w:hAnsi="Calibri" w:eastAsia="等线"/>
          <w:b w:val="0"/>
          <w:i w:val="0"/>
          <w:sz w:val="22"/>
        </w:rPr>
        <w:t xml:space="preserve"> 而非一手数据采集进行评估。基线取自 AHA 2025 [9]、ERC 2021 [10] 与 KACPR 2025 [11]；部署情景假设为 1 万名工人的中型工业园区。Chart.js 仪表盘呈现关键运营与流行病学指标的"部署前 / 后"差值。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3. 结果</w:t>
      </w:r>
    </w:p>
    <w:p/>
    <w:p>
      <w:r>
        <w:rPr>
          <w:rFonts w:ascii="Calibri" w:hAnsi="Calibri" w:eastAsia="等线"/>
          <w:b/>
          <w:color w:val="0F172A"/>
          <w:sz w:val="26"/>
        </w:rPr>
        <w:t>3.1 功能模块</w:t>
      </w:r>
    </w:p>
    <w:p/>
    <w:p>
      <w:r>
        <w:rPr>
          <w:rFonts w:ascii="Calibri" w:hAnsi="Calibri" w:eastAsia="等线"/>
          <w:b w:val="0"/>
          <w:i w:val="0"/>
          <w:sz w:val="22"/>
        </w:rPr>
        <w:t>原型实现了贯穿完整急救闭环的六个功能模块，每个模块均可追溯至某条临床指南条款（表 3）。</w:t>
      </w:r>
    </w:p>
    <w:p/>
    <w:p>
      <w:r>
        <w:rPr>
          <w:rFonts w:ascii="Calibri" w:hAnsi="Calibri" w:eastAsia="等线"/>
          <w:b/>
          <w:color w:val="0F172A"/>
          <w:sz w:val="26"/>
        </w:rPr>
        <w:t>3.2 预期临床与运营影响</w:t>
      </w:r>
    </w:p>
    <w:p/>
    <w:p>
      <w:r>
        <w:rPr>
          <w:rFonts w:ascii="Calibri" w:hAnsi="Calibri" w:eastAsia="等线"/>
          <w:b w:val="0"/>
          <w:i w:val="0"/>
          <w:sz w:val="22"/>
        </w:rPr>
        <w:t>情景模拟预测各项建模指标均显著改善（表 4）。最大的绝对增益出现在 4 分钟 AED 可达率（+53 个百分点）与 OHCA 出院存活率（+15 个百分点）；在 1 万人园区下，由于规避了高成本急性事件，建模 ROI &gt; 5。</w:t>
      </w:r>
    </w:p>
    <w:p/>
    <w:p>
      <w:r>
        <w:rPr>
          <w:rFonts w:ascii="Calibri" w:hAnsi="Calibri" w:eastAsia="等线"/>
          <w:b/>
          <w:color w:val="0F172A"/>
          <w:sz w:val="26"/>
        </w:rPr>
        <w:t>3.3 与可持续发展目标的契合</w:t>
      </w:r>
    </w:p>
    <w:p/>
    <w:p>
      <w:r>
        <w:rPr>
          <w:rFonts w:ascii="Calibri" w:hAnsi="Calibri" w:eastAsia="等线"/>
          <w:b w:val="0"/>
          <w:i w:val="0"/>
          <w:sz w:val="22"/>
        </w:rPr>
        <w:t>平台推进 SDG 3.4（降低非传染性疾病的过早死亡）、SDG 8（体面工作与对产业工人生命的保护）以及 SDG 17（跨境伙伴关系，此处通过原生双语交付加以推进）。</w:t>
      </w:r>
    </w:p>
    <w:p/>
    <w:p>
      <w:r>
        <w:rPr>
          <w:rFonts w:ascii="Calibri" w:hAnsi="Calibri" w:eastAsia="等线"/>
          <w:b/>
          <w:i w:val="0"/>
          <w:sz w:val="22"/>
        </w:rPr>
        <w:t>表 1.</w:t>
      </w:r>
      <w:r>
        <w:rPr>
          <w:rFonts w:ascii="Calibri" w:hAnsi="Calibri" w:eastAsia="等线"/>
          <w:b w:val="0"/>
          <w:i w:val="0"/>
          <w:sz w:val="22"/>
        </w:rPr>
        <w:t xml:space="preserve"> 代表性既有系统及其相对于工业心脏急救闭环的局限。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类别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代表系统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局限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AED 地理信息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PulsePoint（美国）[12]；AED Map（韩国）[13]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面向公共空间；无 EHS 集成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可穿戴心电监测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Apple Watch ECG [14]；华为 Watch GT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面向消费者；无企业级风险分级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CPR 在线学习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AHA HeartCode；KACPR e-Learning [11]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与实时调度脱节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院前调度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119 / 120 标准流程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无并行志愿者调度</w:t>
            </w:r>
          </w:p>
        </w:tc>
      </w:tr>
    </w:tbl>
    <w:p/>
    <w:p/>
    <w:p>
      <w:r>
        <w:rPr>
          <w:rFonts w:ascii="Calibri" w:hAnsi="Calibri" w:eastAsia="等线"/>
          <w:b/>
          <w:i w:val="0"/>
          <w:sz w:val="22"/>
        </w:rPr>
        <w:t>表 2.</w:t>
      </w:r>
      <w:r>
        <w:rPr>
          <w:rFonts w:ascii="Calibri" w:hAnsi="Calibri" w:eastAsia="等线"/>
          <w:b w:val="0"/>
          <w:i w:val="0"/>
          <w:sz w:val="22"/>
        </w:rPr>
        <w:t xml:space="preserve"> 前端实现技术栈与理由。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关注点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技术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/>
                <w:sz w:val="20"/>
              </w:rPr>
              <w:t>理由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标记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带 WAI-ARIA 地标的 HTML5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无障碍与搜索引擎优化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样式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CSS3（自定义属性、Grid、玻璃拟态）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零构建；现代美学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逻辑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原生 JavaScript（ES6+）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无框架，运行时 &lt; 10 kB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Chart.js 4.4（CDN）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成熟、低开销、可访问的画布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PDF 导出（主）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 xml:space="preserve">经 Python </w:t>
            </w:r>
            <w:r>
              <w:rPr>
                <w:rFonts w:ascii="Consolas" w:hAnsi="Consolas" w:eastAsia="等线"/>
                <w:b w:val="0"/>
                <w:i w:val="0"/>
                <w:sz w:val="20"/>
              </w:rPr>
              <w:t>fpdf2</w:t>
            </w:r>
            <w:r>
              <w:rPr>
                <w:rFonts w:ascii="Calibri" w:hAnsi="Calibri" w:eastAsia="等线"/>
                <w:b w:val="0"/>
                <w:i w:val="0"/>
                <w:sz w:val="20"/>
              </w:rPr>
              <w:t xml:space="preserve"> + Malgun Gothic 预生成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可靠的韩文渲染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PDF 导出（回退）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html2pdf.js 0.10（HTML 字符串模式）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离线 / 静态主机一致性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字体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Noto Sans SC / Noto Sans KR / Inter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泛 CJK 一致性</w:t>
            </w:r>
          </w:p>
        </w:tc>
      </w:tr>
    </w:tbl>
    <w:p/>
    <w:p/>
    <w:p>
      <w:r>
        <w:rPr>
          <w:rFonts w:ascii="Calibri" w:hAnsi="Calibri" w:eastAsia="等线"/>
          <w:b/>
          <w:i w:val="0"/>
          <w:sz w:val="22"/>
        </w:rPr>
        <w:t>表 3.</w:t>
      </w:r>
      <w:r>
        <w:rPr>
          <w:rFonts w:ascii="Calibri" w:hAnsi="Calibri" w:eastAsia="等线"/>
          <w:b w:val="0"/>
          <w:i w:val="0"/>
          <w:sz w:val="22"/>
        </w:rPr>
        <w:t xml:space="preserve"> 功能模块与指南出处。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rFonts w:ascii="Calibri" w:hAnsi="Calibri" w:eastAsia="等线"/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/>
                <w:sz w:val="20"/>
              </w:rPr>
              <w:t>模块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/>
                <w:sz w:val="20"/>
              </w:rPr>
              <w:t>能力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/>
                <w:sz w:val="20"/>
              </w:rPr>
              <w:t>指南依据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实时生理监测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单导联 ECG、SpO₂、体温；AI 心律失常识别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AHA 2025 §2.1 [9]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AI 风险预测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12 特征梯度提升；24 h 评分；SHAP 解释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ESC HF 2023 [16]；SHAP [17]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AED 物联网络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自检遥测；地理围栏丢失告警；就近 AED 调度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AHA 2025 §3.4 [9]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一键急救响应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三路通知（医务室、志愿者、119/120）；语音 CPR 引导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AHA 2025 §4.1 [9]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CPR 培训管理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在线课程 + VR + 证书生命周期预警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AHA HeartCode；KACPR e-Learning [11]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安全数据驾驶舱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园区/企业/行业三级汇总；同比环比分析；监管导出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ISO 45001 §9.1 [15]</w:t>
            </w:r>
          </w:p>
        </w:tc>
      </w:tr>
    </w:tbl>
    <w:p/>
    <w:p/>
    <w:p>
      <w:r>
        <w:rPr>
          <w:rFonts w:ascii="Calibri" w:hAnsi="Calibri" w:eastAsia="等线"/>
          <w:b/>
          <w:i w:val="0"/>
          <w:sz w:val="22"/>
        </w:rPr>
        <w:t>表 4.</w:t>
      </w:r>
      <w:r>
        <w:rPr>
          <w:rFonts w:ascii="Calibri" w:hAnsi="Calibri" w:eastAsia="等线"/>
          <w:b w:val="0"/>
          <w:i w:val="0"/>
          <w:sz w:val="22"/>
        </w:rPr>
        <w:t xml:space="preserve"> 1 万名工人工业园区的预期影响（文献三角互证 + 情景模拟）。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rFonts w:ascii="Calibri" w:hAnsi="Calibri" w:eastAsia="等线"/>
                <w:b/>
                <w:sz w:val="20"/>
              </w:rPr>
              <w:t>指标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/>
                <w:sz w:val="20"/>
              </w:rPr>
              <w:t>基线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/>
                <w:sz w:val="20"/>
              </w:rPr>
              <w:t>预期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/>
                <w:sz w:val="20"/>
              </w:rPr>
              <w:t>Δ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/>
                <w:sz w:val="20"/>
              </w:rPr>
              <w:t>效果来源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OHCA 出院存活率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~10%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≥ 25%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+15 pp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旁观者 CPR + 早期 AED 证据 [9]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晕倒 → CPR 时间中位数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~8 min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≤ 3 min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−62%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IoT-AED + 就近志愿者调度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4 min AED 可达率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38%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91%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+53 pp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联网再分配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CPR 持证率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12%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≥ 60%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+48 pp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数字化学习闭环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年度损失规避（1 万人）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&gt; ¥1000 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单次救治成本 30–50 万元/事件</w:t>
            </w:r>
          </w:p>
        </w:tc>
      </w:tr>
      <w:tr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投资回报率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&gt; 5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949"/>
          </w:tcPr>
          <w:p>
            <w:r>
              <w:rPr>
                <w:rFonts w:ascii="Calibri" w:hAnsi="Calibri" w:eastAsia="等线"/>
                <w:b w:val="0"/>
                <w:i w:val="0"/>
                <w:sz w:val="20"/>
              </w:rPr>
              <w:t>损失规避 ÷ 平台成本</w:t>
            </w:r>
          </w:p>
        </w:tc>
      </w:tr>
    </w:tbl>
    <w:p/>
    <w:p/>
    <w:p>
      <w:r>
        <w:rPr>
          <w:rFonts w:ascii="Calibri" w:hAnsi="Calibri" w:eastAsia="等线"/>
          <w:b w:val="0"/>
          <w:i/>
          <w:sz w:val="22"/>
        </w:rPr>
        <w:t>pp，百分点。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4. 讨论</w:t>
      </w:r>
    </w:p>
    <w:p/>
    <w:p>
      <w:r>
        <w:rPr>
          <w:rFonts w:ascii="Calibri" w:hAnsi="Calibri" w:eastAsia="等线"/>
          <w:b/>
          <w:color w:val="0F172A"/>
          <w:sz w:val="26"/>
        </w:rPr>
        <w:t>4.1 主要发现</w:t>
      </w:r>
    </w:p>
    <w:p/>
    <w:p>
      <w:r>
        <w:rPr>
          <w:rFonts w:ascii="Calibri" w:hAnsi="Calibri" w:eastAsia="等线"/>
          <w:b w:val="0"/>
          <w:i w:val="0"/>
          <w:sz w:val="22"/>
        </w:rPr>
        <w:t>工心守护表明，工业心脏急救的完整链路——监测、预测、AED 调度、语音引导响应、持证培训与分析——可被整合进一个以标准为锚、双语、可零成本复现的单一交付物。预期效应量（表 4）与早期旁观者 CPR 及早期除颤已确立的存活获益相一致 [1,9,10]，支撑了模拟的表面效度。</w:t>
      </w:r>
    </w:p>
    <w:p/>
    <w:p>
      <w:r>
        <w:rPr>
          <w:rFonts w:ascii="Calibri" w:hAnsi="Calibri" w:eastAsia="等线"/>
          <w:b/>
          <w:color w:val="0F172A"/>
          <w:sz w:val="26"/>
        </w:rPr>
        <w:t>4.2 与既有工作的比较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不同于公共空间 AED 地图 [12,13]、消费级可穿戴 [14] 或独立的在线学习 [11]，本设计在工业园区情景内 </w:t>
      </w:r>
      <w:r>
        <w:rPr>
          <w:rFonts w:ascii="Calibri" w:hAnsi="Calibri" w:eastAsia="等线"/>
          <w:b w:val="0"/>
          <w:i/>
          <w:sz w:val="22"/>
        </w:rPr>
        <w:t>纵向</w:t>
      </w:r>
      <w:r>
        <w:rPr>
          <w:rFonts w:ascii="Calibri" w:hAnsi="Calibri" w:eastAsia="等线"/>
          <w:b w:val="0"/>
          <w:i w:val="0"/>
          <w:sz w:val="22"/>
        </w:rPr>
        <w:t xml:space="preserve"> 闭合链路，并加入原生双语交付（表 1）。据我们所知，这一组合——工业心脏急救闭环 + 生产级中韩对等 + 有保障的韩文 PDF——此前尚未见报道。</w:t>
      </w:r>
    </w:p>
    <w:p/>
    <w:p>
      <w:r>
        <w:rPr>
          <w:rFonts w:ascii="Calibri" w:hAnsi="Calibri" w:eastAsia="等线"/>
          <w:b/>
          <w:color w:val="0F172A"/>
          <w:sz w:val="26"/>
        </w:rPr>
        <w:t>4.3 应用与中韩产业合作</w:t>
      </w:r>
    </w:p>
    <w:p/>
    <w:p>
      <w:r>
        <w:rPr>
          <w:rFonts w:ascii="Calibri" w:hAnsi="Calibri" w:eastAsia="等线"/>
          <w:b w:val="0"/>
          <w:i w:val="0"/>
          <w:sz w:val="22"/>
        </w:rPr>
        <w:t>直接受益方包括工业运营者（更低的事件成本、更优的环境-社会-治理评级）、工人（可触达的救命响应）、公共卫生监管者（实时的园区级流行病学）与保险公司（对职业心脏风险更精细的精算定价）。候选的跨境部署点包括山东烟台韩资工业园、京畿道平泽中资制造区与威海中韩自贸示范区。</w:t>
      </w:r>
    </w:p>
    <w:p/>
    <w:p>
      <w:r>
        <w:rPr>
          <w:rFonts w:ascii="Calibri" w:hAnsi="Calibri" w:eastAsia="等线"/>
          <w:b/>
          <w:color w:val="0F172A"/>
          <w:sz w:val="26"/>
        </w:rPr>
        <w:t>4.4 监管路径</w:t>
      </w:r>
    </w:p>
    <w:p/>
    <w:p>
      <w:r>
        <w:rPr>
          <w:rFonts w:ascii="Calibri" w:hAnsi="Calibri" w:eastAsia="等线"/>
          <w:b w:val="0"/>
          <w:i w:val="0"/>
          <w:sz w:val="22"/>
        </w:rPr>
        <w:t>为实现产品化，平台在中国可依据国家药品监督管理局数字健康框架归类为 II 类医疗器械软件（SaMD）；在韩国则经由食品药品安全部（MFDS）数字健康软件上市前申报（2024）[18]；在国际层面，应对接 IEC 62304（医疗软件生命周期）与 ISO 13485（质量管理）。</w:t>
      </w:r>
    </w:p>
    <w:p/>
    <w:p>
      <w:r>
        <w:rPr>
          <w:rFonts w:ascii="Calibri" w:hAnsi="Calibri" w:eastAsia="等线"/>
          <w:b/>
          <w:color w:val="0F172A"/>
          <w:sz w:val="26"/>
        </w:rPr>
        <w:t>4.5 局限</w:t>
      </w:r>
    </w:p>
    <w:p/>
    <w:p>
      <w:r>
        <w:rPr>
          <w:rFonts w:ascii="Calibri" w:hAnsi="Calibri" w:eastAsia="等线"/>
          <w:b w:val="0"/>
          <w:i w:val="0"/>
          <w:sz w:val="22"/>
        </w:rPr>
        <w:t>第一，演示数据由公开统计模拟而来，尚未采集经验证的工业队列，故预期效应量为示意性而非实证性。第二，AI 风险模块在本 MVP 中仅作规约，尚未部署或基准测试。第三，隐私与安全实现于前端最佳实践层面，端到端审计（ISO/IEC 27001）尚待完成。第四，语言覆盖仅限中韩，尚未服务东南亚劳动力市场。</w:t>
      </w:r>
    </w:p>
    <w:p/>
    <w:p>
      <w:r>
        <w:rPr>
          <w:rFonts w:ascii="Calibri" w:hAnsi="Calibri" w:eastAsia="等线"/>
          <w:b/>
          <w:color w:val="0F172A"/>
          <w:sz w:val="26"/>
        </w:rPr>
        <w:t>4.6 未来工作</w:t>
      </w:r>
    </w:p>
    <w:p/>
    <w:p>
      <w:r>
        <w:rPr>
          <w:rFonts w:ascii="Calibri" w:hAnsi="Calibri" w:eastAsia="等线"/>
          <w:b w:val="0"/>
          <w:i w:val="0"/>
          <w:sz w:val="22"/>
        </w:rPr>
        <w:t>路线图从中韩合资企业的两厂试点（2026 Q3）与 500 人前瞻队列（2026 Q4），推进至 MFDS 上市前申报（2027 Q1）、同行评议发表并扩展至 10 个园区（2027 Q2），以及东南亚语言扩展（2027 Q4）。任何前瞻队列都将在双重机构审查委员会监督与《赫尔辛基宣言》原则下开展。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5. 结论</w:t>
      </w:r>
    </w:p>
    <w:p/>
    <w:p>
      <w:r>
        <w:rPr>
          <w:rFonts w:ascii="Calibri" w:hAnsi="Calibri" w:eastAsia="等线"/>
          <w:b w:val="0"/>
          <w:i w:val="0"/>
          <w:sz w:val="22"/>
        </w:rPr>
        <w:t xml:space="preserve">工心守护交付了一个可复现、对齐标准、双语的原型，回应了数字健康竞赛 </w:t>
      </w:r>
      <w:r>
        <w:rPr>
          <w:rFonts w:ascii="Calibri" w:hAnsi="Calibri" w:eastAsia="等线"/>
          <w:b w:val="0"/>
          <w:i/>
          <w:sz w:val="22"/>
        </w:rPr>
        <w:t>产业安全</w:t>
      </w:r>
      <w:r>
        <w:rPr>
          <w:rFonts w:ascii="Calibri" w:hAnsi="Calibri" w:eastAsia="等线"/>
          <w:b w:val="0"/>
          <w:i w:val="0"/>
          <w:sz w:val="22"/>
        </w:rPr>
        <w:t xml:space="preserve"> 命题。通过将实时监测、AI 风险预测、AED 物联调度、语音引导 CPR 响应、持证培训与安全分析整合为单一闭环——并以已部署的 Web 客户端、MIT 许可的源代码与一键韩文 PDF 形式打包交付——该交付物兼具临床指南保真度、双语无障碍性与开源可复现性。这些特性使其非常适合向中韩合资园区的试点部署过渡，并适合后续的同行评议发表。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声明</w:t>
      </w:r>
    </w:p>
    <w:p/>
    <w:p>
      <w:r>
        <w:rPr>
          <w:rFonts w:ascii="Calibri" w:hAnsi="Calibri" w:eastAsia="等线"/>
          <w:b/>
          <w:color w:val="0F172A"/>
          <w:sz w:val="26"/>
        </w:rPr>
        <w:t>伦理批准与参与同意</w:t>
      </w:r>
    </w:p>
    <w:p>
      <w:r>
        <w:rPr>
          <w:rFonts w:ascii="Calibri" w:hAnsi="Calibri" w:eastAsia="等线"/>
          <w:b w:val="0"/>
          <w:i w:val="0"/>
          <w:sz w:val="22"/>
        </w:rPr>
        <w:t>不适用。本最小可行原型不涉及人类受试者、人类数据或动物对象，无需机构审查委员会批准。任何后续前瞻队列（§4.6）都将接受西安医学高等专科学校与 Kyungwoon University 的双重审查，并在《赫尔辛基宣言》原则下开展。</w:t>
      </w:r>
    </w:p>
    <w:p/>
    <w:p>
      <w:r>
        <w:rPr>
          <w:rFonts w:ascii="Calibri" w:hAnsi="Calibri" w:eastAsia="等线"/>
          <w:b/>
          <w:color w:val="0F172A"/>
          <w:sz w:val="26"/>
        </w:rPr>
        <w:t>发表同意</w:t>
      </w:r>
    </w:p>
    <w:p>
      <w:r>
        <w:rPr>
          <w:rFonts w:ascii="Calibri" w:hAnsi="Calibri" w:eastAsia="等线"/>
          <w:b w:val="0"/>
          <w:i w:val="0"/>
          <w:sz w:val="22"/>
        </w:rPr>
        <w:t>不适用。</w:t>
      </w:r>
    </w:p>
    <w:p/>
    <w:p>
      <w:r>
        <w:rPr>
          <w:rFonts w:ascii="Calibri" w:hAnsi="Calibri" w:eastAsia="等线"/>
          <w:b/>
          <w:color w:val="0F172A"/>
          <w:sz w:val="26"/>
        </w:rPr>
        <w:t>数据与材料可得性</w:t>
      </w:r>
    </w:p>
    <w:p>
      <w:r>
        <w:rPr>
          <w:rFonts w:ascii="Calibri" w:hAnsi="Calibri" w:eastAsia="等线"/>
          <w:b w:val="0"/>
          <w:i w:val="0"/>
          <w:sz w:val="22"/>
        </w:rPr>
        <w:t xml:space="preserve">本研究的源代码、模拟仪表盘数据与所生成的韩文 PDF 在项目仓库中以 MIT 许可（代码）与 CC BY 4.0（论文正文）公开发布。不含任何人类受试者数据。该交付物可在仓库根目录用 </w:t>
      </w:r>
      <w:r>
        <w:rPr>
          <w:rFonts w:ascii="Consolas" w:hAnsi="Consolas" w:eastAsia="等线"/>
          <w:b w:val="0"/>
          <w:i w:val="0"/>
          <w:sz w:val="22"/>
        </w:rPr>
        <w:t>python -m http.server</w:t>
      </w:r>
      <w:r>
        <w:rPr>
          <w:rFonts w:ascii="Calibri" w:hAnsi="Calibri" w:eastAsia="等线"/>
          <w:b w:val="0"/>
          <w:i w:val="0"/>
          <w:sz w:val="22"/>
        </w:rPr>
        <w:t xml:space="preserve"> 在本地复现。</w:t>
      </w:r>
    </w:p>
    <w:p/>
    <w:p>
      <w:r>
        <w:rPr>
          <w:rFonts w:ascii="Calibri" w:hAnsi="Calibri" w:eastAsia="等线"/>
          <w:b/>
          <w:color w:val="0F172A"/>
          <w:sz w:val="26"/>
        </w:rPr>
        <w:t>利益冲突</w:t>
      </w:r>
    </w:p>
    <w:p>
      <w:r>
        <w:rPr>
          <w:rFonts w:ascii="Calibri" w:hAnsi="Calibri" w:eastAsia="等线"/>
          <w:b w:val="0"/>
          <w:i w:val="0"/>
          <w:sz w:val="22"/>
        </w:rPr>
        <w:t>作者声明无利益冲突。</w:t>
      </w:r>
    </w:p>
    <w:p/>
    <w:p>
      <w:r>
        <w:rPr>
          <w:rFonts w:ascii="Calibri" w:hAnsi="Calibri" w:eastAsia="等线"/>
          <w:b/>
          <w:color w:val="0F172A"/>
          <w:sz w:val="26"/>
        </w:rPr>
        <w:t>资金</w:t>
      </w:r>
    </w:p>
    <w:p>
      <w:r>
        <w:rPr>
          <w:rFonts w:ascii="Calibri" w:hAnsi="Calibri" w:eastAsia="等线"/>
          <w:b w:val="0"/>
          <w:i w:val="0"/>
          <w:sz w:val="22"/>
        </w:rPr>
        <w:t>本工作未获得外部资金资助。</w:t>
      </w:r>
      <w:r>
        <w:rPr>
          <w:rFonts w:ascii="Calibri" w:hAnsi="Calibri" w:eastAsia="等线"/>
          <w:b w:val="0"/>
          <w:i/>
          <w:sz w:val="22"/>
        </w:rPr>
        <w:t>（如适用，将在投稿时更新。）</w:t>
      </w:r>
    </w:p>
    <w:p/>
    <w:p>
      <w:r>
        <w:rPr>
          <w:rFonts w:ascii="Calibri" w:hAnsi="Calibri" w:eastAsia="等线"/>
          <w:b/>
          <w:color w:val="0F172A"/>
          <w:sz w:val="26"/>
        </w:rPr>
        <w:t>作者贡献</w:t>
      </w:r>
    </w:p>
    <w:p>
      <w:r>
        <w:rPr>
          <w:rFonts w:ascii="Calibri" w:hAnsi="Calibri" w:eastAsia="等线"/>
          <w:b w:val="0"/>
          <w:i w:val="0"/>
          <w:sz w:val="22"/>
        </w:rPr>
        <w:t>J.W. 构思研究、设计并实现平台、执行评估并撰写稿件。作者已阅读并批准最终稿件。</w:t>
      </w:r>
    </w:p>
    <w:p/>
    <w:p>
      <w:r>
        <w:rPr>
          <w:rFonts w:ascii="Calibri" w:hAnsi="Calibri" w:eastAsia="等线"/>
          <w:b/>
          <w:color w:val="0F172A"/>
          <w:sz w:val="26"/>
        </w:rPr>
        <w:t>致谢</w:t>
      </w:r>
    </w:p>
    <w:p>
      <w:r>
        <w:rPr>
          <w:rFonts w:ascii="Calibri" w:hAnsi="Calibri" w:eastAsia="等线"/>
          <w:b w:val="0"/>
          <w:i w:val="0"/>
          <w:sz w:val="22"/>
        </w:rPr>
        <w:t>作者感谢西安医学高等专科学校与 Kyungwoon University 同仁的非正式讨论。</w:t>
      </w:r>
    </w:p>
    <w:p/>
    <w:p>
      <w:r>
        <w:rPr>
          <w:rFonts w:ascii="Calibri" w:hAnsi="Calibri" w:eastAsia="等线"/>
          <w:b/>
          <w:color w:val="0F172A"/>
          <w:sz w:val="26"/>
        </w:rPr>
        <w:t>人工智能使用（符合 ICMJE/COPE 的披露）</w:t>
      </w:r>
    </w:p>
    <w:p>
      <w:r>
        <w:rPr>
          <w:rFonts w:ascii="Calibri" w:hAnsi="Calibri" w:eastAsia="等线"/>
          <w:b w:val="0"/>
          <w:i w:val="0"/>
          <w:sz w:val="22"/>
        </w:rPr>
        <w:t xml:space="preserve">生成式 AI </w:t>
      </w:r>
      <w:r>
        <w:rPr>
          <w:rFonts w:ascii="Calibri" w:hAnsi="Calibri" w:eastAsia="等线"/>
          <w:b/>
          <w:i w:val="0"/>
          <w:sz w:val="22"/>
        </w:rPr>
        <w:t>仅用于对作者起草文字的语言润色及样板代码脚手架</w:t>
      </w:r>
      <w:r>
        <w:rPr>
          <w:rFonts w:ascii="Calibri" w:hAnsi="Calibri" w:eastAsia="等线"/>
          <w:b w:val="0"/>
          <w:i w:val="0"/>
          <w:sz w:val="22"/>
        </w:rPr>
        <w:t>（如 CSS 渐变、ARIA 片段、构建配置）。作者已审阅并对每一行代码、每一条临床引用、每一项定量预测及本稿件的每一段落承担全部责任。</w:t>
      </w:r>
      <w:r>
        <w:rPr>
          <w:rFonts w:ascii="Calibri" w:hAnsi="Calibri" w:eastAsia="等线"/>
          <w:b/>
          <w:i w:val="0"/>
          <w:sz w:val="22"/>
        </w:rPr>
        <w:t>本工作期间没有任何患者、受试者或临床记录数据被提供给 AI 系统。</w:t>
      </w:r>
    </w:p>
    <w:p/>
    <w:p>
      <w:r>
        <w:br/>
      </w:r>
    </w:p>
    <w:p/>
    <w:p>
      <w:r>
        <w:rPr>
          <w:rFonts w:ascii="Calibri" w:hAnsi="Calibri" w:eastAsia="等线"/>
          <w:b/>
          <w:color w:val="DC2626"/>
          <w:sz w:val="32"/>
        </w:rPr>
        <w:t>参考文献</w:t>
      </w:r>
    </w:p>
    <w:p/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Tsao CW, Aday AW, Almarzooq ZI, et al. Heart Disease and Stroke Statistics—2025 Update. </w:t>
      </w:r>
      <w:r>
        <w:rPr>
          <w:rFonts w:ascii="Calibri" w:hAnsi="Calibri" w:eastAsia="等线"/>
          <w:b w:val="0"/>
          <w:i/>
          <w:sz w:val="22"/>
        </w:rPr>
        <w:t>Circulation</w:t>
      </w:r>
      <w:r>
        <w:rPr>
          <w:rFonts w:ascii="Calibri" w:hAnsi="Calibri" w:eastAsia="等线"/>
          <w:b w:val="0"/>
          <w:i w:val="0"/>
          <w:sz w:val="22"/>
        </w:rPr>
        <w:t>. 2025;151(1):e1-e150.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Virtanen M, Heikkilä K, Jokela M, et al. Long working hours and coronary heart disease: a systematic review and meta-analysis. </w:t>
      </w:r>
      <w:r>
        <w:rPr>
          <w:rFonts w:ascii="Calibri" w:hAnsi="Calibri" w:eastAsia="等线"/>
          <w:b w:val="0"/>
          <w:i/>
          <w:sz w:val="22"/>
        </w:rPr>
        <w:t>Am J Epidemiol</w:t>
      </w:r>
      <w:r>
        <w:rPr>
          <w:rFonts w:ascii="Calibri" w:hAnsi="Calibri" w:eastAsia="等线"/>
          <w:b w:val="0"/>
          <w:i w:val="0"/>
          <w:sz w:val="22"/>
        </w:rPr>
        <w:t>. 2012;176(7):586-596.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Vyas MV, Garg AX, Iansavichus AV, et al. Shift work and vascular events: systematic review and meta-analysis. </w:t>
      </w:r>
      <w:r>
        <w:rPr>
          <w:rFonts w:ascii="Calibri" w:hAnsi="Calibri" w:eastAsia="等线"/>
          <w:b w:val="0"/>
          <w:i/>
          <w:sz w:val="22"/>
        </w:rPr>
        <w:t>BMJ</w:t>
      </w:r>
      <w:r>
        <w:rPr>
          <w:rFonts w:ascii="Calibri" w:hAnsi="Calibri" w:eastAsia="等线"/>
          <w:b w:val="0"/>
          <w:i w:val="0"/>
          <w:sz w:val="22"/>
        </w:rPr>
        <w:t>. 2012;345:e4800.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Lee SY, Shin SD, Lee YJ, et al. Functional status and maintenance compliance of publicly accessible automated external defibrillators in metropolitan Seoul. </w:t>
      </w:r>
      <w:r>
        <w:rPr>
          <w:rFonts w:ascii="Calibri" w:hAnsi="Calibri" w:eastAsia="等线"/>
          <w:b w:val="0"/>
          <w:i/>
          <w:sz w:val="22"/>
        </w:rPr>
        <w:t>Resuscitation</w:t>
      </w:r>
      <w:r>
        <w:rPr>
          <w:rFonts w:ascii="Calibri" w:hAnsi="Calibri" w:eastAsia="等线"/>
          <w:b w:val="0"/>
          <w:i w:val="0"/>
          <w:sz w:val="22"/>
        </w:rPr>
        <w:t>. 2019;138:198-204.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Chen Y, Yu Y, Zhang J, et al. Bystander CPR awareness in Chinese industrial workers: a multi-province cross-sectional survey. </w:t>
      </w:r>
      <w:r>
        <w:rPr>
          <w:rFonts w:ascii="Calibri" w:hAnsi="Calibri" w:eastAsia="等线"/>
          <w:b w:val="0"/>
          <w:i/>
          <w:sz w:val="22"/>
        </w:rPr>
        <w:t>BMC Public Health</w:t>
      </w:r>
      <w:r>
        <w:rPr>
          <w:rFonts w:ascii="Calibri" w:hAnsi="Calibri" w:eastAsia="等线"/>
          <w:b w:val="0"/>
          <w:i w:val="0"/>
          <w:sz w:val="22"/>
        </w:rPr>
        <w:t>. 2023;23(1):102.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World Health Organization. Global Strategy on Digital Health 2020–2025. Geneva: WHO; 2021.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International Labour Organization. Vision Zero Fund Annual Report 2023. Geneva: ILO; 2024.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Ministry of Employment and Labor, Republic of Korea. 5th Comprehensive Plan for Industrial Accident Prevention. Sejong: MoEL; 2023.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American Heart Association. 2025 ECC &amp; CPR Guidelines. Dallas, TX: AHA; 2025.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Perkins GD, Graesner JT, Semeraro F, et al. European Resuscitation Council Guidelines 2021. </w:t>
      </w:r>
      <w:r>
        <w:rPr>
          <w:rFonts w:ascii="Calibri" w:hAnsi="Calibri" w:eastAsia="等线"/>
          <w:b w:val="0"/>
          <w:i/>
          <w:sz w:val="22"/>
        </w:rPr>
        <w:t>Resuscitation</w:t>
      </w:r>
      <w:r>
        <w:rPr>
          <w:rFonts w:ascii="Calibri" w:hAnsi="Calibri" w:eastAsia="等线"/>
          <w:b w:val="0"/>
          <w:i w:val="0"/>
          <w:sz w:val="22"/>
        </w:rPr>
        <w:t>. 2021;161:1-60.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Korean Association of Cardiopulmonary Resuscitation (KACPR). 2025 Korean Guidelines for CPR and ECC. Seoul: KACPR; 2025.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Brooks SC, Simmons G, Worthington H, et al. The PulsePoint Respond mobile app and time-to-CPR. </w:t>
      </w:r>
      <w:r>
        <w:rPr>
          <w:rFonts w:ascii="Calibri" w:hAnsi="Calibri" w:eastAsia="等线"/>
          <w:b w:val="0"/>
          <w:i/>
          <w:sz w:val="22"/>
        </w:rPr>
        <w:t>Resuscitation</w:t>
      </w:r>
      <w:r>
        <w:rPr>
          <w:rFonts w:ascii="Calibri" w:hAnsi="Calibri" w:eastAsia="等线"/>
          <w:b w:val="0"/>
          <w:i w:val="0"/>
          <w:sz w:val="22"/>
        </w:rPr>
        <w:t>. 2020;146:13-18.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Korean Ministry of Health and Welfare. AED Map National Registry. Seoul: MoHW; 2024.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Perez MV, Mahaffey KW, Hedlin H, et al. Large-scale assessment of a smartwatch to identify atrial fibrillation. </w:t>
      </w:r>
      <w:r>
        <w:rPr>
          <w:rFonts w:ascii="Calibri" w:hAnsi="Calibri" w:eastAsia="等线"/>
          <w:b w:val="0"/>
          <w:i/>
          <w:sz w:val="22"/>
        </w:rPr>
        <w:t>N Engl J Med</w:t>
      </w:r>
      <w:r>
        <w:rPr>
          <w:rFonts w:ascii="Calibri" w:hAnsi="Calibri" w:eastAsia="等线"/>
          <w:b w:val="0"/>
          <w:i w:val="0"/>
          <w:sz w:val="22"/>
        </w:rPr>
        <w:t>. 2019;381(20):1909-1917.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International Organization for Standardization. ISO 45001:2018 Occupational health and safety management systems—Requirements with guidance for use. Geneva: ISO; 2018.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McDonagh TA, Metra M, Adamo M, et al. 2023 Focused Update of the 2021 ESC Guidelines for the diagnosis and treatment of acute and chronic heart failure. </w:t>
      </w:r>
      <w:r>
        <w:rPr>
          <w:rFonts w:ascii="Calibri" w:hAnsi="Calibri" w:eastAsia="等线"/>
          <w:b w:val="0"/>
          <w:i/>
          <w:sz w:val="22"/>
        </w:rPr>
        <w:t>Eur Heart J</w:t>
      </w:r>
      <w:r>
        <w:rPr>
          <w:rFonts w:ascii="Calibri" w:hAnsi="Calibri" w:eastAsia="等线"/>
          <w:b w:val="0"/>
          <w:i w:val="0"/>
          <w:sz w:val="22"/>
        </w:rPr>
        <w:t>. 2023;44(37):3627-3639.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Lundberg SM, Lee SI. A unified approach to interpreting model predictions. </w:t>
      </w:r>
      <w:r>
        <w:rPr>
          <w:rFonts w:ascii="Calibri" w:hAnsi="Calibri" w:eastAsia="等线"/>
          <w:b w:val="0"/>
          <w:i/>
          <w:sz w:val="22"/>
        </w:rPr>
        <w:t>Adv Neural Inf Process Syst (NeurIPS)</w:t>
      </w:r>
      <w:r>
        <w:rPr>
          <w:rFonts w:ascii="Calibri" w:hAnsi="Calibri" w:eastAsia="等线"/>
          <w:b w:val="0"/>
          <w:i w:val="0"/>
          <w:sz w:val="22"/>
        </w:rPr>
        <w:t>. 2017;30:4768-4777.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Ministry of Food and Drug Safety (MFDS), Republic of Korea. Digital Health Software Guideline. Cheongju: MFDS; 2024.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 xml:space="preserve">McNally B, Robb R, Mehta M, et al. Cardiac Arrest Registry to Enhance Survival (CARES). </w:t>
      </w:r>
      <w:r>
        <w:rPr>
          <w:rFonts w:ascii="Calibri" w:hAnsi="Calibri" w:eastAsia="等线"/>
          <w:b w:val="0"/>
          <w:i/>
          <w:sz w:val="22"/>
        </w:rPr>
        <w:t>Circ Cardiovasc Qual Outcomes</w:t>
      </w:r>
      <w:r>
        <w:rPr>
          <w:rFonts w:ascii="Calibri" w:hAnsi="Calibri" w:eastAsia="等线"/>
          <w:b w:val="0"/>
          <w:i w:val="0"/>
          <w:sz w:val="22"/>
        </w:rPr>
        <w:t>. 2024.</w:t>
      </w:r>
    </w:p>
    <w:p>
      <w:pPr>
        <w:pStyle w:val="ListNumber"/>
      </w:pPr>
      <w:r>
        <w:rPr>
          <w:rFonts w:ascii="Calibri" w:hAnsi="Calibri" w:eastAsia="等线"/>
          <w:b w:val="0"/>
          <w:i w:val="0"/>
          <w:sz w:val="22"/>
        </w:rPr>
        <w:t>World Wide Web Consortium (W3C). Web Content Accessibility Guidelines (WCAG) 2.1. W3C Recommendation; 2018.</w:t>
      </w:r>
    </w:p>
    <w:p/>
    <w:p>
      <w:r>
        <w:br/>
      </w:r>
    </w:p>
    <w:p/>
    <w:p>
      <w:r>
        <w:rPr>
          <w:rFonts w:ascii="Calibri" w:hAnsi="Calibri" w:eastAsia="等线"/>
          <w:b w:val="0"/>
          <w:i/>
          <w:sz w:val="22"/>
        </w:rPr>
        <w:t>投稿于数字健康医疗竞赛 · 产业安全主题 · 2026 年。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