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4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DeFi 自动化交易基础设施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评估指标体系说明文档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Strategy Evaluation Metrics Framework</w:t>
      </w:r>
    </w:p>
    <w:p>
      <w:pPr>
        <w:pBdr>
          <w:top w:val="single" w:color="2E75B6" w:sz="4" w:space="4"/>
          <w:bottom w:val="single" w:color="2E75B6" w:sz="4" w:space="4"/>
        </w:pBdr>
        <w:spacing w:before="160" w:after="160"/>
        <w:jc w:val="center"/>
      </w:pPr>
      <w:r>
        <w:rPr>
          <w:rFonts w:ascii="Arial" w:cs="Arial" w:eastAsia="Arial" w:hAnsi="Arial"/>
          <w:color w:val="1A3A5C"/>
          <w:sz w:val="20"/>
          <w:szCs w:val="20"/>
        </w:rPr>
        <w:t xml:space="preserve">PRD 附属文档  |  版本 1.0  |  2026</w:t>
      </w:r>
    </w:p>
    <w:p>
      <w:pPr>
        <w:spacing w:before="0" w:after="32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一、文档目的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本文档定义策略评估阶段（VALIDATED → EVALUATED）使用的完整指标体系，包括每个指标的计算口径、适用场景和优先级关系。目标是确保所有评估结果客观、可复现、可被 AI Agent 自动消费。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指标体系的设计原则：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口径统一：</w:t>
      </w:r>
      <w:r>
        <w:rPr>
          <w:rFonts w:ascii="Arial" w:cs="Arial" w:eastAsia="Arial" w:hAnsi="Arial"/>
          <w:sz w:val="20"/>
          <w:szCs w:val="20"/>
        </w:rPr>
        <w:t xml:space="preserve"> 每个指标的计算公式、单位、时间窗口明确定义，不同策略使用相同口径，结果可横向对比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DeFi 适配：</w:t>
      </w:r>
      <w:r>
        <w:rPr>
          <w:rFonts w:ascii="Arial" w:cs="Arial" w:eastAsia="Arial" w:hAnsi="Arial"/>
          <w:sz w:val="20"/>
          <w:szCs w:val="20"/>
        </w:rPr>
        <w:t xml:space="preserve"> 充分考虑 DeFi 特有因素：Gas 成本、无常损失（IL）、链上延迟、MEV 损耗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分层分类：</w:t>
      </w:r>
      <w:r>
        <w:rPr>
          <w:rFonts w:ascii="Arial" w:cs="Arial" w:eastAsia="Arial" w:hAnsi="Arial"/>
          <w:sz w:val="20"/>
          <w:szCs w:val="20"/>
        </w:rPr>
        <w:t xml:space="preserve"> 指标按收益、风险、成本、效率、健康五类组织，避免单一维度的误导性结论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场景差异化：</w:t>
      </w:r>
      <w:r>
        <w:rPr>
          <w:rFonts w:ascii="Arial" w:cs="Arial" w:eastAsia="Arial" w:hAnsi="Arial"/>
          <w:sz w:val="20"/>
          <w:szCs w:val="20"/>
        </w:rPr>
        <w:t xml:space="preserve"> 回测与蒙特卡洛模拟使用相同指标但不同阈值，链上与链下数据分别追踪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二、指标全景总览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评估体系共包含 5 大类、25 个核心指标：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560"/>
        <w:gridCol w:w="2000"/>
      </w:tblGrid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简称</w:t>
            </w:r>
          </w:p>
        </w:tc>
        <w:tc>
          <w:tcPr>
            <w:tcW w:type="dxa" w:w="4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涵盖指标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核心用途</w:t>
            </w:r>
          </w:p>
        </w:tc>
      </w:tr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收益类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</w:t>
            </w:r>
          </w:p>
        </w:tc>
        <w:tc>
          <w:tcPr>
            <w:tcW w:type="dxa" w:w="4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净收益率、年化收益率、Sharpe Ratio、Sortino Ratio、Calmar Ratio、盈亏比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衡量策略赚多少</w:t>
            </w:r>
          </w:p>
        </w:tc>
      </w:tr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风险类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</w:t>
            </w:r>
          </w:p>
        </w:tc>
        <w:tc>
          <w:tcPr>
            <w:tcW w:type="dxa" w:w="4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最大回撤、平均回撤、回撤持续期、波动率、下行波动率、VaR（95%）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衡量策略亏多少</w:t>
            </w:r>
          </w:p>
        </w:tc>
      </w:tr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成本类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</w:t>
            </w:r>
          </w:p>
        </w:tc>
        <w:tc>
          <w:tcPr>
            <w:tcW w:type="dxa" w:w="4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Gas 成本占比、实际滑点、MEV 损耗估算、无常损失（IL）、协议手续费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衡量策略花多少</w:t>
            </w:r>
          </w:p>
        </w:tc>
      </w:tr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效率类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EFFICIENCY</w:t>
            </w:r>
          </w:p>
        </w:tc>
        <w:tc>
          <w:tcPr>
            <w:tcW w:type="dxa" w:w="4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资金利用率、交易成功率、平均持仓时长、换手率、信号触发频率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衡量资金用得好不好</w:t>
            </w:r>
          </w:p>
        </w:tc>
      </w:tr>
      <w:tr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健康类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</w:t>
            </w:r>
          </w:p>
        </w:tc>
        <w:tc>
          <w:tcPr>
            <w:tcW w:type="dxa" w:w="4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对账差异率、数据新鲜度、熔断触发率、链上确认延迟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衡量基础设施是否正常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三、收益类指标（RETURN）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收益类指标衡量策略的盈利能力，所有收益均以 U 本位（USDC/USDT）计算，排除代币价格本身的涨跌影响。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净收益率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计算公式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净收益率 = (期末净值 - 期初净值) / 期初净值 × 100%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计算口径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期末净值 = 链上资产 MtM 估值 + 已实现收益 + 未领取奖励 - 未偿还债务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时间单位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以自然日为基准单位，支持任意时间区间聚合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 本位说明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所有资产折算为 USDC，使用三源预言机中位价，非 Slot0 价格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排除项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不包含：代币价格波动导致的账面浮盈浮亏（即非 DeFi 策略收益部分）</w:t>
            </w:r>
          </w:p>
        </w:tc>
      </w:tr>
    </w:tbl>
    <w:p>
      <w:pPr>
        <w:spacing w:before="0" w:after="128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Sharpe Ratio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计算公式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Sharpe = 年化超额收益 / 年化收益标准差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超额收益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 场景无风险利率 = 0（不使用传统金融的国债利率）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年化方式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日收益率 × 365，或区块收益率 × (365 × 7200)（按以太坊平均出块数）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收益频率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以每个策略执行周期（区块或自定义间隔）为最小单位计算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适用场景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回测（历史数据）和蒙特卡洛模拟（随机路径）均使用此公式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注意事项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Sharpe 对正态分布假设敏感，须配合 Sortino Ratio 使用以补充非对称风险信息</w:t>
            </w:r>
          </w:p>
        </w:tc>
      </w:tr>
    </w:tbl>
    <w:p>
      <w:pPr>
        <w:spacing w:before="0" w:after="128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Sortino Ratio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计算公式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Sortino = 年化超额收益 / 年化下行标准差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下行标准差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仅统计收益为负的周期，正收益周期不计入分母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优势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比 Sharpe 更适合 DeFi 策略：上涨波动不应被惩罚，只有下行风险才是真正风险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与 Sharpe 的关系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Sortino ≥ Sharpe（因为分母更小），两者差距越大说明策略上行弹性越好</w:t>
            </w:r>
          </w:p>
        </w:tc>
      </w:tr>
    </w:tbl>
    <w:p>
      <w:pPr>
        <w:spacing w:before="0" w:after="128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盈亏比（Profit Factor）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计算公式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Profit Factor = 总盈利之和 / |总亏损之和|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统计粒度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以每次完整的开仓-平仓为一个计算单元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解读方式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PF = 1.3 表示每亏 1U，平均盈利 1.3U；PF &lt; 1 表示长期必亏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注意事项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样本量须 ≥ 30 次完整交易，样本过少的 PF 无统计意义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四、风险类指标（RISK）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风险类指标衡量策略的损失暴露程度，是验证门控中权重最高的一类。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最大回撤（MDD）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计算公式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MDD = (波峰净值 - 波谷净值) / 波峰净值 × 100%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统计方式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以策略全生命周期的历史最高净值为波峰起点，滚动计算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 本位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所有净值以 USDC 计价，排除代币价格波动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与 Calmar 的关系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Calmar Ratio = 年化收益率 / MDD，综合衡量每单位回撤换来多少收益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预警机制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实时 MDD 超过回测 MDD 的 1.5 倍时，自动触发策略暂停告警</w:t>
            </w:r>
          </w:p>
        </w:tc>
      </w:tr>
    </w:tbl>
    <w:p>
      <w:pPr>
        <w:spacing w:before="0" w:after="128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下行波动率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计算公式</w:t>
            </w:r>
          </w:p>
        </w:tc>
        <w:tc>
          <w:tcPr>
            <w:tcW w:type="dxa" w:w="6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下行标准差 = sqrt(mean(min(r - target, 0)^2))，target 通常取 0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与普通波动率的区别</w:t>
            </w:r>
          </w:p>
        </w:tc>
        <w:tc>
          <w:tcPr>
            <w:tcW w:type="dxa" w:w="6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普通波动率惩罚上涨波动；下行波动率只关注亏损周期的离散程度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适用场景</w:t>
            </w:r>
          </w:p>
        </w:tc>
        <w:tc>
          <w:tcPr>
            <w:tcW w:type="dxa" w:w="6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做市策略和收益聚合策略更应关注下行波动率，而非总波动率</w:t>
            </w:r>
          </w:p>
        </w:tc>
      </w:tr>
    </w:tbl>
    <w:p>
      <w:pPr>
        <w:spacing w:before="0" w:after="128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VaR（95% 置信区间）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含义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在 95% 的情况下，单日最大损失不超过 VaR 值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计算方法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历史模拟法：取历史日收益分布的第 5 百分位数（负值取绝对值）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报告形式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以 U 本位绝对金额表示，如「VaR(95%) = $3,200」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局限性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 不描述超出置信区间后的极端损失，须配合压力测试结果使用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五、成本类指标（COST）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成本类指标是 DeFi 策略评估中最容易被忽视、也最容易导致「回测盈利实盘亏损」的关键维度。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Gas 成本占比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计算公式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Gas 占比 = 累计 Gas 费用 / 累计毛收益 × 100%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Gas 费用计算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gasUsed × effectiveGasPrice，以执行时 ETH 价格折算为 USDC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统计范围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包含策略执行的全部交易：开仓、平仓、再平衡、收益领取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净收益公式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净收益 = 毛收益 - Gas 费用 - 滑点损耗 - 协议手续费 - MEV 损耗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注意事项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回测中须使用历史真实 Gas 数据，不得使用当前 Gas 价格估算历史成本</w:t>
            </w:r>
          </w:p>
        </w:tc>
      </w:tr>
    </w:tbl>
    <w:p>
      <w:pPr>
        <w:spacing w:before="0" w:after="128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无常损失（IL）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定义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提供流动性相比直接持有资产的机会成本损失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计算公式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IL = 2 × sqrt(price_ratio) / (1 + price_ratio) - 1，price_ratio = 现价 / 入场价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适用策略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仅适用于 AMM 做市策略（Uniswap V3/V4 集中流动性）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报告形式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以百分比表示，并换算为 U 本位绝对金额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与手续费收入的关系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净做市收益 = 手续费收入 - 无常损失；两者必须同时追踪，不可只看其一</w:t>
            </w:r>
          </w:p>
        </w:tc>
      </w:tr>
    </w:tbl>
    <w:p>
      <w:pPr>
        <w:spacing w:before="0" w:after="128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MEV 损耗估算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含义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策略交易被夹击（sandwich）或抢先（frontrun）导致的额外滑点损耗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估算方法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对比交易的预期执行价（提交时）与实际执行价（上链后），差值即为 MEV 损耗估算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使用 Flashbots 的影响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私有中继可降低 MEV 损耗，须分别统计公开 mempool 与私有路由的损耗差异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报告触发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单次 MEV 损耗超过交易规模 0.3% 时，记录为高危 MEV 事件，纳入策略风险评分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六、效率类指标（EFFICIENCY）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效率类指标衡量策略对资金的使用效率和执行质量，是识别「占着资金不干活」问题的关键维度。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资金利用率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计算公式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资金利用率 = 平均活跃持仓规模 / 分配给策略的资金总量 × 100%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统计周期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以每日收盘时的持仓快照计算，取评估区间内的算术平均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解读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40%：资金大量闲置，策略效率低；40%–80%：正常范围；&gt; 90%：警惕过度杠杆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注意事项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跨链再平衡策略的「在途资金」须计入活跃持仓，不得计为闲置</w:t>
            </w:r>
          </w:p>
        </w:tc>
      </w:tr>
    </w:tbl>
    <w:p>
      <w:pPr>
        <w:spacing w:before="0" w:after="128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交易成功率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计算公式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成功率 = 成功确认的交易数 / 发起的交易总数 × 100%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失败分类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链上 Revert / Gas 不足 / 签名超时 / 滑点超限自动取消 / Nonce 冲突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分类统计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须分别统计各类失败原因的占比，以便定向优化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关联指标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高失败率通常伴随 Gas 浪费（revert 交易仍消耗 Gas）和执行延迟</w:t>
            </w:r>
          </w:p>
        </w:tc>
      </w:tr>
    </w:tbl>
    <w:p>
      <w:pPr>
        <w:spacing w:before="0" w:after="128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换手率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计算公式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年化换手率 = (买入总额 + 卖出总额) / 2 / 平均净值 × (365 / 统计天数)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用途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换手率过高通常意味着 Gas 成本侵蚀显著；换手率过低可能意味着策略响应迟钝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参考范围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做市策略：100%–500%/年；套利策略：1000%–5000%/年；收益聚合：10%–100%/年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七、健康类指标（HEALTH）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健康类指标衡量基础设施层的运行质量，是策略能否稳定生产的前提条件。健康类指标不计入收益评分，但任何一项严重异常均可触发策略暂停。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00"/>
        <w:gridCol w:w="2560"/>
      </w:tblGrid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计算方式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健康阈值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异常触发动作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对账差异率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账本余额与链上实际余额之差 / 链上余额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0（零容忍）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立即暂停策略，触发人工核查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数据新鲜度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当前区块 - 最新同步区块（SyncBlock）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2 个区块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抛出 StaleDataError，停止发单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熔断触发率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每日三源预言机熔断次数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5 次 / 天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超出则审查阈值设置是否合理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链上确认延迟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从广播到 CONFIRMED 的平均等待区块数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3 个区块（正常 Gas）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延迟过长触发阶梯 Gas 加速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FSM 异常率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进入非预期状态（如卡在 BROADCASTED）的交易占比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0.1%</w:t>
            </w:r>
          </w:p>
        </w:tc>
        <w:tc>
          <w:tcPr>
            <w:tcW w:type="dxa" w:w="2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记录异常，触发自愈逻辑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八、指标优先级与综合评分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当多项指标出现冲突时，按以下优先级框架进行综合判断：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指标层级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560"/>
        <w:gridCol w:w="3200"/>
      </w:tblGrid>
      <w:tr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规则</w:t>
            </w:r>
          </w:p>
        </w:tc>
      </w:tr>
      <w:tr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L1（否决）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健康类全部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对账差异率、数据新鲜度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任意一项异常 → 立即否决，不进行后续评分</w:t>
            </w:r>
          </w:p>
        </w:tc>
      </w:tr>
      <w:tr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L2（硬性）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风险类核心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最大回撤、VaR(95%)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超过阈值 → 整体判定失败，不可用其他指标抵消</w:t>
            </w:r>
          </w:p>
        </w:tc>
      </w:tr>
      <w:tr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L3（主评）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收益类核心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Sharpe、Sortino、Profit Factor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核心评分指标，决定策略是否达到上线标准</w:t>
            </w:r>
          </w:p>
        </w:tc>
      </w:tr>
      <w:tr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L4（成本）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成本类全部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Gas 占比、IL、MEV 损耗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成本过高单独判定失败，不与收益指标互补</w:t>
            </w:r>
          </w:p>
        </w:tc>
      </w:tr>
      <w:tr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L5（参考）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效率类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资金利用率、换手率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不作为硬性门控，仅作为优化建议输出</w:t>
            </w:r>
          </w:p>
        </w:tc>
      </w:tr>
    </w:tbl>
    <w:p>
      <w:pPr>
        <w:spacing w:before="0" w:after="128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综合评分计算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通过所有硬性门控（L1–L4）后，系统计算综合评分用于策略排名和优化方向指引：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权重</w:t>
            </w:r>
          </w:p>
        </w:tc>
        <w:tc>
          <w:tcPr>
            <w:tcW w:type="dxa" w:w="5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计算方式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收益得分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40%</w:t>
            </w:r>
          </w:p>
        </w:tc>
        <w:tc>
          <w:tcPr>
            <w:tcW w:type="dxa" w:w="5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Sharpe、Sortino、Calmar 归一化后加权平均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风险得分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30%</w:t>
            </w:r>
          </w:p>
        </w:tc>
        <w:tc>
          <w:tcPr>
            <w:tcW w:type="dxa" w:w="5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MDD、下行波动率反向归一化（越低越好）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成本得分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20%</w:t>
            </w:r>
          </w:p>
        </w:tc>
        <w:tc>
          <w:tcPr>
            <w:tcW w:type="dxa" w:w="5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Gas 占比、IL、MEV 损耗反向归一化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效率得分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10%</w:t>
            </w:r>
          </w:p>
        </w:tc>
        <w:tc>
          <w:tcPr>
            <w:tcW w:type="dxa" w:w="5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资金利用率、交易成功率归一化平均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说明：</w:t>
      </w:r>
      <w:r>
        <w:rPr>
          <w:rFonts w:ascii="Arial" w:cs="Arial" w:eastAsia="Arial" w:hAnsi="Arial"/>
          <w:sz w:val="20"/>
          <w:szCs w:val="20"/>
        </w:rPr>
        <w:t xml:space="preserve"> 综合评分（0–100分）仅用于策略横向比较和 AI 优化方向指引，不作为上线的硬性门控。上线唯一标准是通过 G1–G8 全部关卡。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九、回测与蒙特卡洛的指标差异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同一套指标在不同评估场景下的计算数据源和参考阈值存在差异：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1800"/>
        <w:gridCol w:w="2360"/>
      </w:tblGrid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回测数据源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回测阈值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蒙卡数据源</w:t>
            </w:r>
          </w:p>
        </w:tc>
        <w:tc>
          <w:tcPr>
            <w:tcW w:type="dxa" w:w="23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蒙卡阈值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Sharpe Ratio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历史真实区块数据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1.0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随机路径模拟收益</w:t>
            </w:r>
          </w:p>
        </w:tc>
        <w:tc>
          <w:tcPr>
            <w:tcW w:type="dxa" w:w="23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中位数 ≥ 0.8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最大回撤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历史净值曲线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20%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5000 轮模拟的最差分位</w:t>
            </w:r>
          </w:p>
        </w:tc>
        <w:tc>
          <w:tcPr>
            <w:tcW w:type="dxa" w:w="23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最差 5% 分位 ≤ 40%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净收益率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历史真实 PnL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正数即可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收益分布</w:t>
            </w:r>
          </w:p>
        </w:tc>
        <w:tc>
          <w:tcPr>
            <w:tcW w:type="dxa" w:w="23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正收益轮次占比 ≥ 60%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Gas 成本占比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历史真实 Gas 记录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30%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基于 Gas 随机化模拟</w:t>
            </w:r>
          </w:p>
        </w:tc>
        <w:tc>
          <w:tcPr>
            <w:tcW w:type="dxa" w:w="23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中位数 ≤ 35%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资金利用率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历史持仓快照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40%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模拟平均持仓比例</w:t>
            </w:r>
          </w:p>
        </w:tc>
        <w:tc>
          <w:tcPr>
            <w:tcW w:type="dxa" w:w="23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中位数 ≥ 35%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重要原则：</w:t>
      </w:r>
      <w:r>
        <w:rPr>
          <w:rFonts w:ascii="Arial" w:cs="Arial" w:eastAsia="Arial" w:hAnsi="Arial"/>
          <w:sz w:val="20"/>
          <w:szCs w:val="20"/>
        </w:rPr>
        <w:t xml:space="preserve"> 回测与蒙特卡洛均须通过，两者互补而非互代。回测验证历史表现，蒙卡验证统计鲁棒性。若回测优异但蒙卡结果发散，说明策略对特定历史路径过拟合。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十、评估报告输出规范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评估完成后，SDK 自动生成标准评估报告，须包含以下内容：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基础信息：</w:t>
      </w:r>
      <w:r>
        <w:rPr>
          <w:rFonts w:ascii="Arial" w:cs="Arial" w:eastAsia="Arial" w:hAnsi="Arial"/>
          <w:sz w:val="20"/>
          <w:szCs w:val="20"/>
        </w:rPr>
        <w:t xml:space="preserve"> strategy_id、version_hash、评估时间戳、数据区块范围、随机数种子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逐指标明细：</w:t>
      </w:r>
      <w:r>
        <w:rPr>
          <w:rFonts w:ascii="Arial" w:cs="Arial" w:eastAsia="Arial" w:hAnsi="Arial"/>
          <w:sz w:val="20"/>
          <w:szCs w:val="20"/>
        </w:rPr>
        <w:t xml:space="preserve"> 25 个指标的实际值、阈值、达标状态（PASS/FAIL/WARN）、偏差百分比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综合评分：</w:t>
      </w:r>
      <w:r>
        <w:rPr>
          <w:rFonts w:ascii="Arial" w:cs="Arial" w:eastAsia="Arial" w:hAnsi="Arial"/>
          <w:sz w:val="20"/>
          <w:szCs w:val="20"/>
        </w:rPr>
        <w:t xml:space="preserve"> 各维度得分和总分，含得分的文字解读（如「Gas 成本偏高，建议优化执行频率」）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蒙卡分布图：</w:t>
      </w:r>
      <w:r>
        <w:rPr>
          <w:rFonts w:ascii="Arial" w:cs="Arial" w:eastAsia="Arial" w:hAnsi="Arial"/>
          <w:sz w:val="20"/>
          <w:szCs w:val="20"/>
        </w:rPr>
        <w:t xml:space="preserve"> 收益分布直方图数据（供前端可视化），含均值、中位数、置信区间标注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AI 优化建议：</w:t>
      </w:r>
      <w:r>
        <w:rPr>
          <w:rFonts w:ascii="Arial" w:cs="Arial" w:eastAsia="Arial" w:hAnsi="Arial"/>
          <w:sz w:val="20"/>
          <w:szCs w:val="20"/>
        </w:rPr>
        <w:t xml:space="preserve"> 基于不达标指标，自动生成针对性的优化方向描述，输入 AI 反馈飞轮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对比基准：</w:t>
      </w:r>
      <w:r>
        <w:rPr>
          <w:rFonts w:ascii="Arial" w:cs="Arial" w:eastAsia="Arial" w:hAnsi="Arial"/>
          <w:sz w:val="20"/>
          <w:szCs w:val="20"/>
        </w:rPr>
        <w:t xml:space="preserve"> 若存在同类型的历史策略，自动附上横向对比得分差异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十一、文档版本记录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200"/>
        <w:gridCol w:w="3160"/>
      </w:tblGrid>
      <w:tr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变更内容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作者</w:t>
            </w:r>
          </w:p>
        </w:tc>
      </w:tr>
      <w:tr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2026-02-25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初始版本，定义 5 大类 25 个核心指标及计算口径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 策略团队</w:t>
            </w:r>
          </w:p>
        </w:tc>
      </w:tr>
    </w:tbl>
    <w:p>
      <w:pPr>
        <w:spacing w:before="0" w:after="1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 w:after="0"/>
    </w:pPr>
    <w:r>
      <w:rPr>
        <w:rFonts w:ascii="Arial" w:cs="Arial" w:eastAsia="Arial" w:hAnsi="Arial"/>
        <w:color w:val="888888"/>
        <w:sz w:val="18"/>
        <w:szCs w:val="18"/>
      </w:rPr>
      <w:t xml:space="preserve">PRD 附属文档 v1.0  |  Strategy Evaluation Metrics Framework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160"/>
    </w:pPr>
    <w:r>
      <w:rPr>
        <w:rFonts w:ascii="Arial" w:cs="Arial" w:eastAsia="Arial" w:hAnsi="Arial"/>
        <w:color w:val="888888"/>
        <w:sz w:val="18"/>
        <w:szCs w:val="18"/>
      </w:rPr>
      <w:t xml:space="preserve">DeFi 自动化交易基础设施  |  评估指标体系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2026-02-25T07:11:15.929Z</dcterms:created>
  <dcterms:modified xsi:type="dcterms:W3CDTF">2026-02-25T07:11:15.930Z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