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DeFi 自动化交易基础设施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数据基础设施规范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Data Infrastructure Specification</w:t>
      </w:r>
    </w:p>
    <w:p>
      <w:pPr>
        <w:pBdr>
          <w:top w:val="single" w:color="2E75B6" w:sz="4" w:space="4"/>
          <w:bottom w:val="single" w:color="2E75B6" w:sz="4" w:space="4"/>
        </w:pBdr>
        <w:spacing w:before="160" w:after="160"/>
        <w:jc w:val="center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PRD 附属文档  |  版本 1.0  |  2026</w:t>
      </w:r>
    </w:p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一、文档目的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本文档定义 DeFi 自动化交易基础设施中所有数据层的规范，包括数据的获取、存储、清洗、版本管理和访问接口。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数据层是整个系统的基石，策略评估、风控熔断、对账核查均依赖高质量、可复现的数据。本规范解决三个核心问题：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一致性：</w:t>
      </w:r>
      <w:r>
        <w:rPr>
          <w:rFonts w:ascii="Arial" w:cs="Arial" w:eastAsia="Arial" w:hAnsi="Arial"/>
          <w:sz w:val="20"/>
          <w:szCs w:val="20"/>
        </w:rPr>
        <w:t xml:space="preserve"> 回测、影子模式、实盘使用完全相同的数据访问接口，策略代码无需感知数据来源差异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可复现性：</w:t>
      </w:r>
      <w:r>
        <w:rPr>
          <w:rFonts w:ascii="Arial" w:cs="Arial" w:eastAsia="Arial" w:hAnsi="Arial"/>
          <w:sz w:val="20"/>
          <w:szCs w:val="20"/>
        </w:rPr>
        <w:t xml:space="preserve"> 任意历史时间点的数据快照可被精确重建，确保验证结果可审计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新鲜度保障：</w:t>
      </w:r>
      <w:r>
        <w:rPr>
          <w:rFonts w:ascii="Arial" w:cs="Arial" w:eastAsia="Arial" w:hAnsi="Arial"/>
          <w:sz w:val="20"/>
          <w:szCs w:val="20"/>
        </w:rPr>
        <w:t xml:space="preserve"> 实盘决策使用的数据必须满足水位线要求，过期数据自动触发熔断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二、数据分层架构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系统数据按来源和用途分为四层，每层有明确的职责边界：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160"/>
        <w:gridCol w:w="3400"/>
      </w:tblGrid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数据内容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主要消费方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链上原始层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区块头、交易收据、事件日志（Event Log）、合约状态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索引器、对账模块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L2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协议解析层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DEX 价格/流动性 Tick、借贷协议 LTV、收益率曲线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策略决策引擎、预言机校验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聚合计算层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OHLCV 聚合、TWAP、波动率序列、资金利用率快照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回测引擎、蒙特卡洛模拟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L4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业务语义层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 PnL 序列、对账记录、Gas 消耗统计、验证报告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评估系统、AI 反馈飞轮、管理员仪表盘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核心原则：</w:t>
      </w:r>
      <w:r>
        <w:rPr>
          <w:rFonts w:ascii="Arial" w:cs="Arial" w:eastAsia="Arial" w:hAnsi="Arial"/>
          <w:sz w:val="20"/>
          <w:szCs w:val="20"/>
        </w:rPr>
        <w:t xml:space="preserve"> 上层数据由下层数据派生，任何 L3/L4 数据均可从 L1 原始数据完整重建。L1 数据是系统的唯一真相来源（Single Source of Truth）。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三、链上数据获取规范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RPC 节点管理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所有链上数据获取必须通过 SDK 统一的 RPC 管理层，禁止策略代码直接调用 RPC。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规范项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节点冗余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每条链至少配置 3 个 RPC 节点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主节点故障时自动切换，保障连续性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节点类型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至少 1 个自建/专用节点 + 公共节点兜底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自建节点优先，降低对第三方服务的依赖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同步检测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每次调用前检查 eth_blockNumber 是否最新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落后 &gt;2 个区块则标记为 StaleNode，切换节点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请求限速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遵循各节点的速率限制，SDK 内置退避重试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避免被封禁导致数据中断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归档节点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回测专用归档节点（Archive Node）独立配置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普通节点不保存历史状态，无法支持回测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链上读取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所有 eth_call 必须指定 block_number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禁止使用 latest 标签，防止重放不一致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事件日志（Event Log）索引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链上事件是协议解析层（L2）数据的核心来源，必须通过索引器持续同步。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索引对象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关键事件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同步延迟要求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Uniswap V3/V4 池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Swap、Mint、Burn、Collect、Flash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 个区块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借贷协议（Aave/Compound）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Deposit、Borrow、Repay、Liquidate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 个区块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代币合约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Transfer（策略相关地址）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 个区块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策略合约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全部自定义事件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 个区块（实时监控）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治理合约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ProposalCreated、VoteCast、ProposalExecuted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10 个区块（允许轻微延迟）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索引工具选择：</w:t>
      </w:r>
      <w:r>
        <w:rPr>
          <w:rFonts w:ascii="Arial" w:cs="Arial" w:eastAsia="Arial" w:hAnsi="Arial"/>
          <w:sz w:val="20"/>
          <w:szCs w:val="20"/>
        </w:rPr>
        <w:t xml:space="preserve"> 优先自建轻量索引器（基于 ethers.js 事件过滤），仅在需要复杂查询时引入 The Graph / Subgraph。自建索引器的数据须存入本地数据库，不依赖外部 API 的实时可用性。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数据水位线（High Watermark）机制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所有实盘决策必须强制通过水位线校验，确保基于最新链上状态做出判断。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校验字段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获取方式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熔断条件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触发动作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last_sync_block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索引器写入，每区块更新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CurrentBlock - SyncBlock &gt; 2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抛出 StaleDataError，停止发单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last_price_update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预言机模块写入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数据时间戳 &gt; 30 秒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标记价格为 Stale，拒绝使用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last_balance_sync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余额扫描模块写入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CurrentBlock - BalanceBlock &gt; 5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触发余额重新同步，暂停交易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rpc_node_block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 RPC 调用前检测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落后主节点 &gt; 2 个区块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自动切换至备用 RPC 节点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四、历史数据规范（回测专用）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数据精度要求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回测数据的精度决定了回测结果与实盘的接近程度，必须使用交易级别数据而非聚合 OHLCV 数据。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最低精度要求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禁止使用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价格数据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每笔 Swap 事件的精确成交价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1分钟/小时 OHLCV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OHLCV 会掩盖价格跳动和滑点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流动性数据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每个 Mint/Burn 事件后的流动性快照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日均流动性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流动性在区块内会发生剧烈变化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价格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每个区块的 baseFee + priorityFee 记录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月均 Gas 均值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成本计算必须使用历史真实值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链上延迟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每笔交易的 blockTimestamp - submitTimestamp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固定延迟假设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实际延迟在网络拥堵时会剧烈波动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历史数据存储规范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规范项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存储格式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Parquet 列式存储，按链 + 协议 + 日期三级分区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压缩方式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Snappy 压缩，平衡读取速度和存储空间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最小保留时长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全量历史数据永久保留（用于回测和审计）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数据完整性校验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每日对历史数据运行区块哈希校验，检测数据篡改或损坏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冷热分层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近 90 天热数据（SSD）；90 天以上冷数据（HDD/对象存储）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备份策略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每日全量快照备份，保留最近 30 个快照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数据版本管理与可复现性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每次回测必须能在任意未来时间点被精确复现，这要求数据具备版本快照能力。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可复现要素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校验方法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数据范围锁定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回测任务记录 start_block 和 end_block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重放时使用相同区块范围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数据版本哈希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对使用的数据集计算 SHA-256 哈希，写入报告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比对哈希确认数据未变更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协议参数快照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记录回测时各协议的手续费率、LTV 等参数版本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避免因协议升级导致历史参数变化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随机数种子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Fuzzing 和蒙特卡洛的随机数种子写入报告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使用相同种子可精确复现模拟结果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SDK 版本锁定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回测报告记录 SDK 版本号和 EVM 数学库版本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版本不同时给出差异警告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五、实时数据流规范（实盘专用）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数据流架构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实盘决策依赖低延迟的实时数据推送，采用发布-订阅模型，与历史数据存储解耦：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数据流类型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推送频率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最大延迟容忍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消费方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新区块通知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每个新区块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500ms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水位线校验、FSM 状态更新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池子价格变动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每笔 Swap 事件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个区块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三源预言机校验、策略决策引擎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账户余额变动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策略相关地址的每笔 Transfer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个区块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对账模块、风控断言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价格更新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每个区块的 baseFee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个区块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估算模块、FSM 执行层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治理事件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治理合约事件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个区块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治理哨兵模块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预言机数据规范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三源预言机（Chainlink、Uniswap TWAP、DEX Slot0）的数据获取和校验规范：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数据源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获取方式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刷新频率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可信度说明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Chainlink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链上合约 latestRoundData()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 Chainlink 心跳（通常 1 小时或偏差 0.5% 触发）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抗操纵性最强，但更新频率较低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Uniswap TWAP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观察区间 = 最近 30 分钟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每个区块重新计算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抗闪电贷攻击，但对快速价格变化响应慢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DEX Slot0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slot0() 直接读取当前价格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实时（每笔 Swap 后更新）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最实时但易被闪电贷瞬间操纵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中位价（决策用）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三源价格的中位数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三源中最慢的为准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用于策略决策，消除单源异常值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熔断逻辑：</w:t>
      </w:r>
      <w:r>
        <w:rPr>
          <w:rFonts w:ascii="Arial" w:cs="Arial" w:eastAsia="Arial" w:hAnsi="Arial"/>
          <w:sz w:val="20"/>
          <w:szCs w:val="20"/>
        </w:rPr>
        <w:t xml:space="preserve"> 当 max(|P1-P2|, |P2-P3|, |P1-P3|) &gt; 0.5% 时，拒绝本次决策，记录熔断事件。熔断期间中位价不更新，防止基于失真价格下单。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六、统一数据访问接口（SDK DataAPI）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策略代码通过统一的 DataAPI 访问所有数据，不区分回测和实盘场景，SDK 在运行时自动路由至正确数据源：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800"/>
        <w:gridCol w:w="1760"/>
      </w:tblGrid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返回内容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回测数据源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实盘数据源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data.price(token_pair, block?)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三源价格 + 中位价 + 水位线状态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 Swap 事件重放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实时预言机聚合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data.liquidity(pool, block?)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当前流动性深度 + Tick 分布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 Mint/Burn 重放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实时链上查询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data.balance(address, token, block?)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指定地址的代币余额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 Transfer 重放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实时链上查询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data.gas_price(block?)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baseFee + 推荐 priorityFee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历史区块 baseFee 记录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实时区块数据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data.pool_state(pool, block?)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池子完整状态（slot0 + tickBitmap）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历史状态快照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实时合约读取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data.events(contract, event, from, to)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指定合约的事件日志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本地索引查询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本地索引 + 实时补全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设计核心：</w:t>
      </w:r>
      <w:r>
        <w:rPr>
          <w:rFonts w:ascii="Arial" w:cs="Arial" w:eastAsia="Arial" w:hAnsi="Arial"/>
          <w:sz w:val="20"/>
          <w:szCs w:val="20"/>
        </w:rPr>
        <w:t xml:space="preserve"> block 参数可选。回测时必须传入 block_number 以获取历史状态；实盘时省略 block 参数，自动使用最新已确认区块。水位线校验对实盘调用自动触发，回测调用跳过此检查。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数据新鲜度标注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所有数据接口返回值都附带新鲜度元信息，策略代码可主动检查：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元信息字段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sync_block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uint64</w:t>
            </w:r>
          </w:p>
        </w:tc>
        <w:tc>
          <w:tcPr>
            <w:tcW w:type="dxa" w:w="4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数据所对应的链上区块高度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sync_timestamp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unix timestamp</w:t>
            </w:r>
          </w:p>
        </w:tc>
        <w:tc>
          <w:tcPr>
            <w:tcW w:type="dxa" w:w="4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数据同步到本地的时间戳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is_stale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当前数据是否超过水位线阈值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数据来源：BACKTEST / REALTIME / CACHE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 [0,1]</w:t>
            </w:r>
          </w:p>
        </w:tc>
        <w:tc>
          <w:tcPr>
            <w:tcW w:type="dxa" w:w="4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三源预言机一致性得分，1.0 表示三源完全一致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七、数据质量与清洗规范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异常数据识别规则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异常类型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识别方法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价格跳点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单区块价格变化超过 10%（非极端行情期间）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标记为可疑，触发三源交叉验证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缺失区块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区块序列中存在间隔（如 10001 直接跳到 10003）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从备用 RPC 节点重新获取缺失区块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重复事件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相同 txHash + logIndex 出现多次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去重，保留第一条记录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链上重组（Reorg）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某区块高度的区块哈希发生变化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回滚受影响区块的全部数据，重新索引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时间戳异常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区块时间戳比前一区块小（矿工异常）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使用区块高度作为时间轴替代时间戳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RPC 返回异常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值 / 字段缺失 / 数值溢出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拒绝写入，记录异常日志，触发重试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数据血缘追踪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每条 L3/L4 层数据必须能追溯到其来源的 L1 原始数据，实现完整的数据血缘：</w:t>
      </w:r>
    </w:p>
    <w:p>
      <w:pPr>
        <w:spacing w:before="0" w:after="48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交易记录：</w:t>
      </w:r>
      <w:r>
        <w:rPr>
          <w:rFonts w:ascii="Arial" w:cs="Arial" w:eastAsia="Arial" w:hAnsi="Arial"/>
          <w:sz w:val="20"/>
          <w:szCs w:val="20"/>
        </w:rPr>
        <w:t xml:space="preserve"> 每条 PnL 记录关联对应的 txHash + logIndex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价格数据：</w:t>
      </w:r>
      <w:r>
        <w:rPr>
          <w:rFonts w:ascii="Arial" w:cs="Arial" w:eastAsia="Arial" w:hAnsi="Arial"/>
          <w:sz w:val="20"/>
          <w:szCs w:val="20"/>
        </w:rPr>
        <w:t xml:space="preserve"> 每个 TWAP 值关联计算所用的原始 Swap 事件列表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对账记录：</w:t>
      </w:r>
      <w:r>
        <w:rPr>
          <w:rFonts w:ascii="Arial" w:cs="Arial" w:eastAsia="Arial" w:hAnsi="Arial"/>
          <w:sz w:val="20"/>
          <w:szCs w:val="20"/>
        </w:rPr>
        <w:t xml:space="preserve"> 每条余额变动关联触发它的 Transfer 事件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验证报告：</w:t>
      </w:r>
      <w:r>
        <w:rPr>
          <w:rFonts w:ascii="Arial" w:cs="Arial" w:eastAsia="Arial" w:hAnsi="Arial"/>
          <w:sz w:val="20"/>
          <w:szCs w:val="20"/>
        </w:rPr>
        <w:t xml:space="preserve"> 每份报告关联回测使用的数据集哈希（可精确复现）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八、多链数据统一规范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系统需同时处理多条链（如 Ethereum、Arbitrum、Base、Optimism）的数据，必须统一以下规范：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规范项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统一标准</w:t>
            </w:r>
          </w:p>
        </w:tc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时间基准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所有时间轴统一使用 Ethereum 主网区块高度作为锚点</w:t>
            </w:r>
          </w:p>
        </w:tc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 L2 区块速度不同，使用区块高度会导致时间轴混乱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代币标识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统一使用 canonical 地址（主网地址 + 链 ID）</w:t>
            </w:r>
          </w:p>
        </w:tc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同一资产在不同链上地址不同，需统一映射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价格基准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 本位统一换算为 USDC（6 位小数）</w:t>
            </w:r>
          </w:p>
        </w:tc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跨链比较时消除不同稳定币的微小价差影响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跨链资金在途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资金从 A 链发出到 B 链确认期间，在双链账本中均记录为「在途」</w:t>
            </w:r>
          </w:p>
        </w:tc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防止资金在途期间对账差异误报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统一计量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各链 Gas 统一折算为 USD（以执行时 ETH/链原生代币价格为准）</w:t>
            </w:r>
          </w:p>
        </w:tc>
        <w:tc>
          <w:tcPr>
            <w:tcW w:type="dxa" w:w="3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不同链的 Gas 单位不同，需统一为 USD 才可比较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九、文档版本记录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变更内容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2026-02-25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初始版本，定义四层数据架构与全部访问规范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 策略团队</w:t>
            </w:r>
          </w:p>
        </w:tc>
      </w:tr>
    </w:tbl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PRD 附属文档 v1.0  |  Data Infrastructure Specification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DeFi 自动化交易基础设施  |  数据基础设施规范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2026-02-25T07:18:46.533Z</dcterms:created>
  <dcterms:modified xsi:type="dcterms:W3CDTF">2026-02-25T07:18:46.534Z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